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59E7" w14:textId="77777777" w:rsidR="00DC1372" w:rsidRPr="006E17B3" w:rsidRDefault="001326E7" w:rsidP="00DC1372">
      <w:pPr>
        <w:rPr>
          <w:rFonts w:cs="Arial"/>
          <w:lang w:val="en-GB"/>
        </w:rPr>
      </w:pPr>
      <w:r>
        <w:rPr>
          <w:rFonts w:cs="Arial"/>
          <w:noProof/>
          <w:lang w:val="en-GB" w:eastAsia="en-GB"/>
        </w:rPr>
        <w:drawing>
          <wp:anchor distT="0" distB="0" distL="114300" distR="114300" simplePos="0" relativeHeight="251654656" behindDoc="1" locked="0" layoutInCell="1" allowOverlap="1" wp14:anchorId="42F7FE0A" wp14:editId="3ED9A76A">
            <wp:simplePos x="0" y="0"/>
            <wp:positionH relativeFrom="column">
              <wp:posOffset>2286000</wp:posOffset>
            </wp:positionH>
            <wp:positionV relativeFrom="page">
              <wp:posOffset>-13970</wp:posOffset>
            </wp:positionV>
            <wp:extent cx="2184400" cy="2184400"/>
            <wp:effectExtent l="19050" t="0" r="6350" b="0"/>
            <wp:wrapNone/>
            <wp:docPr id="14" name="Picture 14" descr="Abcam_Logo_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bcam_Logo_35m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23D7ED" w14:textId="77777777" w:rsidR="00DC1372" w:rsidRPr="006E17B3" w:rsidRDefault="00DC1372" w:rsidP="00DC1372">
      <w:pPr>
        <w:rPr>
          <w:rFonts w:cs="Arial"/>
          <w:lang w:val="en-GB"/>
        </w:rPr>
      </w:pPr>
    </w:p>
    <w:p w14:paraId="561F4CE1" w14:textId="77777777" w:rsidR="00DC1372" w:rsidRPr="006E17B3" w:rsidRDefault="00DC1372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DC1372" w:rsidRPr="00DC1372" w14:paraId="75CDE10F" w14:textId="77777777" w:rsidTr="00C12998">
        <w:trPr>
          <w:trHeight w:hRule="exact" w:val="3402"/>
        </w:trPr>
        <w:tc>
          <w:tcPr>
            <w:tcW w:w="6096" w:type="dxa"/>
            <w:vAlign w:val="center"/>
          </w:tcPr>
          <w:p w14:paraId="09D52CE8" w14:textId="77777777" w:rsidR="00B931F1" w:rsidRPr="00B931F1" w:rsidRDefault="00B931F1" w:rsidP="00B931F1">
            <w:pPr>
              <w:ind w:left="34"/>
              <w:jc w:val="left"/>
              <w:rPr>
                <w:b/>
                <w:sz w:val="48"/>
              </w:rPr>
            </w:pPr>
            <w:r w:rsidRPr="00B931F1">
              <w:rPr>
                <w:b/>
                <w:sz w:val="48"/>
              </w:rPr>
              <w:t>ab102507</w:t>
            </w:r>
          </w:p>
          <w:p w14:paraId="5228799A" w14:textId="77777777" w:rsidR="00DC1372" w:rsidRPr="00DC1372" w:rsidRDefault="00B931F1" w:rsidP="00B931F1">
            <w:pPr>
              <w:ind w:left="34"/>
              <w:jc w:val="left"/>
              <w:rPr>
                <w:b/>
                <w:sz w:val="48"/>
              </w:rPr>
            </w:pPr>
            <w:r w:rsidRPr="00B931F1">
              <w:rPr>
                <w:b/>
                <w:sz w:val="48"/>
              </w:rPr>
              <w:t>Zinc Quantification Kit</w:t>
            </w:r>
          </w:p>
        </w:tc>
      </w:tr>
    </w:tbl>
    <w:p w14:paraId="0D8D7E49" w14:textId="77777777" w:rsidR="00DC1372" w:rsidRPr="000707C7" w:rsidRDefault="00DC1372" w:rsidP="00DC1372">
      <w:pPr>
        <w:jc w:val="left"/>
        <w:rPr>
          <w:rFonts w:cs="Arial"/>
          <w:sz w:val="24"/>
          <w:lang w:val="en-GB"/>
        </w:rPr>
      </w:pPr>
      <w:r w:rsidRPr="000707C7">
        <w:rPr>
          <w:rFonts w:cs="Arial"/>
          <w:sz w:val="24"/>
          <w:lang w:val="en-GB"/>
        </w:rPr>
        <w:t>Instructions for Use</w:t>
      </w:r>
    </w:p>
    <w:p w14:paraId="08325CD0" w14:textId="77777777" w:rsidR="00DC1372" w:rsidRPr="000707C7" w:rsidRDefault="00B931F1" w:rsidP="00DC1372">
      <w:pPr>
        <w:spacing w:line="240" w:lineRule="auto"/>
        <w:jc w:val="left"/>
        <w:rPr>
          <w:rFonts w:cs="Arial"/>
          <w:sz w:val="24"/>
          <w:lang w:val="en-GB"/>
        </w:rPr>
      </w:pPr>
      <w:r w:rsidRPr="000707C7">
        <w:rPr>
          <w:rFonts w:cs="Arial"/>
          <w:sz w:val="24"/>
        </w:rPr>
        <w:t xml:space="preserve">For the rapid, </w:t>
      </w:r>
      <w:proofErr w:type="gramStart"/>
      <w:r w:rsidRPr="000707C7">
        <w:rPr>
          <w:rFonts w:cs="Arial"/>
          <w:sz w:val="24"/>
        </w:rPr>
        <w:t>sensitive</w:t>
      </w:r>
      <w:proofErr w:type="gramEnd"/>
      <w:r w:rsidRPr="000707C7">
        <w:rPr>
          <w:rFonts w:cs="Arial"/>
          <w:sz w:val="24"/>
        </w:rPr>
        <w:t xml:space="preserve"> and accurate measurement of Zinc levels in various samples</w:t>
      </w:r>
    </w:p>
    <w:p w14:paraId="0F1F4413" w14:textId="77777777" w:rsidR="00DC1372" w:rsidRPr="000707C7" w:rsidRDefault="00DC1372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4"/>
        </w:rPr>
      </w:pPr>
    </w:p>
    <w:p w14:paraId="3D833C55" w14:textId="23CB7D86" w:rsidR="00DC1372" w:rsidRDefault="00DC1372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4"/>
        </w:rPr>
      </w:pPr>
      <w:r w:rsidRPr="000707C7">
        <w:rPr>
          <w:rFonts w:cs="Arial"/>
          <w:sz w:val="24"/>
        </w:rPr>
        <w:t>This product is for research use only and is not intended for diagnostic use.</w:t>
      </w:r>
    </w:p>
    <w:p w14:paraId="509B313B" w14:textId="77777777" w:rsidR="000707C7" w:rsidRPr="000707C7" w:rsidRDefault="000707C7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4"/>
        </w:rPr>
      </w:pPr>
    </w:p>
    <w:p w14:paraId="6EAE61E4" w14:textId="7820E396" w:rsidR="00DC1372" w:rsidRPr="000707C7" w:rsidRDefault="000707C7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Cs w:val="20"/>
          <w:highlight w:val="lightGray"/>
        </w:rPr>
      </w:pPr>
      <w:r w:rsidRPr="000707C7">
        <w:rPr>
          <w:rFonts w:cs="Arial"/>
          <w:szCs w:val="20"/>
        </w:rPr>
        <w:t xml:space="preserve">PLEASE NOTE: With the acquisition of </w:t>
      </w:r>
      <w:proofErr w:type="spellStart"/>
      <w:r w:rsidRPr="000707C7">
        <w:rPr>
          <w:rFonts w:cs="Arial"/>
          <w:szCs w:val="20"/>
        </w:rPr>
        <w:t>BioVision</w:t>
      </w:r>
      <w:proofErr w:type="spellEnd"/>
      <w:r w:rsidRPr="000707C7">
        <w:rPr>
          <w:rFonts w:cs="Arial"/>
          <w:szCs w:val="20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32EE5FF0" w14:textId="77777777" w:rsidR="00B931F1" w:rsidRPr="00450C6C" w:rsidRDefault="00B931F1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8"/>
          <w:szCs w:val="28"/>
          <w:highlight w:val="lightGray"/>
        </w:rPr>
      </w:pPr>
    </w:p>
    <w:p w14:paraId="7DE35A9E" w14:textId="77777777" w:rsidR="008B2920" w:rsidRDefault="008B2920">
      <w:pPr>
        <w:spacing w:before="0" w:line="240" w:lineRule="auto"/>
        <w:jc w:val="left"/>
        <w:rPr>
          <w:rFonts w:cs="Arial"/>
          <w:lang w:val="en-AU"/>
        </w:rPr>
      </w:pPr>
      <w:r>
        <w:rPr>
          <w:rFonts w:cs="Arial"/>
          <w:lang w:val="en-AU"/>
        </w:rPr>
        <w:br w:type="page"/>
      </w:r>
    </w:p>
    <w:p w14:paraId="161856D6" w14:textId="77777777" w:rsidR="00B931F1" w:rsidRDefault="00B931F1" w:rsidP="00B931F1">
      <w:pPr>
        <w:pStyle w:val="Heading1"/>
        <w:numPr>
          <w:ilvl w:val="0"/>
          <w:numId w:val="0"/>
        </w:numPr>
        <w:spacing w:before="0"/>
      </w:pPr>
      <w:bookmarkStart w:id="0" w:name="_Toc315440409"/>
      <w:bookmarkStart w:id="1" w:name="_Toc318104127"/>
      <w:bookmarkStart w:id="2" w:name="_Toc359316743"/>
      <w:r>
        <w:lastRenderedPageBreak/>
        <w:t>Table of Contents</w:t>
      </w:r>
      <w:bookmarkEnd w:id="0"/>
      <w:bookmarkEnd w:id="1"/>
      <w:bookmarkEnd w:id="2"/>
    </w:p>
    <w:p w14:paraId="3EC817E6" w14:textId="77777777" w:rsidR="006B20C6" w:rsidRDefault="002C54E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rFonts w:eastAsiaTheme="minorHAnsi" w:cstheme="minorBidi"/>
        </w:rPr>
        <w:fldChar w:fldCharType="begin"/>
      </w:r>
      <w:r w:rsidR="00B931F1">
        <w:instrText xml:space="preserve"> TOC \o "1-1" \u </w:instrText>
      </w:r>
      <w:r>
        <w:rPr>
          <w:rFonts w:eastAsiaTheme="minorHAnsi" w:cstheme="minorBidi"/>
        </w:rPr>
        <w:fldChar w:fldCharType="separate"/>
      </w:r>
      <w:r w:rsidR="006B20C6">
        <w:rPr>
          <w:noProof/>
        </w:rPr>
        <w:t>Table of Contents</w:t>
      </w:r>
      <w:r w:rsidR="006B20C6">
        <w:rPr>
          <w:noProof/>
        </w:rPr>
        <w:tab/>
      </w:r>
      <w:r w:rsidR="006B20C6">
        <w:rPr>
          <w:noProof/>
        </w:rPr>
        <w:fldChar w:fldCharType="begin"/>
      </w:r>
      <w:r w:rsidR="006B20C6">
        <w:rPr>
          <w:noProof/>
        </w:rPr>
        <w:instrText xml:space="preserve"> PAGEREF _Toc359316743 \h </w:instrText>
      </w:r>
      <w:r w:rsidR="006B20C6">
        <w:rPr>
          <w:noProof/>
        </w:rPr>
      </w:r>
      <w:r w:rsidR="006B20C6">
        <w:rPr>
          <w:noProof/>
        </w:rPr>
        <w:fldChar w:fldCharType="separate"/>
      </w:r>
      <w:r w:rsidR="006B20C6">
        <w:rPr>
          <w:noProof/>
        </w:rPr>
        <w:t>2</w:t>
      </w:r>
      <w:r w:rsidR="006B20C6">
        <w:rPr>
          <w:noProof/>
        </w:rPr>
        <w:fldChar w:fldCharType="end"/>
      </w:r>
    </w:p>
    <w:p w14:paraId="1D49A953" w14:textId="77777777" w:rsidR="006B20C6" w:rsidRDefault="006B20C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924800">
        <w:rPr>
          <w:rFonts w:cs="Wingdings"/>
          <w:noProof/>
          <w:snapToGrid w:val="0"/>
          <w:color w:val="000000"/>
          <w:w w:val="0"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_Toc359316744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DF195AB" w14:textId="77777777" w:rsidR="006B20C6" w:rsidRDefault="006B20C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924800">
        <w:rPr>
          <w:rFonts w:cs="Wingdings"/>
          <w:noProof/>
          <w:snapToGrid w:val="0"/>
          <w:color w:val="000000"/>
          <w:w w:val="0"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_Toc359316745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80783A9" w14:textId="77777777" w:rsidR="006B20C6" w:rsidRDefault="006B20C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924800">
        <w:rPr>
          <w:rFonts w:cs="Wingdings"/>
          <w:noProof/>
          <w:snapToGrid w:val="0"/>
          <w:color w:val="000000"/>
          <w:w w:val="0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_Toc359316746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352A942" w14:textId="77777777" w:rsidR="006B20C6" w:rsidRDefault="006B20C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924800">
        <w:rPr>
          <w:rFonts w:cs="Wingdings"/>
          <w:noProof/>
          <w:snapToGrid w:val="0"/>
          <w:color w:val="000000"/>
          <w:w w:val="0"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Storage and Stability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_Toc359316747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5343206" w14:textId="77777777" w:rsidR="006B20C6" w:rsidRDefault="006B20C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924800">
        <w:rPr>
          <w:rFonts w:cs="Wingdings"/>
          <w:noProof/>
          <w:snapToGrid w:val="0"/>
          <w:color w:val="000000"/>
          <w:w w:val="0"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_Toc359316748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E700358" w14:textId="77777777" w:rsidR="006B20C6" w:rsidRDefault="006B20C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924800">
        <w:rPr>
          <w:rFonts w:cs="Wingdings"/>
          <w:noProof/>
          <w:snapToGrid w:val="0"/>
          <w:color w:val="000000"/>
          <w:w w:val="0"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Protocol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_Toc359316749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A3D27C7" w14:textId="77777777" w:rsidR="006B20C6" w:rsidRDefault="006B20C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924800">
        <w:rPr>
          <w:rFonts w:cs="Wingdings"/>
          <w:noProof/>
          <w:snapToGrid w:val="0"/>
          <w:color w:val="000000"/>
          <w:w w:val="0"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_Toc359316750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72BCAD8" w14:textId="77777777" w:rsidR="006B20C6" w:rsidRDefault="006B20C6">
      <w:pPr>
        <w:pStyle w:val="TOC1"/>
        <w:rPr>
          <w:noProof/>
        </w:rPr>
      </w:pPr>
      <w:r w:rsidRPr="00924800">
        <w:rPr>
          <w:rFonts w:cs="Wingdings"/>
          <w:noProof/>
          <w:snapToGrid w:val="0"/>
          <w:color w:val="000000"/>
          <w:w w:val="0"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_Toc359316751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6119A3C" w14:textId="77777777" w:rsidR="006B20C6" w:rsidRDefault="006B20C6">
      <w:pPr>
        <w:spacing w:before="0" w:line="240" w:lineRule="auto"/>
        <w:jc w:val="left"/>
      </w:pPr>
      <w:r>
        <w:br w:type="page"/>
      </w:r>
    </w:p>
    <w:p w14:paraId="2C56BA80" w14:textId="77777777" w:rsidR="00B931F1" w:rsidRDefault="002C54EE" w:rsidP="00B931F1">
      <w:pPr>
        <w:pStyle w:val="Heading1"/>
        <w:spacing w:before="0"/>
        <w:ind w:left="502"/>
      </w:pPr>
      <w:r>
        <w:lastRenderedPageBreak/>
        <w:fldChar w:fldCharType="end"/>
      </w:r>
      <w:bookmarkStart w:id="3" w:name="_Toc315440410"/>
      <w:bookmarkStart w:id="4" w:name="_Toc359316744"/>
      <w:r w:rsidR="00B931F1">
        <w:t>Overview</w:t>
      </w:r>
      <w:bookmarkEnd w:id="3"/>
      <w:bookmarkEnd w:id="4"/>
    </w:p>
    <w:p w14:paraId="163D9E03" w14:textId="77777777" w:rsidR="00B931F1" w:rsidRDefault="00B931F1" w:rsidP="00B931F1">
      <w:r>
        <w:t xml:space="preserve">Zinc, a metallic chemical element, symbol Zn and atomic number 30 is chemically </w:t>
      </w:r>
      <w:proofErr w:type="gramStart"/>
      <w:r>
        <w:t>similar to</w:t>
      </w:r>
      <w:proofErr w:type="gramEnd"/>
      <w:r>
        <w:t xml:space="preserve"> Magnesium due to its similar size and sole oxidation state of </w:t>
      </w:r>
      <w:r>
        <w:rPr>
          <w:vertAlign w:val="superscript"/>
        </w:rPr>
        <w:t>2+</w:t>
      </w:r>
      <w:r>
        <w:t xml:space="preserve">. Zinc is an essential mineral of great biological significance, because many enzymes require it as an essential cofactor. </w:t>
      </w:r>
    </w:p>
    <w:p w14:paraId="54E3A6F0" w14:textId="77777777" w:rsidR="00B931F1" w:rsidRDefault="00B931F1" w:rsidP="00B931F1">
      <w:r>
        <w:t xml:space="preserve">Examples of zinc’s biological roles include signal transduction, gene expression, and regulation of apoptosis, synaptic plasticity and prostate gland function. </w:t>
      </w:r>
    </w:p>
    <w:p w14:paraId="3C883AD3" w14:textId="77777777" w:rsidR="00B931F1" w:rsidRDefault="00B931F1" w:rsidP="00B931F1">
      <w:pPr>
        <w:rPr>
          <w:lang w:val="en-GB"/>
        </w:rPr>
      </w:pPr>
      <w:r>
        <w:t xml:space="preserve">Abcam’s Zinc Quantification Kit is a convenient colorimetric assay in which Zinc binds to a ligand </w:t>
      </w:r>
      <w:r w:rsidR="00B86E20">
        <w:t xml:space="preserve">that will </w:t>
      </w:r>
      <w:r>
        <w:t>develop</w:t>
      </w:r>
      <w:r w:rsidR="00B86E20">
        <w:t>ed and detected at an</w:t>
      </w:r>
      <w:r>
        <w:t xml:space="preserve"> absorbance at </w:t>
      </w:r>
      <w:r w:rsidR="00B86E20">
        <w:t>OD</w:t>
      </w:r>
      <w:r w:rsidRPr="00B86E20">
        <w:rPr>
          <w:vertAlign w:val="subscript"/>
        </w:rPr>
        <w:t>560</w:t>
      </w:r>
      <w:r w:rsidR="00DC0B00">
        <w:t xml:space="preserve"> </w:t>
      </w:r>
      <w:r>
        <w:t>nm. The assay can be used with biological samples such as serum, plasma, CSF or urine with detection sensitivity 0.2 µg/ml (~1</w:t>
      </w:r>
      <w:r w:rsidR="00B86E20">
        <w:t xml:space="preserve"> – </w:t>
      </w:r>
      <w:r>
        <w:t>3 µM).</w:t>
      </w:r>
      <w:r w:rsidRPr="00C60258">
        <w:rPr>
          <w:lang w:val="en-GB"/>
        </w:rPr>
        <w:t xml:space="preserve"> </w:t>
      </w:r>
    </w:p>
    <w:p w14:paraId="5145913C" w14:textId="77777777" w:rsidR="00DC0B00" w:rsidRDefault="00DC0B00">
      <w:pPr>
        <w:spacing w:before="0" w:line="240" w:lineRule="auto"/>
        <w:jc w:val="left"/>
      </w:pPr>
      <w:r>
        <w:br w:type="page"/>
      </w:r>
    </w:p>
    <w:p w14:paraId="74E189CE" w14:textId="77777777" w:rsidR="00B931F1" w:rsidRDefault="00B931F1" w:rsidP="00B931F1">
      <w:pPr>
        <w:pStyle w:val="Heading1"/>
        <w:spacing w:before="0"/>
        <w:ind w:left="502"/>
      </w:pPr>
      <w:bookmarkStart w:id="5" w:name="_Toc315440411"/>
      <w:bookmarkStart w:id="6" w:name="_Toc359316745"/>
      <w:r>
        <w:lastRenderedPageBreak/>
        <w:t>Protocol Summary</w:t>
      </w:r>
      <w:bookmarkEnd w:id="5"/>
      <w:bookmarkEnd w:id="6"/>
    </w:p>
    <w:p w14:paraId="0B7089F7" w14:textId="77777777" w:rsidR="00B931F1" w:rsidRPr="004465CF" w:rsidRDefault="00C03825" w:rsidP="00B931F1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F868EC" wp14:editId="5ADDF049">
                <wp:simplePos x="0" y="0"/>
                <wp:positionH relativeFrom="margin">
                  <wp:posOffset>1838325</wp:posOffset>
                </wp:positionH>
                <wp:positionV relativeFrom="paragraph">
                  <wp:posOffset>316865</wp:posOffset>
                </wp:positionV>
                <wp:extent cx="180975" cy="231140"/>
                <wp:effectExtent l="38100" t="0" r="9525" b="16510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F16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5" o:spid="_x0000_s1026" type="#_x0000_t67" style="position:absolute;margin-left:144.75pt;margin-top:24.95pt;width:14.25pt;height:18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DnQg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">
                <w10:wrap anchorx="margin"/>
              </v:shape>
            </w:pict>
          </mc:Fallback>
        </mc:AlternateContent>
      </w:r>
      <w:r w:rsidR="00B931F1" w:rsidRPr="004465CF">
        <w:t>Sample Preparation</w:t>
      </w:r>
    </w:p>
    <w:p w14:paraId="77699262" w14:textId="77777777" w:rsidR="00B931F1" w:rsidRDefault="00B931F1" w:rsidP="00B931F1">
      <w:pPr>
        <w:spacing w:before="0"/>
        <w:jc w:val="center"/>
      </w:pPr>
    </w:p>
    <w:p w14:paraId="2821A8A6" w14:textId="77777777" w:rsidR="00B931F1" w:rsidRDefault="00C03825" w:rsidP="00B931F1">
      <w:pPr>
        <w:spacing w:before="0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581676" wp14:editId="41625C99">
                <wp:simplePos x="0" y="0"/>
                <wp:positionH relativeFrom="margin">
                  <wp:posOffset>1834515</wp:posOffset>
                </wp:positionH>
                <wp:positionV relativeFrom="paragraph">
                  <wp:posOffset>167640</wp:posOffset>
                </wp:positionV>
                <wp:extent cx="180975" cy="231140"/>
                <wp:effectExtent l="38100" t="0" r="9525" b="1651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D701" id="AutoShape 30" o:spid="_x0000_s1026" type="#_x0000_t67" style="position:absolute;margin-left:144.45pt;margin-top:13.2pt;width:14.25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">
                <w10:wrap anchorx="margin"/>
              </v:shape>
            </w:pict>
          </mc:Fallback>
        </mc:AlternateContent>
      </w:r>
      <w:r w:rsidR="00B931F1">
        <w:t>Standard Curve Preparation</w:t>
      </w:r>
    </w:p>
    <w:p w14:paraId="2E4FA346" w14:textId="77777777" w:rsidR="00B931F1" w:rsidRDefault="00B931F1" w:rsidP="00B931F1">
      <w:pPr>
        <w:spacing w:before="0"/>
        <w:jc w:val="center"/>
      </w:pPr>
    </w:p>
    <w:p w14:paraId="40378C65" w14:textId="77777777" w:rsidR="00B931F1" w:rsidRDefault="00C03825" w:rsidP="00B931F1">
      <w:pPr>
        <w:spacing w:before="0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87281B" wp14:editId="5D1A7B6F">
                <wp:simplePos x="0" y="0"/>
                <wp:positionH relativeFrom="margin">
                  <wp:posOffset>1833880</wp:posOffset>
                </wp:positionH>
                <wp:positionV relativeFrom="paragraph">
                  <wp:posOffset>182880</wp:posOffset>
                </wp:positionV>
                <wp:extent cx="180975" cy="231140"/>
                <wp:effectExtent l="38100" t="0" r="9525" b="1651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12940" id="AutoShape 29" o:spid="_x0000_s1026" type="#_x0000_t67" style="position:absolute;margin-left:144.4pt;margin-top:14.4pt;width:14.25pt;height:18.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">
                <w10:wrap anchorx="margin"/>
              </v:shape>
            </w:pict>
          </mc:Fallback>
        </mc:AlternateContent>
      </w:r>
      <w:r w:rsidR="00B931F1">
        <w:rPr>
          <w:noProof/>
          <w:lang w:val="en-GB" w:eastAsia="en-GB"/>
        </w:rPr>
        <w:t>Prepare and Add Reaction Mix</w:t>
      </w:r>
    </w:p>
    <w:p w14:paraId="2E11E1F9" w14:textId="77777777" w:rsidR="00B931F1" w:rsidRDefault="00B931F1" w:rsidP="00B931F1">
      <w:pPr>
        <w:spacing w:before="0"/>
        <w:jc w:val="center"/>
      </w:pPr>
    </w:p>
    <w:p w14:paraId="7F16DAC8" w14:textId="77777777" w:rsidR="00B931F1" w:rsidRDefault="00B931F1" w:rsidP="00B931F1">
      <w:pPr>
        <w:spacing w:before="0"/>
        <w:jc w:val="center"/>
      </w:pPr>
      <w:r>
        <w:t>Measure Optical Density</w:t>
      </w:r>
    </w:p>
    <w:p w14:paraId="2AD415E1" w14:textId="77777777" w:rsidR="00535641" w:rsidRDefault="00535641">
      <w:pPr>
        <w:spacing w:before="0" w:line="240" w:lineRule="auto"/>
        <w:jc w:val="left"/>
      </w:pPr>
      <w:r>
        <w:br w:type="page"/>
      </w:r>
    </w:p>
    <w:p w14:paraId="25582FE2" w14:textId="77777777" w:rsidR="00B931F1" w:rsidRDefault="00DC0B00" w:rsidP="00535641">
      <w:pPr>
        <w:pStyle w:val="Heading1"/>
        <w:spacing w:before="0"/>
        <w:ind w:left="502"/>
      </w:pPr>
      <w:bookmarkStart w:id="7" w:name="_Toc315440412"/>
      <w:bookmarkStart w:id="8" w:name="_Toc359316746"/>
      <w:bookmarkStart w:id="9" w:name="_Toc271554832"/>
      <w:bookmarkStart w:id="10" w:name="_Toc273532551"/>
      <w:r>
        <w:lastRenderedPageBreak/>
        <w:t>Materials Supplied</w:t>
      </w:r>
      <w:bookmarkEnd w:id="7"/>
      <w:bookmarkEnd w:id="8"/>
    </w:p>
    <w:p w14:paraId="4331AE18" w14:textId="77777777" w:rsidR="00B931F1" w:rsidRPr="004F1FBE" w:rsidRDefault="00B931F1" w:rsidP="00DC0B00">
      <w:pPr>
        <w:pStyle w:val="ListParagraph"/>
        <w:ind w:left="720" w:firstLine="0"/>
        <w:rPr>
          <w:b/>
        </w:rPr>
      </w:pPr>
    </w:p>
    <w:tbl>
      <w:tblPr>
        <w:tblStyle w:val="LightShading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11"/>
        <w:gridCol w:w="1276"/>
      </w:tblGrid>
      <w:tr w:rsidR="00B931F1" w:rsidRPr="00332830" w14:paraId="2790DC3E" w14:textId="77777777" w:rsidTr="00DC0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63F0A303" w14:textId="77777777" w:rsidR="00B931F1" w:rsidRPr="00332830" w:rsidRDefault="00B931F1" w:rsidP="00DC0B00">
            <w:pPr>
              <w:autoSpaceDE w:val="0"/>
              <w:autoSpaceDN w:val="0"/>
              <w:adjustRightInd w:val="0"/>
              <w:spacing w:after="240" w:line="240" w:lineRule="auto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1276" w:type="dxa"/>
            <w:shd w:val="clear" w:color="auto" w:fill="auto"/>
          </w:tcPr>
          <w:p w14:paraId="21AA9131" w14:textId="77777777" w:rsidR="00B931F1" w:rsidRPr="00332830" w:rsidRDefault="00B931F1" w:rsidP="00DC0B00">
            <w:pPr>
              <w:autoSpaceDE w:val="0"/>
              <w:autoSpaceDN w:val="0"/>
              <w:adjustRightInd w:val="0"/>
              <w:spacing w:after="24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>Quantity</w:t>
            </w:r>
          </w:p>
        </w:tc>
      </w:tr>
      <w:tr w:rsidR="00B931F1" w:rsidRPr="00332830" w14:paraId="1193AE65" w14:textId="77777777" w:rsidTr="00DC0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7B5E0F63" w14:textId="77777777" w:rsidR="00B931F1" w:rsidRPr="00FF0FAE" w:rsidRDefault="00B931F1" w:rsidP="00DC0B00">
            <w:pPr>
              <w:rPr>
                <w:b w:val="0"/>
                <w:sz w:val="18"/>
              </w:rPr>
            </w:pPr>
            <w:r w:rsidRPr="00FF0FAE">
              <w:rPr>
                <w:b w:val="0"/>
                <w:sz w:val="18"/>
              </w:rPr>
              <w:t>Zinc Reagent 1</w:t>
            </w:r>
          </w:p>
        </w:tc>
        <w:tc>
          <w:tcPr>
            <w:tcW w:w="1276" w:type="dxa"/>
            <w:shd w:val="clear" w:color="auto" w:fill="auto"/>
          </w:tcPr>
          <w:p w14:paraId="62813323" w14:textId="77777777" w:rsidR="00B931F1" w:rsidRPr="00332830" w:rsidRDefault="00B931F1" w:rsidP="00DC0B00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16</w:t>
            </w: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</w:tr>
      <w:tr w:rsidR="00B931F1" w:rsidRPr="00332830" w14:paraId="39C65186" w14:textId="77777777" w:rsidTr="00DC0B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699602A6" w14:textId="77777777" w:rsidR="00B931F1" w:rsidRPr="00FF0FAE" w:rsidRDefault="00B931F1" w:rsidP="00DC0B00">
            <w:pPr>
              <w:rPr>
                <w:b w:val="0"/>
                <w:sz w:val="18"/>
              </w:rPr>
            </w:pPr>
            <w:r w:rsidRPr="00FF0FAE">
              <w:rPr>
                <w:b w:val="0"/>
                <w:sz w:val="18"/>
              </w:rPr>
              <w:t>Zinc Reagent 2</w:t>
            </w:r>
          </w:p>
        </w:tc>
        <w:tc>
          <w:tcPr>
            <w:tcW w:w="1276" w:type="dxa"/>
            <w:shd w:val="clear" w:color="auto" w:fill="auto"/>
          </w:tcPr>
          <w:p w14:paraId="3AF08FB8" w14:textId="77777777" w:rsidR="00B931F1" w:rsidRPr="00332830" w:rsidRDefault="00B931F1" w:rsidP="00DC0B00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</w:tr>
      <w:tr w:rsidR="00B931F1" w:rsidRPr="00332830" w14:paraId="13B39BB3" w14:textId="77777777" w:rsidTr="00DC0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083246B1" w14:textId="73834A1C" w:rsidR="00B931F1" w:rsidRPr="00FF0FAE" w:rsidRDefault="005D275C" w:rsidP="00DC0B00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TCA (7%)/</w:t>
            </w:r>
            <w:r w:rsidR="00B931F1" w:rsidRPr="00FF0FAE">
              <w:rPr>
                <w:b w:val="0"/>
                <w:sz w:val="18"/>
              </w:rPr>
              <w:t>7% TCA</w:t>
            </w:r>
          </w:p>
        </w:tc>
        <w:tc>
          <w:tcPr>
            <w:tcW w:w="1276" w:type="dxa"/>
            <w:shd w:val="clear" w:color="auto" w:fill="auto"/>
          </w:tcPr>
          <w:p w14:paraId="0BCEB2F2" w14:textId="77777777" w:rsidR="00B931F1" w:rsidRPr="00332830" w:rsidRDefault="00B931F1" w:rsidP="00DC0B00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5 mL</w:t>
            </w:r>
          </w:p>
        </w:tc>
      </w:tr>
      <w:tr w:rsidR="00B931F1" w:rsidRPr="00332830" w14:paraId="4989B338" w14:textId="77777777" w:rsidTr="00DC0B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6C68D4D4" w14:textId="3BB12F00" w:rsidR="00B931F1" w:rsidRPr="00FF0FAE" w:rsidRDefault="005D275C" w:rsidP="00DC0B00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Zinc Standard/</w:t>
            </w:r>
            <w:r w:rsidR="00B931F1" w:rsidRPr="00FF0FAE">
              <w:rPr>
                <w:b w:val="0"/>
                <w:sz w:val="18"/>
              </w:rPr>
              <w:t>Zinc Standard (50 mM)</w:t>
            </w:r>
          </w:p>
        </w:tc>
        <w:tc>
          <w:tcPr>
            <w:tcW w:w="1276" w:type="dxa"/>
            <w:shd w:val="clear" w:color="auto" w:fill="auto"/>
          </w:tcPr>
          <w:p w14:paraId="0CB9A8B4" w14:textId="77777777" w:rsidR="00B931F1" w:rsidRPr="00332830" w:rsidRDefault="00B931F1" w:rsidP="00DC0B00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100 µ</w:t>
            </w: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>L</w:t>
            </w:r>
          </w:p>
        </w:tc>
      </w:tr>
    </w:tbl>
    <w:p w14:paraId="42AD3D2A" w14:textId="77777777" w:rsidR="00DC0B00" w:rsidRDefault="00DC0B00" w:rsidP="00B931F1"/>
    <w:p w14:paraId="0B105B96" w14:textId="77777777" w:rsidR="00DC0B00" w:rsidRDefault="00DC0B00" w:rsidP="00DC0B00">
      <w:pPr>
        <w:pStyle w:val="Heading1"/>
        <w:spacing w:before="0"/>
        <w:ind w:left="502"/>
      </w:pPr>
      <w:bookmarkStart w:id="11" w:name="_Toc359316747"/>
      <w:r>
        <w:t>Storage and Stability</w:t>
      </w:r>
      <w:bookmarkEnd w:id="11"/>
    </w:p>
    <w:p w14:paraId="0D964F7B" w14:textId="77777777" w:rsidR="00DC0B00" w:rsidRDefault="00DC0B00" w:rsidP="00B931F1">
      <w:r>
        <w:t>Upon arrival, s</w:t>
      </w:r>
      <w:r w:rsidR="00B931F1">
        <w:t>tore the kit at +4°C and protect</w:t>
      </w:r>
      <w:r>
        <w:t>ed</w:t>
      </w:r>
      <w:r w:rsidR="00B931F1">
        <w:t xml:space="preserve"> from light.</w:t>
      </w:r>
    </w:p>
    <w:p w14:paraId="5A73C7D2" w14:textId="77777777" w:rsidR="00B931F1" w:rsidRDefault="00B931F1" w:rsidP="00DC0B00">
      <w:pPr>
        <w:contextualSpacing/>
      </w:pPr>
      <w:r>
        <w:t>Read the entire protoc</w:t>
      </w:r>
      <w:r w:rsidR="00DC0B00">
        <w:t>ol before performing the assay.</w:t>
      </w:r>
    </w:p>
    <w:p w14:paraId="26C5AE97" w14:textId="77777777" w:rsidR="00DC0B00" w:rsidRDefault="00DC0B00" w:rsidP="00DC0B00">
      <w:pPr>
        <w:contextualSpacing/>
      </w:pPr>
      <w:r>
        <w:t>The reagents are ready to use as supplied.</w:t>
      </w:r>
    </w:p>
    <w:p w14:paraId="08C78E88" w14:textId="77777777" w:rsidR="00B931F1" w:rsidRDefault="00B931F1" w:rsidP="00DC0B00">
      <w:pPr>
        <w:pStyle w:val="ListParagraph"/>
        <w:numPr>
          <w:ilvl w:val="0"/>
          <w:numId w:val="19"/>
        </w:numPr>
        <w:ind w:left="568" w:hanging="284"/>
        <w:contextualSpacing w:val="0"/>
      </w:pPr>
      <w:r>
        <w:t>Synthetic rubber and glass can contain zinc which may leach into samples. For highest accuracy all glassware should be washed with dilute HCl, rinsed with distille</w:t>
      </w:r>
      <w:r w:rsidR="00DC0B00">
        <w:t>d water and dried prior to use.</w:t>
      </w:r>
    </w:p>
    <w:p w14:paraId="6AB3A94E" w14:textId="77777777" w:rsidR="00B931F1" w:rsidRDefault="00B931F1" w:rsidP="00DC0B00">
      <w:pPr>
        <w:pStyle w:val="ListParagraph"/>
        <w:numPr>
          <w:ilvl w:val="0"/>
          <w:numId w:val="19"/>
        </w:numPr>
        <w:ind w:left="568" w:hanging="284"/>
        <w:contextualSpacing w:val="0"/>
      </w:pPr>
      <w:r>
        <w:t xml:space="preserve">Sample tubes such as Vacutainer® and similar devices should be sealed with Parafilm® rather than the butyl rubber stopper. </w:t>
      </w:r>
    </w:p>
    <w:p w14:paraId="0973147E" w14:textId="77777777" w:rsidR="00B931F1" w:rsidRDefault="00B931F1" w:rsidP="00DC0B00">
      <w:pPr>
        <w:pStyle w:val="ListParagraph"/>
        <w:numPr>
          <w:ilvl w:val="0"/>
          <w:numId w:val="19"/>
        </w:numPr>
        <w:ind w:left="568" w:hanging="284"/>
        <w:contextualSpacing w:val="0"/>
      </w:pPr>
      <w:r>
        <w:lastRenderedPageBreak/>
        <w:t>Chelators such as EDTA will give artif</w:t>
      </w:r>
      <w:r w:rsidR="00C06C1B">
        <w:t>icially</w:t>
      </w:r>
      <w:r>
        <w:t xml:space="preserve"> low </w:t>
      </w:r>
      <w:r w:rsidR="00DC0B00">
        <w:t>z</w:t>
      </w:r>
      <w:r>
        <w:t>inc levels and should be avoided</w:t>
      </w:r>
      <w:r w:rsidR="00DC0B00">
        <w:t xml:space="preserve"> in </w:t>
      </w:r>
      <w:r w:rsidR="00C06C1B">
        <w:t>lysis buffers for all samples</w:t>
      </w:r>
      <w:r>
        <w:t xml:space="preserve">. </w:t>
      </w:r>
      <w:r w:rsidR="00C06C1B">
        <w:t>For blood samples, h</w:t>
      </w:r>
      <w:r>
        <w:t xml:space="preserve">eparin, citrate and oxalate are acceptable anticoagulants. </w:t>
      </w:r>
    </w:p>
    <w:p w14:paraId="1EE5E29E" w14:textId="77777777" w:rsidR="00B931F1" w:rsidRDefault="00B931F1" w:rsidP="00DC0B00">
      <w:pPr>
        <w:pStyle w:val="ListParagraph"/>
        <w:numPr>
          <w:ilvl w:val="0"/>
          <w:numId w:val="19"/>
        </w:numPr>
        <w:ind w:left="568" w:hanging="284"/>
        <w:contextualSpacing w:val="0"/>
      </w:pPr>
      <w:r>
        <w:t>Most blood zinc (80%) is contained in erythrocytes and hemolysis will release large amounts into the serum. Abnormally high serum values obtained suggest the collection of another sample and re-testing.</w:t>
      </w:r>
    </w:p>
    <w:p w14:paraId="74338DC1" w14:textId="77777777" w:rsidR="00B931F1" w:rsidRPr="00DC0B00" w:rsidRDefault="00B931F1" w:rsidP="00DC0B00">
      <w:pPr>
        <w:pStyle w:val="Heading1"/>
        <w:ind w:left="499" w:hanging="357"/>
      </w:pPr>
      <w:bookmarkStart w:id="12" w:name="_Toc359316748"/>
      <w:r w:rsidRPr="004F1FBE">
        <w:t>Materials Required</w:t>
      </w:r>
      <w:r w:rsidR="00DC0B00" w:rsidRPr="00DC0B00">
        <w:t>, Not Supplied</w:t>
      </w:r>
      <w:bookmarkEnd w:id="12"/>
    </w:p>
    <w:p w14:paraId="78D21474" w14:textId="77777777" w:rsidR="00BC33A7" w:rsidRDefault="00BC33A7" w:rsidP="00B931F1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 xml:space="preserve">Distilled water or </w:t>
      </w:r>
      <w:proofErr w:type="spellStart"/>
      <w:r>
        <w:t>MilliQ</w:t>
      </w:r>
      <w:proofErr w:type="spellEnd"/>
    </w:p>
    <w:p w14:paraId="2E67A359" w14:textId="77777777" w:rsidR="00B931F1" w:rsidRDefault="00B931F1" w:rsidP="00B931F1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Microcentrifuge</w:t>
      </w:r>
    </w:p>
    <w:p w14:paraId="58F254E3" w14:textId="77777777" w:rsidR="00B931F1" w:rsidRDefault="00B931F1" w:rsidP="00B931F1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Pipettes and pipette tips</w:t>
      </w:r>
    </w:p>
    <w:p w14:paraId="63AF7436" w14:textId="77777777" w:rsidR="00B931F1" w:rsidRDefault="00B931F1" w:rsidP="00B931F1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Colorimetric microplate reader</w:t>
      </w:r>
    </w:p>
    <w:p w14:paraId="5D0A1D19" w14:textId="77777777" w:rsidR="00B931F1" w:rsidRDefault="00B931F1" w:rsidP="00B931F1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96 well plate</w:t>
      </w:r>
    </w:p>
    <w:p w14:paraId="680B2DFB" w14:textId="77777777" w:rsidR="00B931F1" w:rsidRDefault="00B931F1" w:rsidP="00B931F1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Orbital shaker</w:t>
      </w:r>
    </w:p>
    <w:p w14:paraId="0FEFF797" w14:textId="77777777" w:rsidR="00535641" w:rsidRDefault="0092784E" w:rsidP="00535641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(Optional): HCl, for urine samples</w:t>
      </w:r>
    </w:p>
    <w:p w14:paraId="03FA0392" w14:textId="77777777" w:rsidR="00B931F1" w:rsidRPr="00535641" w:rsidRDefault="00535641" w:rsidP="00535641">
      <w:pPr>
        <w:spacing w:before="0" w:line="240" w:lineRule="auto"/>
        <w:jc w:val="left"/>
        <w:rPr>
          <w:rFonts w:eastAsiaTheme="minorHAnsi" w:cstheme="minorBidi"/>
        </w:rPr>
      </w:pPr>
      <w:r>
        <w:br w:type="page"/>
      </w:r>
    </w:p>
    <w:p w14:paraId="2967B5DB" w14:textId="77777777" w:rsidR="00B931F1" w:rsidRDefault="00B931F1" w:rsidP="00B931F1">
      <w:pPr>
        <w:pStyle w:val="Heading1"/>
        <w:spacing w:before="0"/>
        <w:ind w:left="502"/>
      </w:pPr>
      <w:bookmarkStart w:id="13" w:name="_Toc315440413"/>
      <w:bookmarkStart w:id="14" w:name="_Toc359316749"/>
      <w:bookmarkEnd w:id="9"/>
      <w:bookmarkEnd w:id="10"/>
      <w:r>
        <w:lastRenderedPageBreak/>
        <w:t>Assay Protocol</w:t>
      </w:r>
      <w:bookmarkEnd w:id="13"/>
      <w:bookmarkEnd w:id="14"/>
    </w:p>
    <w:p w14:paraId="0AB866C8" w14:textId="77777777" w:rsidR="00B931F1" w:rsidRPr="009514D8" w:rsidRDefault="00B931F1" w:rsidP="00C06C1B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rFonts w:cs="Arial"/>
          <w:b/>
          <w:bCs/>
          <w:szCs w:val="20"/>
        </w:rPr>
      </w:pPr>
      <w:bookmarkStart w:id="15" w:name="_Toc271554840"/>
      <w:bookmarkStart w:id="16" w:name="_Toc273532559"/>
      <w:r w:rsidRPr="009514D8">
        <w:rPr>
          <w:rFonts w:cs="Arial"/>
          <w:b/>
          <w:bCs/>
          <w:szCs w:val="20"/>
        </w:rPr>
        <w:t>Sample Preparation:</w:t>
      </w:r>
    </w:p>
    <w:p w14:paraId="5F4BC06D" w14:textId="77777777" w:rsidR="00C06C1B" w:rsidRDefault="00C06C1B" w:rsidP="00C06C1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0"/>
        <w:ind w:left="568" w:hanging="284"/>
        <w:rPr>
          <w:rFonts w:cs="Arial"/>
          <w:szCs w:val="20"/>
        </w:rPr>
      </w:pPr>
      <w:r w:rsidRPr="0092784E">
        <w:rPr>
          <w:rFonts w:cs="Arial"/>
          <w:b/>
          <w:szCs w:val="20"/>
        </w:rPr>
        <w:t>Cell lysates and tissue extracts:</w:t>
      </w:r>
      <w:r>
        <w:rPr>
          <w:rFonts w:cs="Arial"/>
          <w:szCs w:val="20"/>
        </w:rPr>
        <w:t xml:space="preserve"> harvest cells or homogenize tissue with an EDTA-free lysis buffer. Spin down to get rid of cell debris and transfer supernatant to clean tubes.</w:t>
      </w:r>
    </w:p>
    <w:p w14:paraId="7821F128" w14:textId="2744B4F5" w:rsidR="00B931F1" w:rsidRDefault="00C06C1B" w:rsidP="00C06C1B">
      <w:pPr>
        <w:pStyle w:val="ListParagraph"/>
        <w:autoSpaceDE w:val="0"/>
        <w:autoSpaceDN w:val="0"/>
        <w:adjustRightInd w:val="0"/>
        <w:spacing w:before="0"/>
        <w:ind w:left="568" w:firstLine="0"/>
        <w:rPr>
          <w:rFonts w:cs="Arial"/>
          <w:szCs w:val="20"/>
        </w:rPr>
      </w:pPr>
      <w:r>
        <w:rPr>
          <w:rFonts w:cs="Arial"/>
          <w:szCs w:val="20"/>
        </w:rPr>
        <w:t xml:space="preserve">Lysates generally contain significant amounts of protein, so they should be deproteinized by adding 50 µl of the </w:t>
      </w:r>
      <w:r w:rsidR="005D275C">
        <w:rPr>
          <w:rFonts w:cs="Arial"/>
          <w:szCs w:val="20"/>
        </w:rPr>
        <w:t>TCA (7%)/</w:t>
      </w:r>
      <w:r>
        <w:rPr>
          <w:rFonts w:cs="Arial"/>
          <w:szCs w:val="20"/>
        </w:rPr>
        <w:t>7% TCA solution</w:t>
      </w:r>
      <w:r w:rsidR="00BC33A7">
        <w:rPr>
          <w:rFonts w:cs="Arial"/>
          <w:szCs w:val="20"/>
        </w:rPr>
        <w:t xml:space="preserve"> per 50 µl of the sample (add 1x volume TCA to 1x volume sample).</w:t>
      </w:r>
    </w:p>
    <w:p w14:paraId="492D8A62" w14:textId="77777777" w:rsidR="00BC33A7" w:rsidRDefault="00BC33A7" w:rsidP="00C06C1B">
      <w:pPr>
        <w:pStyle w:val="ListParagraph"/>
        <w:autoSpaceDE w:val="0"/>
        <w:autoSpaceDN w:val="0"/>
        <w:adjustRightInd w:val="0"/>
        <w:spacing w:before="0"/>
        <w:ind w:left="568" w:firstLine="0"/>
        <w:rPr>
          <w:rFonts w:cs="Arial"/>
          <w:szCs w:val="20"/>
        </w:rPr>
      </w:pPr>
      <w:r>
        <w:rPr>
          <w:rFonts w:cs="Arial"/>
          <w:szCs w:val="20"/>
        </w:rPr>
        <w:t>Spin lysates-TCA mix at top speed for 5 minutes.</w:t>
      </w:r>
    </w:p>
    <w:p w14:paraId="7322BF5E" w14:textId="77777777" w:rsidR="00BC33A7" w:rsidRPr="00460B09" w:rsidRDefault="00BC33A7" w:rsidP="00C06C1B">
      <w:pPr>
        <w:pStyle w:val="ListParagraph"/>
        <w:autoSpaceDE w:val="0"/>
        <w:autoSpaceDN w:val="0"/>
        <w:adjustRightInd w:val="0"/>
        <w:spacing w:before="0"/>
        <w:ind w:left="568" w:firstLine="0"/>
        <w:rPr>
          <w:rFonts w:cs="Arial"/>
          <w:szCs w:val="20"/>
        </w:rPr>
      </w:pPr>
      <w:r>
        <w:rPr>
          <w:rFonts w:cs="Arial"/>
          <w:szCs w:val="20"/>
        </w:rPr>
        <w:t>Add 20 – 50 µl of sample to a 96-well plate; if volume of cell is &lt;</w:t>
      </w:r>
      <w:r w:rsidR="007C108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50 µl, brin</w:t>
      </w:r>
      <w:r w:rsidR="007C1085">
        <w:rPr>
          <w:rFonts w:cs="Arial"/>
          <w:szCs w:val="20"/>
        </w:rPr>
        <w:t xml:space="preserve">g the volume to 50 µl/well </w:t>
      </w:r>
      <w:r w:rsidRPr="00460B09">
        <w:rPr>
          <w:rFonts w:cs="Arial"/>
          <w:szCs w:val="20"/>
        </w:rPr>
        <w:t>with dH</w:t>
      </w:r>
      <w:r w:rsidRPr="00460B09">
        <w:rPr>
          <w:rFonts w:cs="Arial"/>
          <w:szCs w:val="20"/>
          <w:vertAlign w:val="subscript"/>
        </w:rPr>
        <w:t>2</w:t>
      </w:r>
      <w:r w:rsidRPr="00460B09">
        <w:rPr>
          <w:rFonts w:cs="Arial"/>
          <w:szCs w:val="20"/>
        </w:rPr>
        <w:t>O</w:t>
      </w:r>
      <w:r>
        <w:rPr>
          <w:rFonts w:cs="Arial"/>
          <w:szCs w:val="20"/>
        </w:rPr>
        <w:t>.</w:t>
      </w:r>
    </w:p>
    <w:p w14:paraId="17147D53" w14:textId="77777777" w:rsidR="0092784E" w:rsidRDefault="00BC33A7" w:rsidP="00BC33A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68" w:hanging="284"/>
        <w:rPr>
          <w:rFonts w:cs="Arial"/>
          <w:szCs w:val="20"/>
        </w:rPr>
      </w:pPr>
      <w:r w:rsidRPr="0092784E">
        <w:rPr>
          <w:rFonts w:cs="Arial"/>
          <w:b/>
          <w:szCs w:val="20"/>
        </w:rPr>
        <w:t>Urine</w:t>
      </w:r>
      <w:r w:rsidR="0092784E" w:rsidRPr="0092784E">
        <w:rPr>
          <w:rFonts w:cs="Arial"/>
          <w:b/>
          <w:szCs w:val="20"/>
        </w:rPr>
        <w:t xml:space="preserve"> samples:</w:t>
      </w:r>
      <w:r w:rsidR="0092784E">
        <w:rPr>
          <w:rFonts w:cs="Arial"/>
          <w:szCs w:val="20"/>
        </w:rPr>
        <w:t xml:space="preserve"> urine samples should be acidified to pH 3 – 4 to dissolve any sediment that could bind to zinc. Add 1 – 2 drops of concentrated HCl per 15 ml sample.</w:t>
      </w:r>
    </w:p>
    <w:p w14:paraId="08189C84" w14:textId="77777777" w:rsidR="0092784E" w:rsidRPr="0092784E" w:rsidRDefault="0092784E" w:rsidP="0092784E">
      <w:pPr>
        <w:pStyle w:val="ListParagraph"/>
        <w:autoSpaceDE w:val="0"/>
        <w:autoSpaceDN w:val="0"/>
        <w:adjustRightInd w:val="0"/>
        <w:ind w:left="568" w:firstLine="0"/>
        <w:rPr>
          <w:rFonts w:cs="Arial"/>
          <w:szCs w:val="20"/>
        </w:rPr>
      </w:pPr>
      <w:r>
        <w:rPr>
          <w:rFonts w:cs="Arial"/>
          <w:szCs w:val="20"/>
        </w:rPr>
        <w:t>Acidified urine can be used directly in the assay (20 – 50 µl sample/well).</w:t>
      </w:r>
    </w:p>
    <w:p w14:paraId="333932BF" w14:textId="77777777" w:rsidR="0092784E" w:rsidRDefault="0092784E" w:rsidP="00BC33A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68" w:hanging="284"/>
        <w:rPr>
          <w:rFonts w:cs="Arial"/>
          <w:szCs w:val="20"/>
        </w:rPr>
      </w:pPr>
      <w:r w:rsidRPr="0092784E">
        <w:rPr>
          <w:rFonts w:cs="Arial"/>
          <w:b/>
          <w:szCs w:val="20"/>
        </w:rPr>
        <w:t>Other liquid samples (Cell culture media, plasma, serum and other biological fluids):</w:t>
      </w:r>
      <w:r>
        <w:rPr>
          <w:rFonts w:cs="Arial"/>
          <w:szCs w:val="20"/>
        </w:rPr>
        <w:t xml:space="preserve"> liquid samples can be assayed directly. However, samples that contain significant amounts of protein such as serum, plasma and CSF should be deproteinized prior the assay.</w:t>
      </w:r>
    </w:p>
    <w:p w14:paraId="345C851B" w14:textId="6C69E1B8" w:rsidR="007C1085" w:rsidRDefault="0092784E" w:rsidP="007C1085">
      <w:pPr>
        <w:pStyle w:val="ListParagraph"/>
        <w:autoSpaceDE w:val="0"/>
        <w:autoSpaceDN w:val="0"/>
        <w:adjustRightInd w:val="0"/>
        <w:ind w:left="284" w:firstLine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Add 1x volume of the </w:t>
      </w:r>
      <w:r w:rsidR="005D275C">
        <w:rPr>
          <w:rFonts w:cs="Arial"/>
          <w:szCs w:val="20"/>
        </w:rPr>
        <w:t>TCA (7%)/</w:t>
      </w:r>
      <w:r>
        <w:rPr>
          <w:rFonts w:cs="Arial"/>
          <w:szCs w:val="20"/>
        </w:rPr>
        <w:t>7% TCA solution to 1x volume of sample (for example, 50 µ</w:t>
      </w:r>
      <w:r w:rsidR="007C1085">
        <w:rPr>
          <w:rFonts w:cs="Arial"/>
          <w:szCs w:val="20"/>
        </w:rPr>
        <w:t xml:space="preserve">l of </w:t>
      </w:r>
      <w:r w:rsidR="005D275C">
        <w:rPr>
          <w:rFonts w:cs="Arial"/>
          <w:szCs w:val="20"/>
        </w:rPr>
        <w:t>TCA (7%)/</w:t>
      </w:r>
      <w:r w:rsidR="007C1085">
        <w:rPr>
          <w:rFonts w:cs="Arial"/>
          <w:szCs w:val="20"/>
        </w:rPr>
        <w:t>7% TCA to 50 µl of sample).</w:t>
      </w:r>
    </w:p>
    <w:p w14:paraId="5C6B2DBB" w14:textId="77777777" w:rsidR="007C1085" w:rsidRDefault="00B931F1" w:rsidP="007C1085">
      <w:pPr>
        <w:pStyle w:val="ListParagraph"/>
        <w:autoSpaceDE w:val="0"/>
        <w:autoSpaceDN w:val="0"/>
        <w:adjustRightInd w:val="0"/>
        <w:ind w:left="284" w:firstLine="0"/>
        <w:rPr>
          <w:rFonts w:cs="Arial"/>
          <w:szCs w:val="20"/>
        </w:rPr>
      </w:pPr>
      <w:r w:rsidRPr="00460B09">
        <w:rPr>
          <w:rFonts w:cs="Arial"/>
          <w:szCs w:val="20"/>
        </w:rPr>
        <w:t xml:space="preserve">Spin </w:t>
      </w:r>
      <w:r w:rsidR="007C1085">
        <w:rPr>
          <w:rFonts w:cs="Arial"/>
          <w:szCs w:val="20"/>
        </w:rPr>
        <w:t xml:space="preserve">sample-TCA mix at </w:t>
      </w:r>
      <w:proofErr w:type="spellStart"/>
      <w:r w:rsidRPr="00460B09">
        <w:rPr>
          <w:rFonts w:cs="Arial"/>
          <w:szCs w:val="20"/>
        </w:rPr>
        <w:t>at</w:t>
      </w:r>
      <w:proofErr w:type="spellEnd"/>
      <w:r w:rsidRPr="00460B09">
        <w:rPr>
          <w:rFonts w:cs="Arial"/>
          <w:szCs w:val="20"/>
        </w:rPr>
        <w:t xml:space="preserve"> top speed for 5 minutes.</w:t>
      </w:r>
    </w:p>
    <w:p w14:paraId="16C63F5F" w14:textId="77777777" w:rsidR="00B931F1" w:rsidRDefault="00B931F1" w:rsidP="007C1085">
      <w:pPr>
        <w:pStyle w:val="ListParagraph"/>
        <w:autoSpaceDE w:val="0"/>
        <w:autoSpaceDN w:val="0"/>
        <w:adjustRightInd w:val="0"/>
        <w:ind w:left="284" w:firstLine="0"/>
        <w:rPr>
          <w:rFonts w:cs="Arial"/>
          <w:szCs w:val="20"/>
        </w:rPr>
      </w:pPr>
      <w:r w:rsidRPr="00460B09">
        <w:rPr>
          <w:rFonts w:cs="Arial"/>
          <w:szCs w:val="20"/>
        </w:rPr>
        <w:t xml:space="preserve">Add 20-50 </w:t>
      </w:r>
      <w:proofErr w:type="spellStart"/>
      <w:r w:rsidRPr="00460B09">
        <w:rPr>
          <w:rFonts w:cs="Arial"/>
          <w:szCs w:val="20"/>
        </w:rPr>
        <w:t>μl</w:t>
      </w:r>
      <w:proofErr w:type="spellEnd"/>
      <w:r w:rsidRPr="00460B09">
        <w:rPr>
          <w:rFonts w:cs="Arial"/>
          <w:szCs w:val="20"/>
        </w:rPr>
        <w:t xml:space="preserve"> of the sample(s) to a 96 well plate; </w:t>
      </w:r>
      <w:r w:rsidR="007C1085">
        <w:rPr>
          <w:rFonts w:cs="Arial"/>
          <w:szCs w:val="20"/>
        </w:rPr>
        <w:t xml:space="preserve">if volume of cells is &lt; 50 µl, </w:t>
      </w:r>
      <w:r w:rsidRPr="00460B09">
        <w:rPr>
          <w:rFonts w:cs="Arial"/>
          <w:szCs w:val="20"/>
        </w:rPr>
        <w:t xml:space="preserve">bring the volume to 50 </w:t>
      </w:r>
      <w:proofErr w:type="spellStart"/>
      <w:r w:rsidRPr="00460B09">
        <w:rPr>
          <w:rFonts w:cs="Arial"/>
          <w:szCs w:val="20"/>
        </w:rPr>
        <w:t>μl</w:t>
      </w:r>
      <w:proofErr w:type="spellEnd"/>
      <w:r w:rsidRPr="00460B09">
        <w:rPr>
          <w:rFonts w:cs="Arial"/>
          <w:szCs w:val="20"/>
        </w:rPr>
        <w:t>/well with dH</w:t>
      </w:r>
      <w:r w:rsidRPr="00460B09">
        <w:rPr>
          <w:rFonts w:cs="Arial"/>
          <w:szCs w:val="20"/>
          <w:vertAlign w:val="subscript"/>
        </w:rPr>
        <w:t>2</w:t>
      </w:r>
      <w:r w:rsidR="007C1085">
        <w:rPr>
          <w:rFonts w:cs="Arial"/>
          <w:szCs w:val="20"/>
        </w:rPr>
        <w:t>O.</w:t>
      </w:r>
    </w:p>
    <w:p w14:paraId="4E79CA38" w14:textId="77777777" w:rsidR="007C1085" w:rsidRDefault="007C1085" w:rsidP="007C1085">
      <w:pPr>
        <w:autoSpaceDE w:val="0"/>
        <w:autoSpaceDN w:val="0"/>
        <w:adjustRightInd w:val="0"/>
        <w:rPr>
          <w:rFonts w:cs="Arial"/>
          <w:bCs/>
          <w:i/>
          <w:szCs w:val="20"/>
        </w:rPr>
      </w:pPr>
      <w:r w:rsidRPr="002D1BD8">
        <w:rPr>
          <w:rFonts w:cs="Arial"/>
          <w:bCs/>
          <w:i/>
          <w:szCs w:val="20"/>
        </w:rPr>
        <w:t>For unknown samples, we suggest including several dilutions for each sample so that the reading will be within the standard curve range.</w:t>
      </w:r>
    </w:p>
    <w:p w14:paraId="314FB4B7" w14:textId="77777777" w:rsidR="00535641" w:rsidRPr="002D1BD8" w:rsidRDefault="00535641" w:rsidP="007C1085">
      <w:pPr>
        <w:autoSpaceDE w:val="0"/>
        <w:autoSpaceDN w:val="0"/>
        <w:adjustRightInd w:val="0"/>
        <w:rPr>
          <w:rFonts w:cs="Arial"/>
          <w:bCs/>
          <w:i/>
          <w:szCs w:val="20"/>
        </w:rPr>
      </w:pPr>
      <w:r w:rsidRPr="00535641">
        <w:rPr>
          <w:rFonts w:cs="Arial"/>
          <w:bCs/>
          <w:i/>
          <w:szCs w:val="20"/>
        </w:rPr>
        <w:t>Some samples might need the neutralization step following the addition of TCA solutio</w:t>
      </w:r>
      <w:r>
        <w:rPr>
          <w:rFonts w:cs="Arial"/>
          <w:bCs/>
          <w:i/>
          <w:szCs w:val="20"/>
        </w:rPr>
        <w:t>n.</w:t>
      </w:r>
    </w:p>
    <w:p w14:paraId="59D4994F" w14:textId="77777777" w:rsidR="00B931F1" w:rsidRPr="00576D1F" w:rsidRDefault="00B931F1" w:rsidP="007C108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rFonts w:cs="Arial"/>
          <w:b/>
          <w:bCs/>
          <w:szCs w:val="20"/>
        </w:rPr>
      </w:pPr>
      <w:r w:rsidRPr="00576D1F">
        <w:rPr>
          <w:rFonts w:cs="Arial"/>
          <w:b/>
          <w:bCs/>
          <w:szCs w:val="20"/>
        </w:rPr>
        <w:t>Standard Curve Preparation:</w:t>
      </w:r>
    </w:p>
    <w:p w14:paraId="4C0A5AD1" w14:textId="77777777" w:rsidR="007C1085" w:rsidRDefault="007C1085" w:rsidP="007C1085">
      <w:pPr>
        <w:autoSpaceDE w:val="0"/>
        <w:autoSpaceDN w:val="0"/>
        <w:adjustRightInd w:val="0"/>
        <w:spacing w:before="0"/>
        <w:ind w:left="357"/>
        <w:rPr>
          <w:rFonts w:cs="Arial"/>
          <w:szCs w:val="20"/>
        </w:rPr>
      </w:pPr>
      <w:r>
        <w:rPr>
          <w:rFonts w:cs="Arial"/>
          <w:szCs w:val="20"/>
        </w:rPr>
        <w:t xml:space="preserve">Prepare a 0.5mM </w:t>
      </w:r>
      <w:r w:rsidR="00B931F1" w:rsidRPr="00FF0FAE">
        <w:rPr>
          <w:rFonts w:cs="Arial"/>
          <w:szCs w:val="20"/>
        </w:rPr>
        <w:t xml:space="preserve">Zinc Standard by adding 10 </w:t>
      </w:r>
      <w:proofErr w:type="spellStart"/>
      <w:r w:rsidR="00B931F1" w:rsidRPr="00FF0FAE">
        <w:rPr>
          <w:rFonts w:cs="Arial"/>
          <w:szCs w:val="20"/>
        </w:rPr>
        <w:t>μl</w:t>
      </w:r>
      <w:proofErr w:type="spellEnd"/>
      <w:r w:rsidR="00B931F1" w:rsidRPr="00FF0FAE">
        <w:rPr>
          <w:rFonts w:cs="Arial"/>
          <w:szCs w:val="20"/>
        </w:rPr>
        <w:t xml:space="preserve"> of the </w:t>
      </w:r>
      <w:r>
        <w:rPr>
          <w:rFonts w:cs="Arial"/>
          <w:szCs w:val="20"/>
        </w:rPr>
        <w:t xml:space="preserve">50 </w:t>
      </w:r>
      <w:r w:rsidR="00B931F1" w:rsidRPr="00FF0FAE">
        <w:rPr>
          <w:rFonts w:cs="Arial"/>
          <w:szCs w:val="20"/>
        </w:rPr>
        <w:t xml:space="preserve">mM Zinc Standard to 990 </w:t>
      </w:r>
      <w:proofErr w:type="spellStart"/>
      <w:r w:rsidR="00B931F1" w:rsidRPr="00FF0FAE">
        <w:rPr>
          <w:rFonts w:cs="Arial"/>
          <w:szCs w:val="20"/>
        </w:rPr>
        <w:t>μl</w:t>
      </w:r>
      <w:proofErr w:type="spellEnd"/>
      <w:r w:rsidR="00B931F1" w:rsidRPr="00FF0FAE">
        <w:rPr>
          <w:rFonts w:cs="Arial"/>
          <w:szCs w:val="20"/>
        </w:rPr>
        <w:t xml:space="preserve"> of</w:t>
      </w:r>
      <w:r w:rsidR="00B931F1">
        <w:rPr>
          <w:rFonts w:cs="Arial"/>
          <w:szCs w:val="20"/>
        </w:rPr>
        <w:t xml:space="preserve"> </w:t>
      </w:r>
      <w:r w:rsidR="00B931F1" w:rsidRPr="00FF0FAE">
        <w:rPr>
          <w:rFonts w:cs="Arial"/>
          <w:szCs w:val="20"/>
        </w:rPr>
        <w:t>dH</w:t>
      </w:r>
      <w:r w:rsidR="00B931F1" w:rsidRPr="00FF0FAE">
        <w:rPr>
          <w:rFonts w:cs="Arial"/>
          <w:szCs w:val="20"/>
          <w:vertAlign w:val="subscript"/>
        </w:rPr>
        <w:t>2</w:t>
      </w:r>
      <w:r w:rsidR="00B931F1" w:rsidRPr="00FF0FAE">
        <w:rPr>
          <w:rFonts w:cs="Arial"/>
          <w:szCs w:val="20"/>
        </w:rPr>
        <w:t>O</w:t>
      </w:r>
      <w:r>
        <w:rPr>
          <w:rFonts w:cs="Arial"/>
          <w:szCs w:val="20"/>
        </w:rPr>
        <w:t xml:space="preserve"> and</w:t>
      </w:r>
      <w:r w:rsidR="00B931F1" w:rsidRPr="00FF0FAE">
        <w:rPr>
          <w:rFonts w:cs="Arial"/>
          <w:szCs w:val="20"/>
        </w:rPr>
        <w:t xml:space="preserve"> mix</w:t>
      </w:r>
      <w:r>
        <w:rPr>
          <w:rFonts w:cs="Arial"/>
          <w:szCs w:val="20"/>
        </w:rPr>
        <w:t>ing</w:t>
      </w:r>
      <w:r w:rsidR="00B931F1" w:rsidRPr="00FF0FAE">
        <w:rPr>
          <w:rFonts w:cs="Arial"/>
          <w:szCs w:val="20"/>
        </w:rPr>
        <w:t xml:space="preserve"> well.</w:t>
      </w:r>
    </w:p>
    <w:p w14:paraId="444AEC13" w14:textId="77777777" w:rsidR="009514D8" w:rsidRDefault="00B931F1" w:rsidP="007C1085">
      <w:pPr>
        <w:autoSpaceDE w:val="0"/>
        <w:autoSpaceDN w:val="0"/>
        <w:adjustRightInd w:val="0"/>
        <w:spacing w:before="0"/>
        <w:ind w:left="357"/>
        <w:rPr>
          <w:rFonts w:eastAsiaTheme="minorHAnsi" w:cs="Arial"/>
          <w:b/>
          <w:bCs/>
          <w:szCs w:val="20"/>
        </w:rPr>
      </w:pPr>
      <w:r w:rsidRPr="00FF0FAE">
        <w:rPr>
          <w:rFonts w:cs="Arial"/>
          <w:szCs w:val="20"/>
        </w:rPr>
        <w:t xml:space="preserve">Add 0, 2, 4, 6, 8, 10 </w:t>
      </w:r>
      <w:proofErr w:type="spellStart"/>
      <w:r w:rsidRPr="00FF0FAE">
        <w:rPr>
          <w:rFonts w:cs="Arial"/>
          <w:szCs w:val="20"/>
        </w:rPr>
        <w:t>μl</w:t>
      </w:r>
      <w:proofErr w:type="spellEnd"/>
      <w:r w:rsidRPr="00FF0FAE">
        <w:rPr>
          <w:rFonts w:cs="Arial"/>
          <w:szCs w:val="20"/>
        </w:rPr>
        <w:t xml:space="preserve"> into a series of wells. Adjust volume to 50 </w:t>
      </w:r>
      <w:proofErr w:type="spellStart"/>
      <w:r w:rsidRPr="00FF0FAE">
        <w:rPr>
          <w:rFonts w:cs="Arial"/>
          <w:szCs w:val="20"/>
        </w:rPr>
        <w:t>μl</w:t>
      </w:r>
      <w:proofErr w:type="spellEnd"/>
      <w:r w:rsidRPr="00FF0FAE">
        <w:rPr>
          <w:rFonts w:cs="Arial"/>
          <w:szCs w:val="20"/>
        </w:rPr>
        <w:t>/well with</w:t>
      </w:r>
      <w:r>
        <w:rPr>
          <w:rFonts w:cs="Arial"/>
          <w:szCs w:val="20"/>
        </w:rPr>
        <w:t xml:space="preserve"> </w:t>
      </w:r>
      <w:r w:rsidRPr="00FF0FAE">
        <w:rPr>
          <w:rFonts w:cs="Arial"/>
          <w:szCs w:val="20"/>
        </w:rPr>
        <w:t>dH</w:t>
      </w:r>
      <w:r w:rsidRPr="00FF0FAE">
        <w:rPr>
          <w:rFonts w:cs="Arial"/>
          <w:szCs w:val="20"/>
          <w:vertAlign w:val="subscript"/>
        </w:rPr>
        <w:t>2</w:t>
      </w:r>
      <w:r w:rsidRPr="00FF0FAE">
        <w:rPr>
          <w:rFonts w:cs="Arial"/>
          <w:szCs w:val="20"/>
        </w:rPr>
        <w:t>O to generate 0, 1, 2, 3, 4, 5 nmol/well of the Zinc Standard.</w:t>
      </w:r>
    </w:p>
    <w:p w14:paraId="094F812D" w14:textId="77777777" w:rsidR="009514D8" w:rsidRPr="007C1085" w:rsidRDefault="00B931F1" w:rsidP="007C108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rFonts w:cs="Arial"/>
          <w:b/>
          <w:bCs/>
          <w:szCs w:val="20"/>
        </w:rPr>
      </w:pPr>
      <w:r w:rsidRPr="00FF0FAE">
        <w:rPr>
          <w:rFonts w:cs="Arial"/>
          <w:b/>
          <w:bCs/>
          <w:szCs w:val="20"/>
        </w:rPr>
        <w:t>Reaction Mix:</w:t>
      </w:r>
      <w:r w:rsidRPr="007C1085">
        <w:rPr>
          <w:rFonts w:cs="Arial"/>
          <w:b/>
          <w:bCs/>
          <w:szCs w:val="20"/>
        </w:rPr>
        <w:t xml:space="preserve"> </w:t>
      </w:r>
    </w:p>
    <w:p w14:paraId="4A1B60E1" w14:textId="77777777" w:rsidR="00B931F1" w:rsidRDefault="00B931F1" w:rsidP="009514D8">
      <w:pPr>
        <w:pStyle w:val="ListParagraph"/>
        <w:autoSpaceDE w:val="0"/>
        <w:autoSpaceDN w:val="0"/>
        <w:adjustRightInd w:val="0"/>
        <w:ind w:left="357" w:firstLine="0"/>
        <w:rPr>
          <w:rFonts w:cs="Arial"/>
          <w:bCs/>
          <w:szCs w:val="20"/>
        </w:rPr>
      </w:pPr>
      <w:r w:rsidRPr="00FF0FAE">
        <w:rPr>
          <w:rFonts w:cs="Arial"/>
          <w:bCs/>
          <w:szCs w:val="20"/>
        </w:rPr>
        <w:t>Add 4</w:t>
      </w:r>
      <w:r w:rsidR="007C1085">
        <w:rPr>
          <w:rFonts w:cs="Arial"/>
          <w:bCs/>
          <w:szCs w:val="20"/>
        </w:rPr>
        <w:t>x</w:t>
      </w:r>
      <w:r w:rsidRPr="00FF0FAE">
        <w:rPr>
          <w:rFonts w:cs="Arial"/>
          <w:bCs/>
          <w:szCs w:val="20"/>
        </w:rPr>
        <w:t xml:space="preserve"> parts of Zinc </w:t>
      </w:r>
      <w:r w:rsidR="007C1085">
        <w:rPr>
          <w:rFonts w:cs="Arial"/>
          <w:bCs/>
          <w:szCs w:val="20"/>
        </w:rPr>
        <w:t>R</w:t>
      </w:r>
      <w:r w:rsidRPr="00FF0FAE">
        <w:rPr>
          <w:rFonts w:cs="Arial"/>
          <w:bCs/>
          <w:szCs w:val="20"/>
        </w:rPr>
        <w:t>eagent 1 to 1</w:t>
      </w:r>
      <w:r w:rsidR="007C1085">
        <w:rPr>
          <w:rFonts w:cs="Arial"/>
          <w:bCs/>
          <w:szCs w:val="20"/>
        </w:rPr>
        <w:t xml:space="preserve">x </w:t>
      </w:r>
      <w:r w:rsidRPr="00FF0FAE">
        <w:rPr>
          <w:rFonts w:cs="Arial"/>
          <w:bCs/>
          <w:szCs w:val="20"/>
        </w:rPr>
        <w:t xml:space="preserve">part Zinc </w:t>
      </w:r>
      <w:r w:rsidR="007C1085">
        <w:rPr>
          <w:rFonts w:cs="Arial"/>
          <w:bCs/>
          <w:szCs w:val="20"/>
        </w:rPr>
        <w:t>R</w:t>
      </w:r>
      <w:r w:rsidRPr="00FF0FAE">
        <w:rPr>
          <w:rFonts w:cs="Arial"/>
          <w:bCs/>
          <w:szCs w:val="20"/>
        </w:rPr>
        <w:t xml:space="preserve">eagent 2. Make only as much Zinc reaction mix as is needed for samples and standards to be run. Each sample or standard requires 200 </w:t>
      </w:r>
      <w:proofErr w:type="spellStart"/>
      <w:r w:rsidRPr="00FF0FAE">
        <w:rPr>
          <w:rFonts w:cs="Arial"/>
          <w:bCs/>
          <w:szCs w:val="20"/>
        </w:rPr>
        <w:t>μl</w:t>
      </w:r>
      <w:proofErr w:type="spellEnd"/>
      <w:r w:rsidRPr="00FF0FAE">
        <w:rPr>
          <w:rFonts w:cs="Arial"/>
          <w:bCs/>
          <w:szCs w:val="20"/>
        </w:rPr>
        <w:t xml:space="preserve"> of reagent mix. Once mixed, the Zinc reaction mix is good for 2 days at room temperature or 1 week at </w:t>
      </w:r>
      <w:r w:rsidR="007C1085">
        <w:rPr>
          <w:rFonts w:cs="Arial"/>
          <w:bCs/>
          <w:szCs w:val="20"/>
        </w:rPr>
        <w:t>+</w:t>
      </w:r>
      <w:r w:rsidRPr="00FF0FAE">
        <w:rPr>
          <w:rFonts w:cs="Arial"/>
          <w:bCs/>
          <w:szCs w:val="20"/>
        </w:rPr>
        <w:t>4°C.</w:t>
      </w:r>
    </w:p>
    <w:p w14:paraId="17608729" w14:textId="77777777" w:rsidR="00B931F1" w:rsidRPr="00576D1F" w:rsidRDefault="00B931F1" w:rsidP="009514D8">
      <w:pPr>
        <w:pStyle w:val="ListParagraph"/>
        <w:autoSpaceDE w:val="0"/>
        <w:autoSpaceDN w:val="0"/>
        <w:adjustRightInd w:val="0"/>
        <w:ind w:left="357" w:firstLine="0"/>
        <w:contextualSpacing w:val="0"/>
        <w:rPr>
          <w:rFonts w:cs="Arial"/>
          <w:szCs w:val="20"/>
        </w:rPr>
      </w:pPr>
      <w:r w:rsidRPr="00FF0FAE">
        <w:rPr>
          <w:rFonts w:cs="Arial"/>
          <w:bCs/>
          <w:szCs w:val="20"/>
        </w:rPr>
        <w:lastRenderedPageBreak/>
        <w:t xml:space="preserve">Add 200 </w:t>
      </w:r>
      <w:proofErr w:type="spellStart"/>
      <w:r w:rsidRPr="00FF0FAE">
        <w:rPr>
          <w:rFonts w:cs="Arial"/>
          <w:bCs/>
          <w:szCs w:val="20"/>
        </w:rPr>
        <w:t>μl</w:t>
      </w:r>
      <w:proofErr w:type="spellEnd"/>
      <w:r w:rsidRPr="00FF0FAE">
        <w:rPr>
          <w:rFonts w:cs="Arial"/>
          <w:bCs/>
          <w:szCs w:val="20"/>
        </w:rPr>
        <w:t xml:space="preserve"> of Zinc reaction mix to each standard and sample; incubate 10 min at room</w:t>
      </w:r>
      <w:r>
        <w:rPr>
          <w:rFonts w:cs="Arial"/>
          <w:bCs/>
          <w:szCs w:val="20"/>
        </w:rPr>
        <w:t xml:space="preserve"> </w:t>
      </w:r>
      <w:r w:rsidRPr="00FF0FAE">
        <w:rPr>
          <w:rFonts w:cs="Arial"/>
          <w:bCs/>
          <w:szCs w:val="20"/>
        </w:rPr>
        <w:t>temperature.</w:t>
      </w:r>
    </w:p>
    <w:p w14:paraId="6D2DE730" w14:textId="77777777" w:rsidR="007C1085" w:rsidRPr="007C1085" w:rsidRDefault="007C1085" w:rsidP="007C108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284" w:hanging="284"/>
        <w:contextualSpacing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Measurement:</w:t>
      </w:r>
    </w:p>
    <w:p w14:paraId="150B1E97" w14:textId="77777777" w:rsidR="00B931F1" w:rsidRDefault="00B931F1" w:rsidP="007C1085">
      <w:pPr>
        <w:pStyle w:val="ListParagraph"/>
        <w:autoSpaceDE w:val="0"/>
        <w:autoSpaceDN w:val="0"/>
        <w:adjustRightInd w:val="0"/>
        <w:ind w:left="357" w:firstLine="0"/>
        <w:contextualSpacing w:val="0"/>
        <w:rPr>
          <w:rFonts w:cs="Arial"/>
          <w:bCs/>
          <w:szCs w:val="20"/>
        </w:rPr>
      </w:pPr>
      <w:r w:rsidRPr="00FF0FAE">
        <w:rPr>
          <w:rFonts w:cs="Arial"/>
          <w:bCs/>
          <w:szCs w:val="20"/>
        </w:rPr>
        <w:t xml:space="preserve">Measure </w:t>
      </w:r>
      <w:r w:rsidR="007C1085">
        <w:rPr>
          <w:rFonts w:cs="Arial"/>
          <w:bCs/>
          <w:szCs w:val="20"/>
        </w:rPr>
        <w:t xml:space="preserve">assay at </w:t>
      </w:r>
      <w:r w:rsidRPr="00FF0FAE">
        <w:rPr>
          <w:rFonts w:cs="Arial"/>
          <w:bCs/>
          <w:szCs w:val="20"/>
        </w:rPr>
        <w:t>OD</w:t>
      </w:r>
      <w:r w:rsidRPr="001A6C40">
        <w:rPr>
          <w:rFonts w:cs="Arial"/>
          <w:bCs/>
          <w:szCs w:val="20"/>
          <w:vertAlign w:val="subscript"/>
        </w:rPr>
        <w:t>560nm</w:t>
      </w:r>
      <w:r w:rsidRPr="00FF0FAE">
        <w:rPr>
          <w:rFonts w:cs="Arial"/>
          <w:bCs/>
          <w:szCs w:val="20"/>
        </w:rPr>
        <w:t xml:space="preserve"> in a microplate reader.</w:t>
      </w:r>
    </w:p>
    <w:p w14:paraId="66A14DF6" w14:textId="77777777" w:rsidR="00B931F1" w:rsidRDefault="00B931F1" w:rsidP="00B931F1">
      <w:pPr>
        <w:pStyle w:val="Heading1"/>
        <w:ind w:left="502"/>
      </w:pPr>
      <w:bookmarkStart w:id="17" w:name="_Toc315440414"/>
      <w:bookmarkStart w:id="18" w:name="_Toc359316750"/>
      <w:r>
        <w:t>Data Analysis</w:t>
      </w:r>
      <w:bookmarkEnd w:id="17"/>
      <w:bookmarkEnd w:id="18"/>
    </w:p>
    <w:p w14:paraId="5538BEAB" w14:textId="77777777" w:rsidR="00B931F1" w:rsidRDefault="00B931F1" w:rsidP="00B931F1">
      <w:pPr>
        <w:autoSpaceDE w:val="0"/>
        <w:autoSpaceDN w:val="0"/>
        <w:adjustRightInd w:val="0"/>
        <w:rPr>
          <w:rFonts w:cs="Arial"/>
          <w:szCs w:val="20"/>
        </w:rPr>
      </w:pPr>
      <w:r w:rsidRPr="00FF0FAE">
        <w:rPr>
          <w:rFonts w:cs="Arial"/>
          <w:szCs w:val="20"/>
        </w:rPr>
        <w:t xml:space="preserve">Correct background by subtracting the value derived from the </w:t>
      </w:r>
      <w:r>
        <w:rPr>
          <w:rFonts w:cs="Arial"/>
          <w:szCs w:val="20"/>
        </w:rPr>
        <w:t>zero</w:t>
      </w:r>
      <w:r w:rsidRPr="00FF0FAE">
        <w:rPr>
          <w:rFonts w:cs="Arial"/>
          <w:szCs w:val="20"/>
        </w:rPr>
        <w:t xml:space="preserve"> Zinc Standard</w:t>
      </w:r>
      <w:r>
        <w:rPr>
          <w:rFonts w:cs="Arial"/>
          <w:szCs w:val="20"/>
        </w:rPr>
        <w:t xml:space="preserve"> from all readings. </w:t>
      </w:r>
      <w:r w:rsidRPr="00FF0FAE">
        <w:rPr>
          <w:rFonts w:cs="Arial"/>
          <w:szCs w:val="20"/>
        </w:rPr>
        <w:t xml:space="preserve">The background reading can be significant and must be subtracted. </w:t>
      </w:r>
    </w:p>
    <w:p w14:paraId="7CF779F6" w14:textId="77777777" w:rsidR="00B931F1" w:rsidRDefault="00B931F1" w:rsidP="00B931F1">
      <w:pPr>
        <w:autoSpaceDE w:val="0"/>
        <w:autoSpaceDN w:val="0"/>
        <w:adjustRightInd w:val="0"/>
        <w:rPr>
          <w:rFonts w:cs="Arial"/>
          <w:szCs w:val="20"/>
        </w:rPr>
      </w:pPr>
      <w:r w:rsidRPr="00FF0FAE">
        <w:rPr>
          <w:rFonts w:cs="Arial"/>
          <w:szCs w:val="20"/>
        </w:rPr>
        <w:t>Plot</w:t>
      </w:r>
      <w:r>
        <w:rPr>
          <w:rFonts w:cs="Arial"/>
          <w:szCs w:val="20"/>
        </w:rPr>
        <w:t xml:space="preserve"> </w:t>
      </w:r>
      <w:r w:rsidRPr="00FF0FAE">
        <w:rPr>
          <w:rFonts w:cs="Arial"/>
          <w:szCs w:val="20"/>
        </w:rPr>
        <w:t xml:space="preserve">the Zinc Standard curve. </w:t>
      </w:r>
    </w:p>
    <w:p w14:paraId="3D0EDC63" w14:textId="77777777" w:rsidR="00B931F1" w:rsidRPr="00FF0FAE" w:rsidRDefault="00B931F1" w:rsidP="00B931F1">
      <w:pPr>
        <w:autoSpaceDE w:val="0"/>
        <w:autoSpaceDN w:val="0"/>
        <w:adjustRightInd w:val="0"/>
        <w:rPr>
          <w:rFonts w:cs="Arial"/>
          <w:szCs w:val="20"/>
        </w:rPr>
      </w:pPr>
      <w:r w:rsidRPr="00FF0FAE">
        <w:rPr>
          <w:rFonts w:cs="Arial"/>
          <w:szCs w:val="20"/>
        </w:rPr>
        <w:t>Read Zinc sample concentrations from the standard curve:</w:t>
      </w:r>
    </w:p>
    <w:p w14:paraId="7E298BEA" w14:textId="77777777" w:rsidR="00B931F1" w:rsidRPr="00F77CE2" w:rsidRDefault="00B931F1" w:rsidP="00B931F1">
      <w:pPr>
        <w:autoSpaceDE w:val="0"/>
        <w:autoSpaceDN w:val="0"/>
        <w:adjustRightInd w:val="0"/>
        <w:jc w:val="center"/>
        <w:rPr>
          <w:rFonts w:cs="Arial"/>
          <w:b/>
          <w:szCs w:val="20"/>
          <w:lang w:val="fr-FR"/>
        </w:rPr>
      </w:pPr>
      <w:r w:rsidRPr="00F77CE2">
        <w:rPr>
          <w:rFonts w:cs="Arial"/>
          <w:b/>
          <w:szCs w:val="20"/>
          <w:lang w:val="fr-FR"/>
        </w:rPr>
        <w:t>C</w:t>
      </w:r>
      <w:r>
        <w:rPr>
          <w:rFonts w:cs="Arial"/>
          <w:b/>
          <w:szCs w:val="20"/>
          <w:lang w:val="fr-FR"/>
        </w:rPr>
        <w:t>oncentration</w:t>
      </w:r>
      <w:r w:rsidRPr="00F77CE2">
        <w:rPr>
          <w:rFonts w:cs="Arial"/>
          <w:b/>
          <w:szCs w:val="20"/>
          <w:lang w:val="fr-FR"/>
        </w:rPr>
        <w:t xml:space="preserve"> = Sa / Sv nmol/</w:t>
      </w:r>
      <w:r w:rsidRPr="00FF0FAE">
        <w:rPr>
          <w:rFonts w:cs="Arial"/>
          <w:b/>
          <w:szCs w:val="20"/>
        </w:rPr>
        <w:t>μ</w:t>
      </w:r>
      <w:proofErr w:type="spellStart"/>
      <w:r w:rsidRPr="00F77CE2">
        <w:rPr>
          <w:rFonts w:cs="Arial"/>
          <w:b/>
          <w:szCs w:val="20"/>
          <w:lang w:val="fr-FR"/>
        </w:rPr>
        <w:t>l or</w:t>
      </w:r>
      <w:proofErr w:type="spellEnd"/>
      <w:r w:rsidRPr="00F77CE2">
        <w:rPr>
          <w:rFonts w:cs="Arial"/>
          <w:b/>
          <w:szCs w:val="20"/>
          <w:lang w:val="fr-FR"/>
        </w:rPr>
        <w:t xml:space="preserve"> mM,</w:t>
      </w:r>
    </w:p>
    <w:p w14:paraId="1AE99AED" w14:textId="77777777" w:rsidR="00B931F1" w:rsidRDefault="00B931F1" w:rsidP="00B931F1">
      <w:pPr>
        <w:autoSpaceDE w:val="0"/>
        <w:autoSpaceDN w:val="0"/>
        <w:adjustRightInd w:val="0"/>
        <w:spacing w:before="0"/>
        <w:rPr>
          <w:rFonts w:cs="Arial"/>
          <w:szCs w:val="20"/>
        </w:rPr>
      </w:pPr>
      <w:r w:rsidRPr="00FF0FAE">
        <w:rPr>
          <w:rFonts w:cs="Arial"/>
          <w:szCs w:val="20"/>
        </w:rPr>
        <w:t xml:space="preserve">Where </w:t>
      </w:r>
    </w:p>
    <w:p w14:paraId="0EE946F3" w14:textId="77777777" w:rsidR="00B931F1" w:rsidRDefault="00B931F1" w:rsidP="00B931F1">
      <w:pPr>
        <w:autoSpaceDE w:val="0"/>
        <w:autoSpaceDN w:val="0"/>
        <w:adjustRightInd w:val="0"/>
        <w:spacing w:before="0"/>
        <w:rPr>
          <w:rFonts w:cs="Arial"/>
          <w:szCs w:val="20"/>
        </w:rPr>
      </w:pPr>
      <w:r w:rsidRPr="00FF0FAE">
        <w:rPr>
          <w:rFonts w:cs="Arial"/>
          <w:b/>
          <w:szCs w:val="20"/>
        </w:rPr>
        <w:t xml:space="preserve">Sa </w:t>
      </w:r>
      <w:r w:rsidRPr="00FF0FAE">
        <w:rPr>
          <w:rFonts w:cs="Arial"/>
          <w:szCs w:val="20"/>
        </w:rPr>
        <w:t>is the sample amount (in nmol) from standard curve</w:t>
      </w:r>
    </w:p>
    <w:p w14:paraId="26538B61" w14:textId="77777777" w:rsidR="00B931F1" w:rsidRDefault="00B931F1" w:rsidP="00B931F1">
      <w:pPr>
        <w:autoSpaceDE w:val="0"/>
        <w:autoSpaceDN w:val="0"/>
        <w:adjustRightInd w:val="0"/>
        <w:rPr>
          <w:rFonts w:cs="Arial"/>
          <w:szCs w:val="20"/>
        </w:rPr>
      </w:pPr>
      <w:proofErr w:type="spellStart"/>
      <w:r w:rsidRPr="00FF0FAE">
        <w:rPr>
          <w:rFonts w:cs="Arial"/>
          <w:b/>
          <w:szCs w:val="20"/>
        </w:rPr>
        <w:t>Sv</w:t>
      </w:r>
      <w:proofErr w:type="spellEnd"/>
      <w:r w:rsidRPr="00FF0FAE">
        <w:rPr>
          <w:rFonts w:cs="Arial"/>
          <w:b/>
          <w:szCs w:val="20"/>
        </w:rPr>
        <w:t xml:space="preserve"> </w:t>
      </w:r>
      <w:r w:rsidRPr="00FF0FAE">
        <w:rPr>
          <w:rFonts w:cs="Arial"/>
          <w:szCs w:val="20"/>
        </w:rPr>
        <w:t>is the sample volume (</w:t>
      </w:r>
      <w:proofErr w:type="spellStart"/>
      <w:r w:rsidRPr="00FF0FAE">
        <w:rPr>
          <w:rFonts w:cs="Arial"/>
          <w:szCs w:val="20"/>
        </w:rPr>
        <w:t>μl</w:t>
      </w:r>
      <w:proofErr w:type="spellEnd"/>
      <w:r w:rsidRPr="00FF0FAE">
        <w:rPr>
          <w:rFonts w:cs="Arial"/>
          <w:szCs w:val="20"/>
        </w:rPr>
        <w:t>) added into the wells</w:t>
      </w:r>
    </w:p>
    <w:p w14:paraId="6E16DD6E" w14:textId="77777777" w:rsidR="00B931F1" w:rsidRDefault="00B931F1" w:rsidP="00B931F1">
      <w:pPr>
        <w:autoSpaceDE w:val="0"/>
        <w:autoSpaceDN w:val="0"/>
        <w:adjustRightInd w:val="0"/>
        <w:rPr>
          <w:rFonts w:cs="Arial"/>
          <w:szCs w:val="20"/>
        </w:rPr>
      </w:pPr>
      <w:r w:rsidRPr="00460B09">
        <w:rPr>
          <w:rFonts w:cs="Arial"/>
          <w:b/>
          <w:szCs w:val="20"/>
        </w:rPr>
        <w:t>Zinc MW:</w:t>
      </w:r>
      <w:r w:rsidRPr="00FF0FAE">
        <w:rPr>
          <w:rFonts w:cs="Arial"/>
          <w:szCs w:val="20"/>
        </w:rPr>
        <w:t xml:space="preserve"> 65.384 g/mol</w:t>
      </w:r>
    </w:p>
    <w:p w14:paraId="7E39B2F4" w14:textId="77777777" w:rsidR="00535641" w:rsidRDefault="00535641">
      <w:pPr>
        <w:spacing w:before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06932D5C" w14:textId="77777777" w:rsidR="00B931F1" w:rsidRDefault="00B931F1" w:rsidP="00B931F1">
      <w:pPr>
        <w:autoSpaceDE w:val="0"/>
        <w:autoSpaceDN w:val="0"/>
        <w:adjustRightInd w:val="0"/>
        <w:spacing w:before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val="en-GB" w:eastAsia="en-GB"/>
        </w:rPr>
        <w:lastRenderedPageBreak/>
        <w:drawing>
          <wp:inline distT="0" distB="0" distL="0" distR="0" wp14:anchorId="5BFE3341" wp14:editId="42012DF6">
            <wp:extent cx="3141818" cy="2160000"/>
            <wp:effectExtent l="19050" t="0" r="1432" b="0"/>
            <wp:docPr id="2" name="Picture 1" descr="C:\Documents and Settings\jdurkin\My Documents\My Pictures\BIO\2702\z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durkin\My Documents\My Pictures\BIO\2702\z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81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3FD97E" w14:textId="77777777" w:rsidR="00B931F1" w:rsidRDefault="00B931F1">
      <w:pPr>
        <w:spacing w:before="0" w:line="240" w:lineRule="auto"/>
        <w:jc w:val="left"/>
        <w:rPr>
          <w:rFonts w:eastAsia="Times New Roman"/>
          <w:b/>
          <w:bCs/>
          <w:sz w:val="28"/>
          <w:szCs w:val="28"/>
        </w:rPr>
      </w:pPr>
      <w:bookmarkStart w:id="19" w:name="_Toc315440415"/>
      <w:r>
        <w:br w:type="page"/>
      </w:r>
    </w:p>
    <w:p w14:paraId="4787A405" w14:textId="77777777" w:rsidR="00B931F1" w:rsidRDefault="00B931F1" w:rsidP="00B931F1">
      <w:pPr>
        <w:pStyle w:val="Heading1"/>
        <w:spacing w:before="0"/>
        <w:ind w:left="502"/>
      </w:pPr>
      <w:bookmarkStart w:id="20" w:name="_Toc359316751"/>
      <w:r>
        <w:lastRenderedPageBreak/>
        <w:t>Troubleshooting</w:t>
      </w:r>
      <w:bookmarkEnd w:id="15"/>
      <w:bookmarkEnd w:id="16"/>
      <w:bookmarkEnd w:id="19"/>
      <w:bookmarkEnd w:id="20"/>
    </w:p>
    <w:tbl>
      <w:tblPr>
        <w:tblW w:w="654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7"/>
        <w:gridCol w:w="2126"/>
        <w:gridCol w:w="3119"/>
      </w:tblGrid>
      <w:tr w:rsidR="00B931F1" w:rsidRPr="00F27755" w14:paraId="600A6E71" w14:textId="77777777" w:rsidTr="00DC0B00">
        <w:trPr>
          <w:trHeight w:val="30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2736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>Problem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22D4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>Reason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DB30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 xml:space="preserve"> Solution</w:t>
            </w:r>
          </w:p>
        </w:tc>
      </w:tr>
      <w:tr w:rsidR="00B931F1" w:rsidRPr="00F27755" w14:paraId="3BE2ACCD" w14:textId="77777777" w:rsidTr="00DC0B00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D320" w14:textId="77777777" w:rsidR="00B931F1" w:rsidRPr="00AF7CBE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AF7CBE">
              <w:rPr>
                <w:rFonts w:eastAsia="Times New Roman" w:cs="Arial"/>
                <w:color w:val="000000"/>
                <w:szCs w:val="20"/>
                <w:lang w:val="en-GB" w:eastAsia="en-GB"/>
              </w:rPr>
              <w:t>Assay not working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1F96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Assay buffer at wrong temp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erature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705E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Assay buffer must not be chilled - needs to be at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RT</w:t>
            </w:r>
          </w:p>
        </w:tc>
      </w:tr>
      <w:tr w:rsidR="00B931F1" w:rsidRPr="00F27755" w14:paraId="5CE04AC1" w14:textId="77777777" w:rsidTr="00DC0B00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C089F" w14:textId="77777777" w:rsidR="00B931F1" w:rsidRPr="00AF7CBE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6E91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Protocol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step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missed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69FF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Re-read and follow the protocol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exactly</w:t>
            </w:r>
          </w:p>
        </w:tc>
      </w:tr>
      <w:tr w:rsidR="00B931F1" w:rsidRPr="00F27755" w14:paraId="5F92FA18" w14:textId="77777777" w:rsidTr="00DC0B00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B644" w14:textId="77777777" w:rsidR="00B931F1" w:rsidRPr="00AF7CBE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149C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Plate read at incorrect wavelength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092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Ensure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you are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using appropriate reader and filter settings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(refer to datasheet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)</w:t>
            </w:r>
          </w:p>
        </w:tc>
      </w:tr>
      <w:tr w:rsidR="00B931F1" w:rsidRPr="00F27755" w14:paraId="68A444BB" w14:textId="77777777" w:rsidTr="00DC0B00">
        <w:trPr>
          <w:trHeight w:val="1035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4862" w14:textId="77777777" w:rsidR="00B931F1" w:rsidRPr="00AF7CBE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D06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nsuitable microtiter plate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for assay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C93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Fluorescence: Black plates (clear bottoms)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;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br/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Luminescence: White plates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;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br/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Colorimetry: Clear plates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.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br/>
              <w:t>If critical, datasheet will indicate whether to use flat- or U-shaped wells</w:t>
            </w:r>
          </w:p>
        </w:tc>
      </w:tr>
      <w:tr w:rsidR="00B931F1" w:rsidRPr="00F27755" w14:paraId="50A26CAE" w14:textId="77777777" w:rsidTr="00DC0B00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B844" w14:textId="77777777" w:rsidR="00B931F1" w:rsidRPr="00AF7CBE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AF7CBE">
              <w:rPr>
                <w:rFonts w:eastAsia="Times New Roman" w:cs="Arial"/>
                <w:color w:val="000000"/>
                <w:szCs w:val="20"/>
                <w:lang w:val="en-GB" w:eastAsia="en-GB"/>
              </w:rPr>
              <w:t>Unexpected results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C59F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Measured at wrong wavelength 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3216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Use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appropriate reader and filter settings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described in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datasheet</w:t>
            </w:r>
          </w:p>
        </w:tc>
      </w:tr>
      <w:tr w:rsidR="00B931F1" w:rsidRPr="00F27755" w14:paraId="17FA2AA7" w14:textId="77777777" w:rsidTr="00DC0B00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1E44" w14:textId="77777777" w:rsidR="00B931F1" w:rsidRPr="00AF7CBE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BC05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 contain impeding substances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D0D3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Troubleshoot </w:t>
            </w:r>
            <w:proofErr w:type="gramStart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and also</w:t>
            </w:r>
            <w:proofErr w:type="gramEnd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consider deproteinizing samples</w:t>
            </w:r>
          </w:p>
        </w:tc>
      </w:tr>
      <w:tr w:rsidR="00B931F1" w:rsidRPr="00F27755" w14:paraId="6B60E6D9" w14:textId="77777777" w:rsidTr="00DC0B00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0488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DAA0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nsuitable sample type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2AD4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Use r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ecommended samples types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as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listed on the datasheet</w:t>
            </w:r>
          </w:p>
        </w:tc>
      </w:tr>
      <w:tr w:rsidR="00B931F1" w:rsidRPr="00F27755" w14:paraId="4496FFAA" w14:textId="77777777" w:rsidTr="00DC0B00">
        <w:trPr>
          <w:trHeight w:val="577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F8E1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DF3A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 readings are outside linear range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87EA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Co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ncentrate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dilute samples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to be in linear range</w:t>
            </w:r>
          </w:p>
        </w:tc>
      </w:tr>
    </w:tbl>
    <w:p w14:paraId="6FDAE68F" w14:textId="77777777" w:rsidR="00535641" w:rsidRDefault="00535641">
      <w:pPr>
        <w:spacing w:before="0" w:line="240" w:lineRule="auto"/>
        <w:jc w:val="left"/>
      </w:pPr>
      <w:r>
        <w:br w:type="page"/>
      </w:r>
    </w:p>
    <w:tbl>
      <w:tblPr>
        <w:tblW w:w="6542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297"/>
        <w:gridCol w:w="2126"/>
        <w:gridCol w:w="3119"/>
      </w:tblGrid>
      <w:tr w:rsidR="00B931F1" w:rsidRPr="00F27755" w14:paraId="787B27A4" w14:textId="77777777" w:rsidTr="00DC0B00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F8EE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lastRenderedPageBreak/>
              <w:t>Samples with inconsistent readings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9B67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nsuitable sample type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8932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Refer to datasheet for details about incompatible samples</w:t>
            </w:r>
          </w:p>
        </w:tc>
      </w:tr>
      <w:tr w:rsidR="00B931F1" w:rsidRPr="00F27755" w14:paraId="6B59D9E9" w14:textId="77777777" w:rsidTr="00DC0B00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AEAC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CC23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Samples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prepared in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the wrong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buffer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116A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 the ass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ay buffer provided (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or refer to datasheet for instructions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)</w:t>
            </w:r>
          </w:p>
        </w:tc>
      </w:tr>
      <w:tr w:rsidR="00B931F1" w:rsidRPr="00F27755" w14:paraId="4BD43137" w14:textId="77777777" w:rsidTr="00DC0B00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A7A4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4347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not deproteinized (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if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indicated on datasheet)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8A6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Use the </w:t>
            </w:r>
            <w:r w:rsidRPr="002056E4">
              <w:rPr>
                <w:rFonts w:eastAsia="Times New Roman" w:cs="Arial"/>
                <w:b/>
                <w:bCs/>
                <w:i/>
                <w:color w:val="000000"/>
                <w:szCs w:val="20"/>
                <w:lang w:val="en-GB" w:eastAsia="en-GB"/>
              </w:rPr>
              <w:t>10kDa spin column (ab93349)</w:t>
            </w:r>
          </w:p>
        </w:tc>
      </w:tr>
      <w:tr w:rsidR="00B931F1" w:rsidRPr="00F27755" w14:paraId="630FF5F3" w14:textId="77777777" w:rsidTr="00DC0B00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EB91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D252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Cell/ tissue samples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not sufficiently homogenized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79EA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Increase sonication time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number of strokes with the Dounce homogenizer</w:t>
            </w:r>
          </w:p>
        </w:tc>
      </w:tr>
      <w:tr w:rsidR="00B931F1" w:rsidRPr="00F27755" w14:paraId="4CF0EBDC" w14:textId="77777777" w:rsidTr="00DC0B00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5380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48BE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Too many freeze-thaw cycles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6297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Aliquot samples to reduce the number of freeze-thaw cycles</w:t>
            </w:r>
          </w:p>
        </w:tc>
      </w:tr>
      <w:tr w:rsidR="00B931F1" w:rsidRPr="00F27755" w14:paraId="31C04E5A" w14:textId="77777777" w:rsidTr="00DC0B00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28D2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DF39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 contain impeding substances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6CDE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Troubleshoot </w:t>
            </w:r>
            <w:proofErr w:type="gramStart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and also</w:t>
            </w:r>
            <w:proofErr w:type="gramEnd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consider deproteinizing samples</w:t>
            </w:r>
          </w:p>
        </w:tc>
      </w:tr>
      <w:tr w:rsidR="00B931F1" w:rsidRPr="00F27755" w14:paraId="371E2FF9" w14:textId="77777777" w:rsidTr="00DC0B00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9409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DFBC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 are too old or incorrectly stored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E731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 freshly made samples and store at recommended temperature until use</w:t>
            </w:r>
          </w:p>
        </w:tc>
      </w:tr>
      <w:tr w:rsidR="00B931F1" w:rsidRPr="00F27755" w14:paraId="355509FE" w14:textId="77777777" w:rsidTr="00DC0B00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2FF6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Lower/ Higher readings in samples and standards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B54E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Not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fully thawed kit components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2901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Wait for components to thaw completely and gently mix prior use</w:t>
            </w:r>
          </w:p>
        </w:tc>
      </w:tr>
      <w:tr w:rsidR="00B931F1" w:rsidRPr="00F27755" w14:paraId="30710CBC" w14:textId="77777777" w:rsidTr="00DC0B00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2E37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BEC2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O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ut-of-date kit or incorrectly stored reagents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FCF5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Always check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expiry date and store kit components as recommended on the datasheet</w:t>
            </w:r>
          </w:p>
        </w:tc>
      </w:tr>
      <w:tr w:rsidR="00B931F1" w:rsidRPr="00F27755" w14:paraId="6538A273" w14:textId="77777777" w:rsidTr="00DC0B00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57F1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BBFB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R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eagents sit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ting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for extended periods on ice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3060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Try to prepare a fresh reaction mix prior to each use</w:t>
            </w:r>
          </w:p>
        </w:tc>
      </w:tr>
      <w:tr w:rsidR="00B931F1" w:rsidRPr="00F27755" w14:paraId="17FF9E93" w14:textId="77777777" w:rsidTr="00DC0B00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F755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4C1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 incubation time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temperature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F0AB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Refer to datasheet for recommended incubation time and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 or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temperature</w:t>
            </w:r>
          </w:p>
        </w:tc>
      </w:tr>
      <w:tr w:rsidR="00B931F1" w:rsidRPr="00F27755" w14:paraId="6FB02A72" w14:textId="77777777" w:rsidTr="00DC0B00">
        <w:trPr>
          <w:trHeight w:val="1051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27B2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BDA5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 amounts used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1E96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Check pipette is calibrated correctly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(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always use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s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mallest volu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me pipette that can pipette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entire volume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)</w:t>
            </w:r>
          </w:p>
        </w:tc>
      </w:tr>
      <w:tr w:rsidR="00B931F1" w:rsidRPr="00F27755" w14:paraId="03269ACD" w14:textId="77777777" w:rsidTr="00DC0B00">
        <w:trPr>
          <w:trHeight w:val="296"/>
        </w:trPr>
        <w:tc>
          <w:tcPr>
            <w:tcW w:w="1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BF8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lastRenderedPageBreak/>
              <w:t>Problem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69F0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>Reason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1C05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 xml:space="preserve"> Solution</w:t>
            </w:r>
          </w:p>
        </w:tc>
      </w:tr>
      <w:tr w:rsidR="00B931F1" w:rsidRPr="00F27755" w14:paraId="49938616" w14:textId="77777777" w:rsidTr="00DC0B00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59AD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Standard curve is not linear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C53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Not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fully thawed kit components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AE8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Wait for components to thaw com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pletely and gently mix prior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</w:t>
            </w:r>
          </w:p>
        </w:tc>
      </w:tr>
      <w:tr w:rsidR="00B931F1" w:rsidRPr="00F27755" w14:paraId="12AB9B14" w14:textId="77777777" w:rsidTr="00DC0B00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CF7C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AB8C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Pipetting errors when setting up the standard curve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2275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Try not to pipette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too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small volumes</w:t>
            </w:r>
          </w:p>
        </w:tc>
      </w:tr>
      <w:tr w:rsidR="00B931F1" w:rsidRPr="00F27755" w14:paraId="6F5AF2B4" w14:textId="77777777" w:rsidTr="00DC0B00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070F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BE83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 pipetting when preparing the reaction mix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8F4B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Always prepare a master mix</w:t>
            </w:r>
          </w:p>
        </w:tc>
      </w:tr>
      <w:tr w:rsidR="00B931F1" w:rsidRPr="00F27755" w14:paraId="21274FDC" w14:textId="77777777" w:rsidTr="00DC0B00">
        <w:trPr>
          <w:trHeight w:val="78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E805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BF58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Air bubbles in wells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36EE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Air bubbles will interfere with readings; try to avoid producing air bubbles and always remove bubbles prior to reading plates</w:t>
            </w:r>
          </w:p>
        </w:tc>
      </w:tr>
      <w:tr w:rsidR="00B931F1" w:rsidRPr="00F27755" w14:paraId="5985DADA" w14:textId="77777777" w:rsidTr="00DC0B00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716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B1BA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Concentration of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standard stock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46D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Recheck datasheet for recommended concentrations of standard stocks</w:t>
            </w:r>
          </w:p>
        </w:tc>
      </w:tr>
      <w:tr w:rsidR="00B931F1" w:rsidRPr="00F27755" w14:paraId="44DB46AB" w14:textId="77777777" w:rsidTr="00DC0B00">
        <w:trPr>
          <w:trHeight w:val="592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48D" w14:textId="77777777" w:rsidR="00B931F1" w:rsidRPr="002003DC" w:rsidRDefault="00B931F1" w:rsidP="00DC0B00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32FE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Errors in standard curve calculations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E0DC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Refer to datasheet and re-check the calculations</w:t>
            </w:r>
          </w:p>
        </w:tc>
      </w:tr>
      <w:tr w:rsidR="00B931F1" w:rsidRPr="00F27755" w14:paraId="1B489A4D" w14:textId="77777777" w:rsidTr="00DC0B00">
        <w:trPr>
          <w:trHeight w:val="812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EA82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55A4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e of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other reagents than those provided with the kit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5B4E" w14:textId="77777777" w:rsidR="00B931F1" w:rsidRPr="002003DC" w:rsidRDefault="00B931F1" w:rsidP="00DC0B00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 fresh components from the same kit</w:t>
            </w:r>
          </w:p>
        </w:tc>
      </w:tr>
    </w:tbl>
    <w:p w14:paraId="4B544314" w14:textId="77777777" w:rsidR="00B931F1" w:rsidRPr="00527A16" w:rsidRDefault="00B931F1" w:rsidP="00B931F1"/>
    <w:p w14:paraId="7A9E3E90" w14:textId="77777777" w:rsidR="00B931F1" w:rsidRDefault="00B931F1" w:rsidP="00B931F1">
      <w:pPr>
        <w:spacing w:before="120" w:line="276" w:lineRule="auto"/>
        <w:rPr>
          <w:lang w:val="en-GB"/>
        </w:rPr>
      </w:pPr>
      <w:r>
        <w:rPr>
          <w:b/>
        </w:rPr>
        <w:t>For further technical questions p</w:t>
      </w:r>
      <w:r w:rsidRPr="00457A34">
        <w:rPr>
          <w:b/>
        </w:rPr>
        <w:t>lease do not hesitate to contact us by email (</w:t>
      </w:r>
      <w:hyperlink r:id="rId10" w:history="1">
        <w:r w:rsidRPr="00457A34">
          <w:rPr>
            <w:rStyle w:val="Hyperlink"/>
            <w:b/>
          </w:rPr>
          <w:t>technical@abcam.com</w:t>
        </w:r>
      </w:hyperlink>
      <w:r w:rsidRPr="00457A34">
        <w:rPr>
          <w:b/>
        </w:rPr>
        <w:t>) or phone (select “</w:t>
      </w:r>
      <w:r w:rsidRPr="00A4373F">
        <w:rPr>
          <w:b/>
          <w:i/>
        </w:rPr>
        <w:t>contact us</w:t>
      </w:r>
      <w:r w:rsidRPr="00457A34">
        <w:rPr>
          <w:b/>
        </w:rPr>
        <w:t xml:space="preserve">” on </w:t>
      </w:r>
      <w:hyperlink r:id="rId11" w:history="1">
        <w:r w:rsidRPr="00457A34">
          <w:rPr>
            <w:rStyle w:val="Hyperlink"/>
            <w:b/>
          </w:rPr>
          <w:t>www.abcam.com</w:t>
        </w:r>
      </w:hyperlink>
      <w:r w:rsidRPr="00457A34">
        <w:rPr>
          <w:b/>
        </w:rPr>
        <w:t xml:space="preserve"> for t</w:t>
      </w:r>
      <w:r>
        <w:rPr>
          <w:b/>
        </w:rPr>
        <w:t>he phone number for your region).</w:t>
      </w:r>
    </w:p>
    <w:p w14:paraId="23D31486" w14:textId="77777777" w:rsidR="008B2920" w:rsidRDefault="008B2920">
      <w:pPr>
        <w:spacing w:before="0" w:line="240" w:lineRule="auto"/>
        <w:jc w:val="left"/>
        <w:rPr>
          <w:rFonts w:cs="Arial"/>
          <w:lang w:val="en-AU"/>
        </w:rPr>
      </w:pPr>
    </w:p>
    <w:p w14:paraId="73C7160B" w14:textId="77777777" w:rsidR="00B931F1" w:rsidRDefault="00B931F1">
      <w:pPr>
        <w:spacing w:before="0" w:line="240" w:lineRule="auto"/>
        <w:jc w:val="left"/>
        <w:rPr>
          <w:rFonts w:cs="Arial"/>
          <w:lang w:val="en-AU"/>
        </w:rPr>
      </w:pPr>
      <w:r>
        <w:rPr>
          <w:rFonts w:cs="Arial"/>
          <w:lang w:val="en-AU"/>
        </w:rPr>
        <w:br w:type="page"/>
      </w:r>
    </w:p>
    <w:p w14:paraId="37A59B22" w14:textId="77777777" w:rsidR="00146054" w:rsidRDefault="00146054">
      <w:pPr>
        <w:spacing w:before="0" w:line="240" w:lineRule="auto"/>
        <w:jc w:val="left"/>
        <w:rPr>
          <w:rFonts w:cs="Arial"/>
          <w:lang w:val="en-AU"/>
        </w:rPr>
      </w:pPr>
      <w:r>
        <w:rPr>
          <w:rFonts w:cs="Arial"/>
          <w:lang w:val="en-AU"/>
        </w:rPr>
        <w:lastRenderedPageBreak/>
        <w:br w:type="page"/>
      </w:r>
    </w:p>
    <w:p w14:paraId="5C3533D7" w14:textId="1C475DE3" w:rsidR="006B20C6" w:rsidRDefault="001326E7" w:rsidP="00176ADE">
      <w:pPr>
        <w:rPr>
          <w:rFonts w:cs="Arial"/>
          <w:b/>
          <w:lang w:val="en-GB"/>
        </w:rPr>
      </w:pPr>
      <w:r>
        <w:rPr>
          <w:rFonts w:cs="Arial"/>
          <w:b/>
          <w:noProof/>
          <w:lang w:val="en-GB" w:eastAsia="en-GB"/>
        </w:rPr>
        <w:lastRenderedPageBreak/>
        <w:drawing>
          <wp:anchor distT="0" distB="0" distL="114300" distR="114300" simplePos="0" relativeHeight="251655680" behindDoc="1" locked="0" layoutInCell="1" allowOverlap="1" wp14:anchorId="424D1F0B" wp14:editId="23ACB952">
            <wp:simplePos x="0" y="0"/>
            <wp:positionH relativeFrom="column">
              <wp:posOffset>2264410</wp:posOffset>
            </wp:positionH>
            <wp:positionV relativeFrom="page">
              <wp:posOffset>0</wp:posOffset>
            </wp:positionV>
            <wp:extent cx="2186305" cy="1965960"/>
            <wp:effectExtent l="19050" t="0" r="4445" b="0"/>
            <wp:wrapTight wrapText="bothSides">
              <wp:wrapPolygon edited="0">
                <wp:start x="-188" y="0"/>
                <wp:lineTo x="-188" y="21349"/>
                <wp:lineTo x="21644" y="21349"/>
                <wp:lineTo x="21644" y="0"/>
                <wp:lineTo x="-188" y="0"/>
              </wp:wrapPolygon>
            </wp:wrapTight>
            <wp:docPr id="16" name="Picture 16" descr="Abcam_Logo_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bcam_Logo_35m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9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E97FBD" w14:textId="30D6714B" w:rsidR="00176ADE" w:rsidRDefault="00176ADE" w:rsidP="00176ADE">
      <w:pPr>
        <w:rPr>
          <w:rFonts w:cs="Arial"/>
          <w:b/>
          <w:lang w:val="en-GB"/>
        </w:rPr>
      </w:pPr>
    </w:p>
    <w:p w14:paraId="2DC518FF" w14:textId="7D5CC4CD" w:rsidR="00176ADE" w:rsidRDefault="00176ADE" w:rsidP="00176ADE">
      <w:pPr>
        <w:rPr>
          <w:rFonts w:cs="Arial"/>
          <w:b/>
          <w:lang w:val="en-GB"/>
        </w:rPr>
      </w:pPr>
    </w:p>
    <w:p w14:paraId="6AF6E854" w14:textId="1D3BC219" w:rsidR="00176ADE" w:rsidRDefault="00176ADE" w:rsidP="00176ADE">
      <w:pPr>
        <w:rPr>
          <w:rFonts w:cs="Arial"/>
          <w:b/>
          <w:lang w:val="en-GB"/>
        </w:rPr>
      </w:pPr>
    </w:p>
    <w:p w14:paraId="1891FBFF" w14:textId="337D20FB" w:rsidR="00176ADE" w:rsidRDefault="00176ADE" w:rsidP="00176ADE">
      <w:pPr>
        <w:rPr>
          <w:rFonts w:cs="Arial"/>
          <w:b/>
          <w:lang w:val="en-GB"/>
        </w:rPr>
      </w:pPr>
    </w:p>
    <w:p w14:paraId="626711A0" w14:textId="271C1C2A" w:rsidR="00176ADE" w:rsidRDefault="00176ADE" w:rsidP="00176ADE">
      <w:pPr>
        <w:rPr>
          <w:rFonts w:cs="Arial"/>
          <w:b/>
          <w:lang w:val="en-GB"/>
        </w:rPr>
      </w:pPr>
    </w:p>
    <w:p w14:paraId="7C714674" w14:textId="20A8D01F" w:rsidR="00176ADE" w:rsidRDefault="00176ADE" w:rsidP="00176ADE">
      <w:pPr>
        <w:rPr>
          <w:rFonts w:cs="Arial"/>
          <w:b/>
          <w:lang w:val="en-GB"/>
        </w:rPr>
      </w:pPr>
    </w:p>
    <w:p w14:paraId="0744F208" w14:textId="7B05DC4B" w:rsidR="00176ADE" w:rsidRDefault="00176ADE" w:rsidP="00176ADE">
      <w:pPr>
        <w:rPr>
          <w:rFonts w:cs="Arial"/>
          <w:b/>
          <w:lang w:val="en-GB"/>
        </w:rPr>
      </w:pPr>
    </w:p>
    <w:p w14:paraId="2D458DA0" w14:textId="60570A44" w:rsidR="00176ADE" w:rsidRDefault="00176ADE" w:rsidP="00176ADE">
      <w:pPr>
        <w:rPr>
          <w:rFonts w:cs="Arial"/>
          <w:b/>
          <w:lang w:val="en-GB"/>
        </w:rPr>
      </w:pPr>
    </w:p>
    <w:p w14:paraId="06DB2D21" w14:textId="77777777" w:rsidR="00176ADE" w:rsidRPr="00176ADE" w:rsidRDefault="00176ADE" w:rsidP="00176ADE">
      <w:pPr>
        <w:rPr>
          <w:rFonts w:cs="Arial"/>
          <w:b/>
          <w:lang w:val="en-GB"/>
        </w:rPr>
      </w:pPr>
    </w:p>
    <w:p w14:paraId="0012B619" w14:textId="69D726B9" w:rsidR="006B20C6" w:rsidRPr="000175B5" w:rsidRDefault="000175B5" w:rsidP="00535641">
      <w:pPr>
        <w:spacing w:before="0" w:line="240" w:lineRule="auto"/>
        <w:jc w:val="left"/>
        <w:rPr>
          <w:b/>
          <w:bCs/>
          <w:sz w:val="28"/>
          <w:szCs w:val="28"/>
        </w:rPr>
      </w:pPr>
      <w:r w:rsidRPr="000175B5">
        <w:rPr>
          <w:rStyle w:val="ui-provider"/>
          <w:b/>
          <w:bCs/>
          <w:sz w:val="22"/>
          <w:szCs w:val="28"/>
        </w:rPr>
        <w:t>Technical Support</w:t>
      </w:r>
    </w:p>
    <w:p w14:paraId="5297B4E7" w14:textId="77777777" w:rsidR="00176ADE" w:rsidRPr="00176ADE" w:rsidRDefault="00176ADE" w:rsidP="00176ADE">
      <w:pPr>
        <w:pStyle w:val="NormalWeb"/>
        <w:spacing w:after="240" w:afterAutospacing="0"/>
        <w:rPr>
          <w:rFonts w:ascii="Arial" w:hAnsi="Arial" w:cs="Arial"/>
          <w:sz w:val="18"/>
          <w:szCs w:val="18"/>
        </w:rPr>
      </w:pPr>
      <w:r w:rsidRPr="00176ADE">
        <w:rPr>
          <w:rFonts w:ascii="Arial" w:hAnsi="Arial" w:cs="Arial"/>
          <w:sz w:val="18"/>
          <w:szCs w:val="18"/>
        </w:rPr>
        <w:t>Copyright © 2023 Abcam. All Rights Reserved. The Abcam logo is a registered trademark. All information / detail is correct at time of going to print.</w:t>
      </w:r>
    </w:p>
    <w:p w14:paraId="2103DD68" w14:textId="77777777" w:rsidR="00176ADE" w:rsidRPr="00176ADE" w:rsidRDefault="00176ADE" w:rsidP="00176ADE">
      <w:pPr>
        <w:pStyle w:val="NormalWeb"/>
        <w:rPr>
          <w:rFonts w:ascii="Arial" w:hAnsi="Arial" w:cs="Arial"/>
          <w:sz w:val="18"/>
          <w:szCs w:val="18"/>
        </w:rPr>
      </w:pPr>
      <w:r w:rsidRPr="00176ADE">
        <w:rPr>
          <w:rFonts w:ascii="Arial" w:hAnsi="Arial" w:cs="Arial"/>
          <w:sz w:val="18"/>
          <w:szCs w:val="18"/>
        </w:rPr>
        <w:t>For all technical or commercial enquiries please go to:</w:t>
      </w:r>
    </w:p>
    <w:p w14:paraId="2C51B04E" w14:textId="77777777" w:rsidR="00176ADE" w:rsidRPr="00176ADE" w:rsidRDefault="000175B5" w:rsidP="00176ADE">
      <w:pPr>
        <w:pStyle w:val="NormalWeb"/>
        <w:rPr>
          <w:rFonts w:ascii="Arial" w:hAnsi="Arial" w:cs="Arial"/>
          <w:sz w:val="18"/>
          <w:szCs w:val="18"/>
        </w:rPr>
      </w:pPr>
      <w:hyperlink r:id="rId12" w:tgtFrame="_blank" w:tooltip="http://www.abcam.com/contactus" w:history="1">
        <w:r w:rsidR="00176ADE" w:rsidRPr="00176ADE">
          <w:rPr>
            <w:rStyle w:val="Hyperlink"/>
            <w:rFonts w:ascii="Arial" w:hAnsi="Arial" w:cs="Arial"/>
            <w:sz w:val="18"/>
            <w:szCs w:val="18"/>
          </w:rPr>
          <w:t>www.abcam.com/contactus</w:t>
        </w:r>
      </w:hyperlink>
    </w:p>
    <w:p w14:paraId="54E56BCA" w14:textId="77777777" w:rsidR="00176ADE" w:rsidRPr="00176ADE" w:rsidRDefault="000175B5" w:rsidP="00176ADE">
      <w:pPr>
        <w:pStyle w:val="NormalWeb"/>
        <w:rPr>
          <w:rFonts w:ascii="Arial" w:hAnsi="Arial" w:cs="Arial"/>
          <w:sz w:val="18"/>
          <w:szCs w:val="18"/>
        </w:rPr>
      </w:pPr>
      <w:hyperlink r:id="rId13" w:tgtFrame="_blank" w:tooltip="https://www.abcam.cn/contactus" w:history="1">
        <w:r w:rsidR="00176ADE" w:rsidRPr="00176ADE">
          <w:rPr>
            <w:rStyle w:val="Hyperlink"/>
            <w:rFonts w:ascii="Arial" w:hAnsi="Arial" w:cs="Arial"/>
            <w:sz w:val="18"/>
            <w:szCs w:val="18"/>
          </w:rPr>
          <w:t>www.abcam.cn/contactus</w:t>
        </w:r>
      </w:hyperlink>
      <w:r w:rsidR="00176ADE" w:rsidRPr="00176ADE">
        <w:rPr>
          <w:rFonts w:ascii="Arial" w:hAnsi="Arial" w:cs="Arial"/>
          <w:sz w:val="18"/>
          <w:szCs w:val="18"/>
        </w:rPr>
        <w:t> (China)</w:t>
      </w:r>
    </w:p>
    <w:p w14:paraId="712C1394" w14:textId="215EFC12" w:rsidR="00DC1372" w:rsidRPr="00176ADE" w:rsidRDefault="000175B5" w:rsidP="00176ADE">
      <w:pPr>
        <w:pStyle w:val="NormalWeb"/>
        <w:spacing w:after="240" w:afterAutospacing="0"/>
        <w:rPr>
          <w:rFonts w:ascii="Arial" w:hAnsi="Arial" w:cs="Arial"/>
          <w:sz w:val="18"/>
          <w:szCs w:val="18"/>
        </w:rPr>
      </w:pPr>
      <w:hyperlink r:id="rId14" w:tgtFrame="_blank" w:tooltip="https://www.abcam.co.jp/contactus" w:history="1">
        <w:r w:rsidR="00176ADE" w:rsidRPr="00176ADE">
          <w:rPr>
            <w:rStyle w:val="Strong"/>
            <w:rFonts w:ascii="Arial" w:hAnsi="Arial" w:cs="Arial"/>
            <w:b w:val="0"/>
            <w:bCs w:val="0"/>
            <w:color w:val="0000FF"/>
            <w:sz w:val="18"/>
            <w:szCs w:val="18"/>
            <w:u w:val="single"/>
          </w:rPr>
          <w:t>www.abcam.co.jp/contactus</w:t>
        </w:r>
      </w:hyperlink>
      <w:r w:rsidR="00176ADE" w:rsidRPr="00176ADE">
        <w:rPr>
          <w:rStyle w:val="Strong"/>
          <w:rFonts w:ascii="Arial" w:hAnsi="Arial" w:cs="Arial"/>
          <w:sz w:val="18"/>
          <w:szCs w:val="18"/>
        </w:rPr>
        <w:t> </w:t>
      </w:r>
      <w:r w:rsidR="00176ADE" w:rsidRPr="00176ADE">
        <w:rPr>
          <w:rFonts w:ascii="Arial" w:hAnsi="Arial" w:cs="Arial"/>
          <w:sz w:val="18"/>
          <w:szCs w:val="18"/>
        </w:rPr>
        <w:t>(Japan)</w:t>
      </w:r>
    </w:p>
    <w:sectPr w:rsidR="00DC1372" w:rsidRPr="00176ADE" w:rsidSect="00DC1372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7920" w:h="12240"/>
      <w:pgMar w:top="1418" w:right="907" w:bottom="1418" w:left="907" w:header="708" w:footer="737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69BB" w14:textId="77777777" w:rsidR="0092784E" w:rsidRDefault="0092784E" w:rsidP="00DC1372">
      <w:r>
        <w:separator/>
      </w:r>
    </w:p>
  </w:endnote>
  <w:endnote w:type="continuationSeparator" w:id="0">
    <w:p w14:paraId="08D016CB" w14:textId="77777777" w:rsidR="0092784E" w:rsidRDefault="0092784E" w:rsidP="00DC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altName w:val="MS Mincho"/>
    <w:panose1 w:val="00000000000000000000"/>
    <w:charset w:val="80"/>
    <w:family w:val="roman"/>
    <w:notTrueType/>
    <w:pitch w:val="default"/>
    <w:sig w:usb0="00000000" w:usb1="00000000" w:usb2="01000407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60CB" w14:textId="77777777" w:rsidR="0092784E" w:rsidRDefault="0092784E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705F0F67" w14:textId="77777777" w:rsidR="0092784E" w:rsidRDefault="0092784E" w:rsidP="00DC13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5E29" w14:textId="77777777" w:rsidR="0092784E" w:rsidRPr="0001222D" w:rsidRDefault="0092784E" w:rsidP="00DC1372">
    <w:pPr>
      <w:pStyle w:val="Footer"/>
      <w:framePr w:wrap="around" w:vAnchor="text" w:hAnchor="margin" w:xAlign="right" w:y="1"/>
      <w:rPr>
        <w:rStyle w:val="PageNumber"/>
      </w:rPr>
    </w:pPr>
    <w:r w:rsidRPr="0001222D">
      <w:rPr>
        <w:rStyle w:val="PageNumber"/>
      </w:rPr>
      <w:fldChar w:fldCharType="begin"/>
    </w:r>
    <w:r w:rsidRPr="0001222D">
      <w:rPr>
        <w:rStyle w:val="PageNumber"/>
      </w:rPr>
      <w:instrText>PAGE</w:instrText>
    </w:r>
    <w:r w:rsidRPr="0001222D">
      <w:rPr>
        <w:rStyle w:val="PageNumber"/>
      </w:rPr>
      <w:fldChar w:fldCharType="separate"/>
    </w:r>
    <w:r w:rsidR="0068190E">
      <w:rPr>
        <w:rStyle w:val="PageNumber"/>
        <w:noProof/>
      </w:rPr>
      <w:t>5</w:t>
    </w:r>
    <w:r w:rsidRPr="0001222D">
      <w:rPr>
        <w:rStyle w:val="PageNumber"/>
      </w:rPr>
      <w:fldChar w:fldCharType="end"/>
    </w:r>
  </w:p>
  <w:p w14:paraId="0FD12B41" w14:textId="77777777" w:rsidR="0092784E" w:rsidRDefault="0092784E" w:rsidP="00DC1372">
    <w:pPr>
      <w:pStyle w:val="Footer"/>
      <w:ind w:right="360"/>
      <w:jc w:val="center"/>
    </w:pPr>
  </w:p>
  <w:p w14:paraId="667526B7" w14:textId="77777777" w:rsidR="0092784E" w:rsidRDefault="0092784E" w:rsidP="00DC137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14EA" w14:textId="230796F7" w:rsidR="0092784E" w:rsidRDefault="0092784E">
    <w:pPr>
      <w:pStyle w:val="Footer"/>
    </w:pPr>
    <w:r>
      <w:t xml:space="preserve">Version </w:t>
    </w:r>
    <w:r w:rsidR="00176ADE">
      <w:t>6a</w:t>
    </w:r>
    <w:r w:rsidR="000175B5">
      <w:t>,</w:t>
    </w:r>
    <w:r w:rsidR="0068190E">
      <w:t xml:space="preserve"> </w:t>
    </w:r>
    <w:r>
      <w:t xml:space="preserve">Last Updated </w:t>
    </w:r>
    <w:r w:rsidR="00535641">
      <w:fldChar w:fldCharType="begin"/>
    </w:r>
    <w:r w:rsidR="00535641">
      <w:instrText xml:space="preserve"> DATE  \@ "d MMMM yyyy"  \* MERGEFORMAT </w:instrText>
    </w:r>
    <w:r w:rsidR="00535641">
      <w:fldChar w:fldCharType="separate"/>
    </w:r>
    <w:r w:rsidR="000175B5">
      <w:rPr>
        <w:noProof/>
      </w:rPr>
      <w:t>19 May 2023</w:t>
    </w:r>
    <w:r w:rsidR="0053564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7006" w14:textId="77777777" w:rsidR="0092784E" w:rsidRDefault="0092784E" w:rsidP="00DC1372">
      <w:r>
        <w:separator/>
      </w:r>
    </w:p>
  </w:footnote>
  <w:footnote w:type="continuationSeparator" w:id="0">
    <w:p w14:paraId="1C1A4C02" w14:textId="77777777" w:rsidR="0092784E" w:rsidRDefault="0092784E" w:rsidP="00DC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66FC" w14:textId="77777777" w:rsidR="0092784E" w:rsidRDefault="000175B5">
    <w:pPr>
      <w:pStyle w:val="Header"/>
    </w:pPr>
    <w:r>
      <w:rPr>
        <w:noProof/>
      </w:rPr>
      <w:pict w14:anchorId="5ED1AC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left:0;text-align:left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F55E" w14:textId="77777777" w:rsidR="0092784E" w:rsidRPr="00885DC3" w:rsidRDefault="0092784E" w:rsidP="00DC1372">
    <w:pPr>
      <w:pStyle w:val="Header"/>
      <w:tabs>
        <w:tab w:val="clear" w:pos="4320"/>
        <w:tab w:val="clear" w:pos="8640"/>
        <w:tab w:val="left" w:pos="0"/>
      </w:tabs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C46C1"/>
    <w:multiLevelType w:val="hybridMultilevel"/>
    <w:tmpl w:val="205264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C4BF7"/>
    <w:multiLevelType w:val="hybridMultilevel"/>
    <w:tmpl w:val="4A7246C0"/>
    <w:lvl w:ilvl="0" w:tplc="98EC3C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04A1"/>
    <w:multiLevelType w:val="hybridMultilevel"/>
    <w:tmpl w:val="721E7A08"/>
    <w:lvl w:ilvl="0" w:tplc="2A2C5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76C82"/>
    <w:multiLevelType w:val="hybridMultilevel"/>
    <w:tmpl w:val="19E26A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63744"/>
    <w:multiLevelType w:val="hybridMultilevel"/>
    <w:tmpl w:val="A412D064"/>
    <w:lvl w:ilvl="0" w:tplc="078CE354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AD3159D"/>
    <w:multiLevelType w:val="hybridMultilevel"/>
    <w:tmpl w:val="DF766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0043D"/>
    <w:multiLevelType w:val="hybridMultilevel"/>
    <w:tmpl w:val="B2C242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959CF"/>
    <w:multiLevelType w:val="hybridMultilevel"/>
    <w:tmpl w:val="109C6EC6"/>
    <w:lvl w:ilvl="0" w:tplc="2D50D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E6CD2"/>
    <w:multiLevelType w:val="hybridMultilevel"/>
    <w:tmpl w:val="E1F037DA"/>
    <w:lvl w:ilvl="0" w:tplc="CDDE3C3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02179"/>
    <w:multiLevelType w:val="hybridMultilevel"/>
    <w:tmpl w:val="970C2128"/>
    <w:lvl w:ilvl="0" w:tplc="08090001">
      <w:start w:val="1"/>
      <w:numFmt w:val="bullet"/>
      <w:lvlText w:val=""/>
      <w:lvlJc w:val="left"/>
      <w:pPr>
        <w:ind w:left="-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</w:abstractNum>
  <w:abstractNum w:abstractNumId="13" w15:restartNumberingAfterBreak="0">
    <w:nsid w:val="6D3713E6"/>
    <w:multiLevelType w:val="hybridMultilevel"/>
    <w:tmpl w:val="35F6963E"/>
    <w:lvl w:ilvl="0" w:tplc="8E32A88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E31FE4"/>
    <w:multiLevelType w:val="hybridMultilevel"/>
    <w:tmpl w:val="3D84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F526B"/>
    <w:multiLevelType w:val="hybridMultilevel"/>
    <w:tmpl w:val="B2F8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94524"/>
    <w:multiLevelType w:val="hybridMultilevel"/>
    <w:tmpl w:val="542C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5598">
    <w:abstractNumId w:val="5"/>
  </w:num>
  <w:num w:numId="2" w16cid:durableId="1453591414">
    <w:abstractNumId w:val="0"/>
  </w:num>
  <w:num w:numId="3" w16cid:durableId="941885631">
    <w:abstractNumId w:val="8"/>
  </w:num>
  <w:num w:numId="4" w16cid:durableId="1160971878">
    <w:abstractNumId w:val="6"/>
  </w:num>
  <w:num w:numId="5" w16cid:durableId="1848405937">
    <w:abstractNumId w:val="14"/>
  </w:num>
  <w:num w:numId="6" w16cid:durableId="293946685">
    <w:abstractNumId w:val="6"/>
    <w:lvlOverride w:ilvl="0">
      <w:startOverride w:val="1"/>
    </w:lvlOverride>
  </w:num>
  <w:num w:numId="7" w16cid:durableId="431823023">
    <w:abstractNumId w:val="6"/>
    <w:lvlOverride w:ilvl="0">
      <w:startOverride w:val="1"/>
    </w:lvlOverride>
  </w:num>
  <w:num w:numId="8" w16cid:durableId="176893421">
    <w:abstractNumId w:val="11"/>
  </w:num>
  <w:num w:numId="9" w16cid:durableId="1930390014">
    <w:abstractNumId w:val="7"/>
  </w:num>
  <w:num w:numId="10" w16cid:durableId="818688246">
    <w:abstractNumId w:val="1"/>
  </w:num>
  <w:num w:numId="11" w16cid:durableId="1231769432">
    <w:abstractNumId w:val="15"/>
  </w:num>
  <w:num w:numId="12" w16cid:durableId="1323776818">
    <w:abstractNumId w:val="4"/>
  </w:num>
  <w:num w:numId="13" w16cid:durableId="828792880">
    <w:abstractNumId w:val="0"/>
  </w:num>
  <w:num w:numId="14" w16cid:durableId="937441486">
    <w:abstractNumId w:val="13"/>
  </w:num>
  <w:num w:numId="15" w16cid:durableId="32387672">
    <w:abstractNumId w:val="0"/>
  </w:num>
  <w:num w:numId="16" w16cid:durableId="1947303790">
    <w:abstractNumId w:val="0"/>
  </w:num>
  <w:num w:numId="17" w16cid:durableId="412821803">
    <w:abstractNumId w:val="0"/>
  </w:num>
  <w:num w:numId="18" w16cid:durableId="614531199">
    <w:abstractNumId w:val="0"/>
  </w:num>
  <w:num w:numId="19" w16cid:durableId="1045986771">
    <w:abstractNumId w:val="12"/>
  </w:num>
  <w:num w:numId="20" w16cid:durableId="54277462">
    <w:abstractNumId w:val="9"/>
  </w:num>
  <w:num w:numId="21" w16cid:durableId="1361785312">
    <w:abstractNumId w:val="10"/>
  </w:num>
  <w:num w:numId="22" w16cid:durableId="1246571079">
    <w:abstractNumId w:val="16"/>
  </w:num>
  <w:num w:numId="23" w16cid:durableId="671875429">
    <w:abstractNumId w:val="2"/>
  </w:num>
  <w:num w:numId="24" w16cid:durableId="2072724562">
    <w:abstractNumId w:val="3"/>
  </w:num>
  <w:num w:numId="25" w16cid:durableId="130247451">
    <w:abstractNumId w:val="5"/>
  </w:num>
  <w:num w:numId="26" w16cid:durableId="25560315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E0"/>
    <w:rsid w:val="000175B5"/>
    <w:rsid w:val="000519C2"/>
    <w:rsid w:val="000707C7"/>
    <w:rsid w:val="001326E7"/>
    <w:rsid w:val="00146054"/>
    <w:rsid w:val="00176ADE"/>
    <w:rsid w:val="001C6CF5"/>
    <w:rsid w:val="001E0F74"/>
    <w:rsid w:val="00220404"/>
    <w:rsid w:val="002608D6"/>
    <w:rsid w:val="002C54EE"/>
    <w:rsid w:val="002D28E9"/>
    <w:rsid w:val="003B7300"/>
    <w:rsid w:val="00445BED"/>
    <w:rsid w:val="004632D3"/>
    <w:rsid w:val="00535641"/>
    <w:rsid w:val="005B4251"/>
    <w:rsid w:val="005D275C"/>
    <w:rsid w:val="005D33A7"/>
    <w:rsid w:val="005D5667"/>
    <w:rsid w:val="00661167"/>
    <w:rsid w:val="0068190E"/>
    <w:rsid w:val="006B20C6"/>
    <w:rsid w:val="00792251"/>
    <w:rsid w:val="007C1085"/>
    <w:rsid w:val="008B2920"/>
    <w:rsid w:val="008E4DB5"/>
    <w:rsid w:val="00901E8F"/>
    <w:rsid w:val="00920CA4"/>
    <w:rsid w:val="0092784E"/>
    <w:rsid w:val="009514D8"/>
    <w:rsid w:val="00971D31"/>
    <w:rsid w:val="00A61EE0"/>
    <w:rsid w:val="00A835F2"/>
    <w:rsid w:val="00A93842"/>
    <w:rsid w:val="00B33785"/>
    <w:rsid w:val="00B8255E"/>
    <w:rsid w:val="00B86E20"/>
    <w:rsid w:val="00B931F1"/>
    <w:rsid w:val="00B97E07"/>
    <w:rsid w:val="00BC33A7"/>
    <w:rsid w:val="00C03825"/>
    <w:rsid w:val="00C06C1B"/>
    <w:rsid w:val="00C12998"/>
    <w:rsid w:val="00D36450"/>
    <w:rsid w:val="00D50132"/>
    <w:rsid w:val="00D6414F"/>
    <w:rsid w:val="00DC0B00"/>
    <w:rsid w:val="00DC1372"/>
    <w:rsid w:val="00E80001"/>
    <w:rsid w:val="00F264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14F5D97E"/>
  <w15:docId w15:val="{CD2E5419-9397-4582-B211-429A3CB2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911"/>
    <w:pPr>
      <w:spacing w:before="240" w:line="360" w:lineRule="auto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35F"/>
    <w:pPr>
      <w:keepNext/>
      <w:keepLines/>
      <w:numPr>
        <w:numId w:val="1"/>
      </w:numPr>
      <w:pBdr>
        <w:bottom w:val="single" w:sz="4" w:space="1" w:color="auto"/>
      </w:pBd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3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67235F"/>
    <w:rPr>
      <w:rFonts w:ascii="Arial" w:eastAsia="Times New Roman" w:hAnsi="Arial"/>
      <w:b/>
      <w:bCs/>
      <w:sz w:val="28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B1411"/>
    <w:pPr>
      <w:numPr>
        <w:numId w:val="0"/>
      </w:num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84375E"/>
    <w:pPr>
      <w:tabs>
        <w:tab w:val="left" w:pos="440"/>
        <w:tab w:val="right" w:pos="609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2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Arial" w:eastAsia="Times New Roman" w:hAnsi="Arial" w:cs="Times New Roman"/>
      <w:bCs/>
      <w:sz w:val="20"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4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Arial" w:hAnsi="Arial"/>
      <w:iCs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  <w:jc w:val="left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uiPriority w:val="34"/>
    <w:qFormat/>
    <w:rsid w:val="00220404"/>
    <w:pPr>
      <w:ind w:left="1440" w:hanging="360"/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176A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76ADE"/>
    <w:rPr>
      <w:b/>
      <w:bCs/>
    </w:rPr>
  </w:style>
  <w:style w:type="character" w:customStyle="1" w:styleId="ui-provider">
    <w:name w:val="ui-provider"/>
    <w:basedOn w:val="DefaultParagraphFont"/>
    <w:rsid w:val="0001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bcam.cn/contactu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bcam.com/contact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cam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echnical@abcam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bcam.co.jp/contact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7D78-3A9A-4575-8BBD-714CBE22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Alexandra Manoylova</cp:lastModifiedBy>
  <cp:revision>6</cp:revision>
  <cp:lastPrinted>2012-03-01T15:08:00Z</cp:lastPrinted>
  <dcterms:created xsi:type="dcterms:W3CDTF">2023-04-24T16:20:00Z</dcterms:created>
  <dcterms:modified xsi:type="dcterms:W3CDTF">2023-05-19T08:47:00Z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4</vt:i4>
  </property>
  <property fmtid="{D5CDD505-2E9C-101B-9397-08002B2CF9AE}" pid="3" name="Last Updated">
    <vt:filetime>2013-06-17T23:00:00Z</vt:filetime>
  </property>
</Properties>
</file>