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592E" w14:textId="64E9DC42" w:rsidR="00DC1372" w:rsidRDefault="001326E7" w:rsidP="00DC1372">
      <w:pPr>
        <w:rPr>
          <w:rFonts w:cs="Arial"/>
          <w:lang w:val="en-GB"/>
        </w:rPr>
      </w:pPr>
      <w:r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1" wp14:anchorId="4896C303" wp14:editId="5AC42DF8">
            <wp:simplePos x="0" y="0"/>
            <wp:positionH relativeFrom="column">
              <wp:posOffset>2286000</wp:posOffset>
            </wp:positionH>
            <wp:positionV relativeFrom="page">
              <wp:posOffset>-13970</wp:posOffset>
            </wp:positionV>
            <wp:extent cx="2184400" cy="2184400"/>
            <wp:effectExtent l="19050" t="0" r="6350" b="0"/>
            <wp:wrapNone/>
            <wp:docPr id="14" name="Picture 14" descr="Abcam_Logo_3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bcam_Logo_35m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B3CD7A" w14:textId="77777777" w:rsidR="00AD1E6D" w:rsidRPr="006E17B3" w:rsidRDefault="00AD1E6D" w:rsidP="00DC1372">
      <w:pPr>
        <w:rPr>
          <w:rFonts w:cs="Arial"/>
          <w:lang w:val="en-GB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096"/>
      </w:tblGrid>
      <w:tr w:rsidR="00DC1372" w:rsidRPr="00DC1372" w14:paraId="59857709" w14:textId="77777777" w:rsidTr="00AD1E6D">
        <w:trPr>
          <w:trHeight w:hRule="exact" w:val="2782"/>
        </w:trPr>
        <w:tc>
          <w:tcPr>
            <w:tcW w:w="6096" w:type="dxa"/>
            <w:vAlign w:val="center"/>
          </w:tcPr>
          <w:p w14:paraId="6E055100" w14:textId="77777777" w:rsidR="000156D2" w:rsidRDefault="00E3732D" w:rsidP="000156D2">
            <w:pPr>
              <w:ind w:left="34"/>
              <w:jc w:val="left"/>
              <w:rPr>
                <w:b/>
                <w:sz w:val="48"/>
              </w:rPr>
            </w:pPr>
            <w:r w:rsidRPr="00E3732D">
              <w:rPr>
                <w:b/>
                <w:sz w:val="48"/>
              </w:rPr>
              <w:t>ab111748</w:t>
            </w:r>
          </w:p>
          <w:p w14:paraId="16D08B87" w14:textId="5CF64015" w:rsidR="00DC1372" w:rsidRPr="00DC1372" w:rsidRDefault="00E3732D" w:rsidP="00AD1E6D">
            <w:pPr>
              <w:jc w:val="left"/>
              <w:rPr>
                <w:b/>
                <w:sz w:val="48"/>
              </w:rPr>
            </w:pPr>
            <w:proofErr w:type="spellStart"/>
            <w:r w:rsidRPr="00E3732D">
              <w:rPr>
                <w:b/>
                <w:sz w:val="48"/>
              </w:rPr>
              <w:t>Formate</w:t>
            </w:r>
            <w:proofErr w:type="spellEnd"/>
            <w:r w:rsidRPr="00E3732D">
              <w:rPr>
                <w:b/>
                <w:sz w:val="48"/>
              </w:rPr>
              <w:t xml:space="preserve"> Assay Kit</w:t>
            </w:r>
          </w:p>
        </w:tc>
      </w:tr>
    </w:tbl>
    <w:p w14:paraId="70346890" w14:textId="77777777" w:rsidR="00DC1372" w:rsidRPr="00AD1E6D" w:rsidRDefault="00DC1372" w:rsidP="00DC1372">
      <w:pPr>
        <w:jc w:val="left"/>
        <w:rPr>
          <w:rFonts w:cs="Arial"/>
          <w:sz w:val="28"/>
          <w:szCs w:val="28"/>
          <w:lang w:val="en-GB"/>
        </w:rPr>
      </w:pPr>
      <w:r w:rsidRPr="00AD1E6D">
        <w:rPr>
          <w:rFonts w:cs="Arial"/>
          <w:sz w:val="28"/>
          <w:szCs w:val="28"/>
          <w:lang w:val="en-GB"/>
        </w:rPr>
        <w:t>Instructions for Use</w:t>
      </w:r>
    </w:p>
    <w:p w14:paraId="24201314" w14:textId="5C9E3639" w:rsidR="00AD1E6D" w:rsidRDefault="00E3732D" w:rsidP="00DC1372">
      <w:pPr>
        <w:spacing w:line="240" w:lineRule="auto"/>
        <w:jc w:val="left"/>
        <w:rPr>
          <w:rFonts w:cs="Arial"/>
          <w:sz w:val="24"/>
        </w:rPr>
      </w:pPr>
      <w:r w:rsidRPr="00AD1E6D">
        <w:rPr>
          <w:rFonts w:cs="Arial"/>
          <w:sz w:val="24"/>
        </w:rPr>
        <w:t xml:space="preserve">For the rapid, </w:t>
      </w:r>
      <w:proofErr w:type="gramStart"/>
      <w:r w:rsidRPr="00AD1E6D">
        <w:rPr>
          <w:rFonts w:cs="Arial"/>
          <w:sz w:val="24"/>
        </w:rPr>
        <w:t>sensitive</w:t>
      </w:r>
      <w:proofErr w:type="gramEnd"/>
      <w:r w:rsidRPr="00AD1E6D">
        <w:rPr>
          <w:rFonts w:cs="Arial"/>
          <w:sz w:val="24"/>
        </w:rPr>
        <w:t xml:space="preserve"> and accurate measurement of </w:t>
      </w:r>
      <w:proofErr w:type="spellStart"/>
      <w:r w:rsidRPr="00AD1E6D">
        <w:rPr>
          <w:rFonts w:cs="Arial"/>
          <w:sz w:val="24"/>
        </w:rPr>
        <w:t>Formate</w:t>
      </w:r>
      <w:proofErr w:type="spellEnd"/>
      <w:r w:rsidRPr="00AD1E6D">
        <w:rPr>
          <w:rFonts w:cs="Arial"/>
          <w:sz w:val="24"/>
        </w:rPr>
        <w:t xml:space="preserve"> levels in various samples</w:t>
      </w:r>
      <w:r w:rsidR="00DC1372" w:rsidRPr="00AD1E6D">
        <w:rPr>
          <w:rFonts w:cs="Arial"/>
          <w:sz w:val="24"/>
        </w:rPr>
        <w:t xml:space="preserve">.  </w:t>
      </w:r>
    </w:p>
    <w:p w14:paraId="3C9300D3" w14:textId="77777777" w:rsidR="00AD1E6D" w:rsidRPr="00AD1E6D" w:rsidRDefault="00AD1E6D" w:rsidP="00DC1372">
      <w:pPr>
        <w:spacing w:line="240" w:lineRule="auto"/>
        <w:jc w:val="left"/>
        <w:rPr>
          <w:rFonts w:cs="Arial"/>
          <w:sz w:val="24"/>
        </w:rPr>
      </w:pPr>
    </w:p>
    <w:p w14:paraId="76D310F2" w14:textId="77777777" w:rsidR="00B24702" w:rsidRPr="00AD1E6D" w:rsidRDefault="00B24702" w:rsidP="00B24702">
      <w:pPr>
        <w:autoSpaceDE w:val="0"/>
        <w:autoSpaceDN w:val="0"/>
        <w:adjustRightInd w:val="0"/>
        <w:spacing w:before="0" w:line="240" w:lineRule="auto"/>
        <w:jc w:val="left"/>
        <w:rPr>
          <w:rFonts w:cs="Arial"/>
        </w:rPr>
      </w:pPr>
      <w:r w:rsidRPr="00AD1E6D">
        <w:rPr>
          <w:rFonts w:cs="Arial"/>
        </w:rPr>
        <w:t xml:space="preserve">View kit datasheet: </w:t>
      </w:r>
      <w:hyperlink r:id="rId8" w:history="1">
        <w:r w:rsidRPr="00AD1E6D">
          <w:rPr>
            <w:rStyle w:val="Hyperlink"/>
            <w:rFonts w:cs="Arial"/>
          </w:rPr>
          <w:t>www.abcam.com/ab111748</w:t>
        </w:r>
      </w:hyperlink>
      <w:r w:rsidRPr="00AD1E6D">
        <w:rPr>
          <w:rFonts w:cs="Arial"/>
        </w:rPr>
        <w:t xml:space="preserve"> </w:t>
      </w:r>
    </w:p>
    <w:p w14:paraId="1A3E1325" w14:textId="69F5FF27" w:rsidR="00DC1372" w:rsidRPr="00AD1E6D" w:rsidRDefault="00B24702" w:rsidP="00B2470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 w:val="18"/>
          <w:szCs w:val="28"/>
        </w:rPr>
      </w:pPr>
      <w:r w:rsidRPr="00AD1E6D">
        <w:rPr>
          <w:rFonts w:cs="Arial"/>
          <w:sz w:val="18"/>
          <w:szCs w:val="28"/>
        </w:rPr>
        <w:t>(</w:t>
      </w:r>
      <w:proofErr w:type="gramStart"/>
      <w:r w:rsidRPr="00AD1E6D">
        <w:rPr>
          <w:rFonts w:cs="Arial"/>
          <w:sz w:val="18"/>
          <w:szCs w:val="28"/>
        </w:rPr>
        <w:t>use</w:t>
      </w:r>
      <w:proofErr w:type="gramEnd"/>
      <w:r w:rsidRPr="00AD1E6D">
        <w:rPr>
          <w:rFonts w:cs="Arial"/>
          <w:sz w:val="18"/>
          <w:szCs w:val="28"/>
        </w:rPr>
        <w:t xml:space="preserve"> </w:t>
      </w:r>
      <w:hyperlink r:id="rId9" w:history="1">
        <w:r w:rsidRPr="00AD1E6D">
          <w:rPr>
            <w:rStyle w:val="Hyperlink"/>
            <w:rFonts w:cs="Arial"/>
            <w:sz w:val="18"/>
            <w:szCs w:val="28"/>
          </w:rPr>
          <w:t>www.abcam.cn/ab111748</w:t>
        </w:r>
      </w:hyperlink>
      <w:r w:rsidRPr="00AD1E6D">
        <w:rPr>
          <w:rFonts w:cs="Arial"/>
          <w:sz w:val="18"/>
          <w:szCs w:val="28"/>
        </w:rPr>
        <w:t xml:space="preserve"> for China, or </w:t>
      </w:r>
      <w:hyperlink r:id="rId10" w:history="1">
        <w:r w:rsidRPr="00AD1E6D">
          <w:rPr>
            <w:rStyle w:val="Hyperlink"/>
            <w:rFonts w:cs="Arial"/>
            <w:sz w:val="18"/>
            <w:szCs w:val="28"/>
          </w:rPr>
          <w:t>www.abcam.co.jp/ab111748</w:t>
        </w:r>
      </w:hyperlink>
      <w:r w:rsidRPr="00AD1E6D">
        <w:rPr>
          <w:rFonts w:cs="Arial"/>
          <w:sz w:val="18"/>
          <w:szCs w:val="28"/>
        </w:rPr>
        <w:t xml:space="preserve"> for Japan)</w:t>
      </w:r>
    </w:p>
    <w:p w14:paraId="1D4A6EB6" w14:textId="77777777" w:rsidR="00AD1E6D" w:rsidRPr="00AD1E6D" w:rsidRDefault="00AD1E6D" w:rsidP="00B2470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 w:val="16"/>
        </w:rPr>
      </w:pPr>
    </w:p>
    <w:p w14:paraId="5A713666" w14:textId="00F3BE08" w:rsidR="00DC1372" w:rsidRDefault="00DC1372" w:rsidP="00DC137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 w:val="24"/>
        </w:rPr>
      </w:pPr>
      <w:r w:rsidRPr="00AD1E6D">
        <w:rPr>
          <w:rFonts w:cs="Arial"/>
          <w:sz w:val="24"/>
        </w:rPr>
        <w:t>This product is for research use only and is not intended for diagnostic use.</w:t>
      </w:r>
    </w:p>
    <w:p w14:paraId="1FB03099" w14:textId="77777777" w:rsidR="00AD1E6D" w:rsidRPr="00AD1E6D" w:rsidRDefault="00AD1E6D" w:rsidP="00DC137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 w:val="24"/>
        </w:rPr>
      </w:pPr>
    </w:p>
    <w:p w14:paraId="4440DD97" w14:textId="6AEBEE70" w:rsidR="00DC1372" w:rsidRPr="00450C6C" w:rsidRDefault="00AD1E6D" w:rsidP="00DC137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 w:val="28"/>
          <w:szCs w:val="28"/>
          <w:highlight w:val="lightGray"/>
        </w:rPr>
      </w:pPr>
      <w:r>
        <w:rPr>
          <w:rStyle w:val="ui-provider"/>
        </w:rPr>
        <w:t xml:space="preserve">PLEASE NOTE: With the acquisition of </w:t>
      </w:r>
      <w:proofErr w:type="spellStart"/>
      <w:r>
        <w:rPr>
          <w:rStyle w:val="ui-provider"/>
        </w:rPr>
        <w:t>BioVision</w:t>
      </w:r>
      <w:proofErr w:type="spellEnd"/>
      <w:r>
        <w:rPr>
          <w:rStyle w:val="ui-provider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</w:p>
    <w:p w14:paraId="0781D156" w14:textId="77777777" w:rsidR="00E3732D" w:rsidRDefault="00E3732D">
      <w:pPr>
        <w:spacing w:before="0" w:line="240" w:lineRule="auto"/>
        <w:jc w:val="left"/>
        <w:rPr>
          <w:rFonts w:cs="Arial"/>
          <w:lang w:val="en-AU"/>
        </w:rPr>
      </w:pPr>
      <w:r>
        <w:rPr>
          <w:rFonts w:cs="Arial"/>
          <w:lang w:val="en-AU"/>
        </w:rPr>
        <w:br w:type="page"/>
      </w:r>
    </w:p>
    <w:p w14:paraId="68F83934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  <w:bookmarkStart w:id="0" w:name="_Toc315440409"/>
    </w:p>
    <w:p w14:paraId="398F235A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</w:p>
    <w:p w14:paraId="561504EF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</w:p>
    <w:p w14:paraId="4D86BA48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</w:p>
    <w:p w14:paraId="0FB69917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</w:p>
    <w:p w14:paraId="226548D8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</w:p>
    <w:p w14:paraId="2F92133C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</w:p>
    <w:p w14:paraId="0EC7841D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</w:p>
    <w:p w14:paraId="5D1B2E00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</w:p>
    <w:p w14:paraId="54D3B758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</w:p>
    <w:p w14:paraId="450A2B51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</w:p>
    <w:p w14:paraId="732BFD1E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</w:p>
    <w:p w14:paraId="2F31B1E4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</w:p>
    <w:p w14:paraId="3E620E63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</w:p>
    <w:p w14:paraId="5EC42152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</w:p>
    <w:p w14:paraId="0434F6BF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</w:p>
    <w:p w14:paraId="0DCC11BC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</w:p>
    <w:p w14:paraId="37E0CE39" w14:textId="77777777" w:rsidR="000D502D" w:rsidRDefault="000D502D" w:rsidP="00E3732D">
      <w:pPr>
        <w:pStyle w:val="Heading1"/>
        <w:numPr>
          <w:ilvl w:val="0"/>
          <w:numId w:val="0"/>
        </w:numPr>
        <w:spacing w:before="0"/>
      </w:pPr>
    </w:p>
    <w:p w14:paraId="1A487DCD" w14:textId="68D1135D" w:rsidR="00E3732D" w:rsidRDefault="00E3732D" w:rsidP="00E3732D">
      <w:pPr>
        <w:pStyle w:val="Heading1"/>
        <w:numPr>
          <w:ilvl w:val="0"/>
          <w:numId w:val="0"/>
        </w:numPr>
        <w:spacing w:before="0"/>
      </w:pPr>
      <w:r>
        <w:lastRenderedPageBreak/>
        <w:t>Table of Contents</w:t>
      </w:r>
      <w:bookmarkEnd w:id="0"/>
    </w:p>
    <w:p w14:paraId="6A0EE5BB" w14:textId="77777777" w:rsidR="00E3732D" w:rsidRDefault="00E3732D" w:rsidP="00E3732D">
      <w:pPr>
        <w:pStyle w:val="TOC1"/>
        <w:rPr>
          <w:rFonts w:asciiTheme="minorHAnsi" w:eastAsiaTheme="minorEastAsia" w:hAnsiTheme="minorHAnsi"/>
          <w:noProof/>
          <w:sz w:val="22"/>
          <w:szCs w:val="22"/>
        </w:rPr>
      </w:pPr>
      <w:r>
        <w:rPr>
          <w:rFonts w:eastAsiaTheme="minorHAnsi" w:cstheme="minorBidi"/>
        </w:rPr>
        <w:fldChar w:fldCharType="begin"/>
      </w:r>
      <w:r>
        <w:instrText xml:space="preserve"> TOC \o "1-1" \u </w:instrText>
      </w:r>
      <w:r>
        <w:rPr>
          <w:rFonts w:eastAsiaTheme="minorHAnsi" w:cstheme="minorBidi"/>
        </w:rPr>
        <w:fldChar w:fldCharType="separate"/>
      </w:r>
      <w:r>
        <w:rPr>
          <w:noProof/>
        </w:rPr>
        <w:t>1.</w:t>
      </w:r>
      <w:r>
        <w:rPr>
          <w:rFonts w:asciiTheme="minorHAnsi" w:eastAsiaTheme="minorEastAsia" w:hAnsiTheme="minorHAnsi"/>
          <w:noProof/>
          <w:sz w:val="22"/>
          <w:szCs w:val="22"/>
        </w:rPr>
        <w:tab/>
      </w:r>
      <w:r>
        <w:rPr>
          <w:noProof/>
        </w:rPr>
        <w:t>Overview</w:t>
      </w:r>
      <w:r>
        <w:rPr>
          <w:noProof/>
        </w:rPr>
        <w:tab/>
        <w:t>3</w:t>
      </w:r>
    </w:p>
    <w:p w14:paraId="589022FB" w14:textId="77777777" w:rsidR="00E3732D" w:rsidRDefault="00E3732D" w:rsidP="00E3732D">
      <w:pPr>
        <w:pStyle w:val="TOC1"/>
        <w:rPr>
          <w:rFonts w:asciiTheme="minorHAnsi" w:eastAsiaTheme="minorEastAsia" w:hAnsiTheme="minorHAnsi"/>
          <w:noProof/>
          <w:sz w:val="22"/>
          <w:szCs w:val="22"/>
        </w:rPr>
      </w:pPr>
      <w:r>
        <w:rPr>
          <w:noProof/>
        </w:rPr>
        <w:t>2.</w:t>
      </w:r>
      <w:r>
        <w:rPr>
          <w:rFonts w:asciiTheme="minorHAnsi" w:eastAsiaTheme="minorEastAsia" w:hAnsiTheme="minorHAnsi"/>
          <w:noProof/>
          <w:sz w:val="22"/>
          <w:szCs w:val="22"/>
        </w:rPr>
        <w:tab/>
      </w:r>
      <w:r>
        <w:rPr>
          <w:noProof/>
        </w:rPr>
        <w:t>Protocol Summary</w:t>
      </w:r>
      <w:r>
        <w:rPr>
          <w:noProof/>
        </w:rPr>
        <w:tab/>
        <w:t>4</w:t>
      </w:r>
    </w:p>
    <w:p w14:paraId="2C9ACE2D" w14:textId="77777777" w:rsidR="00E3732D" w:rsidRDefault="00E3732D" w:rsidP="00E3732D">
      <w:pPr>
        <w:pStyle w:val="TOC1"/>
        <w:rPr>
          <w:rFonts w:asciiTheme="minorHAnsi" w:eastAsiaTheme="minorEastAsia" w:hAnsiTheme="minorHAnsi"/>
          <w:noProof/>
          <w:sz w:val="22"/>
          <w:szCs w:val="22"/>
        </w:rPr>
      </w:pPr>
      <w:r>
        <w:rPr>
          <w:noProof/>
        </w:rPr>
        <w:t>3.</w:t>
      </w:r>
      <w:r>
        <w:rPr>
          <w:rFonts w:asciiTheme="minorHAnsi" w:eastAsiaTheme="minorEastAsia" w:hAnsiTheme="minorHAnsi"/>
          <w:noProof/>
          <w:sz w:val="22"/>
          <w:szCs w:val="22"/>
        </w:rPr>
        <w:tab/>
      </w:r>
      <w:r>
        <w:rPr>
          <w:noProof/>
        </w:rPr>
        <w:t>Components and Storage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_Toc315440412 \h </w:instrText>
      </w:r>
      <w:r>
        <w:rPr>
          <w:noProof/>
        </w:rPr>
      </w:r>
      <w:r>
        <w:rPr>
          <w:noProof/>
        </w:rPr>
        <w:fldChar w:fldCharType="separate"/>
      </w:r>
      <w:r w:rsidR="00500DDF">
        <w:rPr>
          <w:noProof/>
        </w:rPr>
        <w:t>5</w:t>
      </w:r>
      <w:r>
        <w:rPr>
          <w:noProof/>
        </w:rPr>
        <w:fldChar w:fldCharType="end"/>
      </w:r>
    </w:p>
    <w:p w14:paraId="49E469C4" w14:textId="77777777" w:rsidR="00E3732D" w:rsidRDefault="00E3732D" w:rsidP="00E3732D">
      <w:pPr>
        <w:pStyle w:val="TOC1"/>
        <w:rPr>
          <w:rFonts w:asciiTheme="minorHAnsi" w:eastAsiaTheme="minorEastAsia" w:hAnsiTheme="minorHAnsi"/>
          <w:noProof/>
          <w:sz w:val="22"/>
          <w:szCs w:val="22"/>
        </w:rPr>
      </w:pPr>
      <w:r>
        <w:rPr>
          <w:noProof/>
        </w:rPr>
        <w:t>4.</w:t>
      </w:r>
      <w:r>
        <w:rPr>
          <w:rFonts w:asciiTheme="minorHAnsi" w:eastAsiaTheme="minorEastAsia" w:hAnsiTheme="minorHAnsi"/>
          <w:noProof/>
          <w:sz w:val="22"/>
          <w:szCs w:val="22"/>
        </w:rPr>
        <w:tab/>
      </w:r>
      <w:r>
        <w:rPr>
          <w:noProof/>
        </w:rPr>
        <w:t>Assay Protocol</w:t>
      </w:r>
      <w:r>
        <w:rPr>
          <w:noProof/>
        </w:rPr>
        <w:tab/>
        <w:t>7</w:t>
      </w:r>
    </w:p>
    <w:p w14:paraId="5ABA60BD" w14:textId="77777777" w:rsidR="00E3732D" w:rsidRDefault="00E3732D" w:rsidP="00E3732D">
      <w:pPr>
        <w:pStyle w:val="TOC1"/>
        <w:rPr>
          <w:rFonts w:asciiTheme="minorHAnsi" w:eastAsiaTheme="minorEastAsia" w:hAnsiTheme="minorHAnsi"/>
          <w:noProof/>
          <w:sz w:val="22"/>
          <w:szCs w:val="22"/>
        </w:rPr>
      </w:pPr>
      <w:r>
        <w:rPr>
          <w:noProof/>
        </w:rPr>
        <w:t>5.</w:t>
      </w:r>
      <w:r>
        <w:rPr>
          <w:rFonts w:asciiTheme="minorHAnsi" w:eastAsiaTheme="minorEastAsia" w:hAnsiTheme="minorHAnsi"/>
          <w:noProof/>
          <w:sz w:val="22"/>
          <w:szCs w:val="22"/>
        </w:rPr>
        <w:tab/>
      </w:r>
      <w:r>
        <w:rPr>
          <w:noProof/>
        </w:rPr>
        <w:t>Data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_Toc315440414 \h </w:instrText>
      </w:r>
      <w:r>
        <w:rPr>
          <w:noProof/>
        </w:rPr>
      </w:r>
      <w:r>
        <w:rPr>
          <w:noProof/>
        </w:rPr>
        <w:fldChar w:fldCharType="separate"/>
      </w:r>
      <w:r w:rsidR="00500DDF">
        <w:rPr>
          <w:noProof/>
        </w:rPr>
        <w:t>9</w:t>
      </w:r>
      <w:r>
        <w:rPr>
          <w:noProof/>
        </w:rPr>
        <w:fldChar w:fldCharType="end"/>
      </w:r>
    </w:p>
    <w:p w14:paraId="3B1E1903" w14:textId="77777777" w:rsidR="00E3732D" w:rsidRDefault="00E3732D" w:rsidP="00E3732D">
      <w:pPr>
        <w:pStyle w:val="TOC1"/>
        <w:rPr>
          <w:noProof/>
        </w:rPr>
      </w:pPr>
      <w:r>
        <w:rPr>
          <w:noProof/>
        </w:rPr>
        <w:t>6.</w:t>
      </w:r>
      <w:r>
        <w:rPr>
          <w:rFonts w:asciiTheme="minorHAnsi" w:eastAsiaTheme="minorEastAsia" w:hAnsiTheme="minorHAnsi"/>
          <w:noProof/>
          <w:sz w:val="22"/>
          <w:szCs w:val="22"/>
        </w:rPr>
        <w:tab/>
      </w:r>
      <w:r>
        <w:rPr>
          <w:noProof/>
        </w:rPr>
        <w:t>Troubleshooting</w:t>
      </w:r>
      <w:r>
        <w:rPr>
          <w:noProof/>
        </w:rPr>
        <w:tab/>
        <w:t>11</w:t>
      </w:r>
    </w:p>
    <w:p w14:paraId="0CB26694" w14:textId="77777777" w:rsidR="00E3732D" w:rsidRDefault="00E3732D" w:rsidP="00E3732D"/>
    <w:p w14:paraId="3315F11E" w14:textId="77777777" w:rsidR="00E3732D" w:rsidRDefault="00E3732D" w:rsidP="00E3732D"/>
    <w:p w14:paraId="6BCFCBF6" w14:textId="77777777" w:rsidR="00E3732D" w:rsidRDefault="00E3732D" w:rsidP="00E3732D"/>
    <w:p w14:paraId="1DD081D3" w14:textId="77777777" w:rsidR="00E3732D" w:rsidRDefault="00E3732D" w:rsidP="00E3732D"/>
    <w:p w14:paraId="63112D07" w14:textId="77777777" w:rsidR="00E3732D" w:rsidRDefault="00E3732D" w:rsidP="00E3732D"/>
    <w:p w14:paraId="24F95A49" w14:textId="77777777" w:rsidR="00E3732D" w:rsidRDefault="00E3732D" w:rsidP="00E3732D"/>
    <w:p w14:paraId="0D0955D9" w14:textId="77777777" w:rsidR="00E3732D" w:rsidRPr="00AF1B9A" w:rsidRDefault="00E3732D" w:rsidP="00E3732D"/>
    <w:p w14:paraId="3A2F2991" w14:textId="77777777" w:rsidR="00E3732D" w:rsidRDefault="00E3732D" w:rsidP="00E3732D">
      <w:pPr>
        <w:pStyle w:val="Heading1"/>
        <w:spacing w:before="0"/>
        <w:ind w:left="502"/>
      </w:pPr>
      <w:r>
        <w:lastRenderedPageBreak/>
        <w:fldChar w:fldCharType="end"/>
      </w:r>
      <w:bookmarkStart w:id="1" w:name="_Toc315440410"/>
      <w:r>
        <w:t>Overview</w:t>
      </w:r>
      <w:bookmarkEnd w:id="1"/>
    </w:p>
    <w:p w14:paraId="3E5A814F" w14:textId="77777777" w:rsidR="00E3732D" w:rsidRDefault="00E3732D" w:rsidP="00E3732D">
      <w:r w:rsidRPr="00A94889">
        <w:t>Formic acid (HCOOH) is the simplest carboxylic acid and occurs naturally, notably in ant and bee venom. It is normally present at low lev</w:t>
      </w:r>
      <w:r>
        <w:t>els in blood and urine (up to ~</w:t>
      </w:r>
      <w:r w:rsidRPr="00A94889">
        <w:t xml:space="preserve">0.5 mM) but can be present in concentrations as high as 5 mM in acute methanol poisoning. Environmental exposure to formaldehyde can also elevate the blood and urine levels of </w:t>
      </w:r>
      <w:proofErr w:type="spellStart"/>
      <w:r w:rsidRPr="00A94889">
        <w:t>formate</w:t>
      </w:r>
      <w:proofErr w:type="spellEnd"/>
      <w:r w:rsidRPr="00A94889">
        <w:t xml:space="preserve">. </w:t>
      </w:r>
    </w:p>
    <w:p w14:paraId="311F812D" w14:textId="77777777" w:rsidR="00E3732D" w:rsidRPr="00A94889" w:rsidRDefault="00E3732D" w:rsidP="00E3732D">
      <w:r>
        <w:t>In Abcam’s</w:t>
      </w:r>
      <w:r w:rsidRPr="00A94889">
        <w:t xml:space="preserve"> </w:t>
      </w:r>
      <w:proofErr w:type="spellStart"/>
      <w:r w:rsidRPr="00A94889">
        <w:t>Formate</w:t>
      </w:r>
      <w:proofErr w:type="spellEnd"/>
      <w:r w:rsidRPr="00A94889">
        <w:t xml:space="preserve"> Assay Kit, </w:t>
      </w:r>
      <w:proofErr w:type="spellStart"/>
      <w:r w:rsidRPr="00A94889">
        <w:t>formate</w:t>
      </w:r>
      <w:proofErr w:type="spellEnd"/>
      <w:r w:rsidRPr="00A94889">
        <w:t xml:space="preserve"> is oxidized to generate a product resulting in color formation (λ = 450 nm) proportional to </w:t>
      </w:r>
      <w:proofErr w:type="spellStart"/>
      <w:r w:rsidRPr="00A94889">
        <w:t>formate</w:t>
      </w:r>
      <w:proofErr w:type="spellEnd"/>
      <w:r w:rsidRPr="00A94889">
        <w:t xml:space="preserve"> concentration. The kit provides a convenient means for detecting </w:t>
      </w:r>
      <w:proofErr w:type="spellStart"/>
      <w:r w:rsidRPr="00A94889">
        <w:t>formate</w:t>
      </w:r>
      <w:proofErr w:type="spellEnd"/>
      <w:r w:rsidRPr="00A94889">
        <w:t xml:space="preserve"> in biological samples such as in serum or plasma, cells, </w:t>
      </w:r>
      <w:proofErr w:type="gramStart"/>
      <w:r w:rsidRPr="00A94889">
        <w:t>culture</w:t>
      </w:r>
      <w:proofErr w:type="gramEnd"/>
      <w:r w:rsidRPr="00A94889">
        <w:t xml:space="preserve"> and fermentation media. There is no need for pretreatment or purification of samples.</w:t>
      </w:r>
    </w:p>
    <w:p w14:paraId="20AB6E25" w14:textId="77777777" w:rsidR="00E3732D" w:rsidRDefault="00E3732D" w:rsidP="00E3732D">
      <w:pPr>
        <w:pStyle w:val="Heading1"/>
        <w:spacing w:before="0"/>
        <w:ind w:left="502"/>
      </w:pPr>
      <w:bookmarkStart w:id="2" w:name="_Toc315440411"/>
      <w:r>
        <w:br w:type="page"/>
      </w:r>
      <w:r>
        <w:lastRenderedPageBreak/>
        <w:t>Protocol Summary</w:t>
      </w:r>
      <w:bookmarkEnd w:id="2"/>
    </w:p>
    <w:p w14:paraId="6BAD5043" w14:textId="77777777" w:rsidR="00E3732D" w:rsidRDefault="00E3732D" w:rsidP="00E3732D">
      <w:pPr>
        <w:pStyle w:val="ListParagraph"/>
        <w:spacing w:before="0"/>
        <w:ind w:left="0" w:firstLine="0"/>
        <w:jc w:val="center"/>
        <w:rPr>
          <w:b/>
        </w:rPr>
      </w:pPr>
    </w:p>
    <w:p w14:paraId="72ED1DD6" w14:textId="77777777" w:rsidR="00E3732D" w:rsidRPr="004465CF" w:rsidRDefault="00AD5E7A" w:rsidP="00E3732D">
      <w:pPr>
        <w:spacing w:befor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2461CE" wp14:editId="15C8E618">
                <wp:simplePos x="0" y="0"/>
                <wp:positionH relativeFrom="margin">
                  <wp:posOffset>1834515</wp:posOffset>
                </wp:positionH>
                <wp:positionV relativeFrom="paragraph">
                  <wp:posOffset>192405</wp:posOffset>
                </wp:positionV>
                <wp:extent cx="180975" cy="231140"/>
                <wp:effectExtent l="29210" t="8890" r="27940" b="762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9AD4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margin-left:144.45pt;margin-top:15.15pt;width:14.25pt;height:18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61A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">
                <w10:wrap anchorx="margin"/>
              </v:shape>
            </w:pict>
          </mc:Fallback>
        </mc:AlternateContent>
      </w:r>
      <w:r w:rsidR="00E3732D" w:rsidRPr="004465CF">
        <w:t>Sample Preparation</w:t>
      </w:r>
    </w:p>
    <w:p w14:paraId="0D9E928E" w14:textId="77777777" w:rsidR="00E3732D" w:rsidRDefault="00E3732D" w:rsidP="00E3732D">
      <w:pPr>
        <w:spacing w:before="0"/>
      </w:pPr>
    </w:p>
    <w:p w14:paraId="17691626" w14:textId="77777777" w:rsidR="00E3732D" w:rsidRDefault="00AD5E7A" w:rsidP="00E3732D">
      <w:pPr>
        <w:spacing w:befor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72FDA6B" wp14:editId="61DB2172">
                <wp:simplePos x="0" y="0"/>
                <wp:positionH relativeFrom="margin">
                  <wp:posOffset>1834515</wp:posOffset>
                </wp:positionH>
                <wp:positionV relativeFrom="paragraph">
                  <wp:posOffset>167640</wp:posOffset>
                </wp:positionV>
                <wp:extent cx="180975" cy="231140"/>
                <wp:effectExtent l="29210" t="12700" r="27940" b="1333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05E9F" id="AutoShape 9" o:spid="_x0000_s1026" type="#_x0000_t67" style="position:absolute;margin-left:144.45pt;margin-top:13.2pt;width:14.25pt;height:18.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41nQQ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">
                <w10:wrap anchorx="margin"/>
              </v:shape>
            </w:pict>
          </mc:Fallback>
        </mc:AlternateContent>
      </w:r>
      <w:r w:rsidR="00E3732D">
        <w:t>Standard Curve Preparation</w:t>
      </w:r>
    </w:p>
    <w:p w14:paraId="35836B00" w14:textId="77777777" w:rsidR="00E3732D" w:rsidRDefault="00E3732D" w:rsidP="00E3732D">
      <w:pPr>
        <w:spacing w:before="0"/>
        <w:jc w:val="center"/>
      </w:pPr>
    </w:p>
    <w:p w14:paraId="0DACA583" w14:textId="77777777" w:rsidR="00E3732D" w:rsidRDefault="00AD5E7A" w:rsidP="00E3732D">
      <w:pPr>
        <w:spacing w:befor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9F05CE" wp14:editId="25AE7F30">
                <wp:simplePos x="0" y="0"/>
                <wp:positionH relativeFrom="margin">
                  <wp:posOffset>1837690</wp:posOffset>
                </wp:positionH>
                <wp:positionV relativeFrom="paragraph">
                  <wp:posOffset>193675</wp:posOffset>
                </wp:positionV>
                <wp:extent cx="180975" cy="231140"/>
                <wp:effectExtent l="22860" t="10160" r="24765" b="1587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C082E" id="AutoShape 10" o:spid="_x0000_s1026" type="#_x0000_t67" style="position:absolute;margin-left:144.7pt;margin-top:15.25pt;width:14.25pt;height:18.2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vtQg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">
                <w10:wrap anchorx="margin"/>
              </v:shape>
            </w:pict>
          </mc:Fallback>
        </mc:AlternateContent>
      </w:r>
      <w:r w:rsidR="00E3732D">
        <w:t xml:space="preserve">Add </w:t>
      </w:r>
      <w:proofErr w:type="spellStart"/>
      <w:r w:rsidR="00E3732D">
        <w:t>Formate</w:t>
      </w:r>
      <w:proofErr w:type="spellEnd"/>
      <w:r w:rsidR="00E3732D">
        <w:t xml:space="preserve"> Reagent</w:t>
      </w:r>
    </w:p>
    <w:p w14:paraId="33564325" w14:textId="77777777" w:rsidR="00E3732D" w:rsidRDefault="00E3732D" w:rsidP="00E3732D">
      <w:pPr>
        <w:spacing w:before="0"/>
        <w:jc w:val="center"/>
      </w:pPr>
    </w:p>
    <w:p w14:paraId="0F5AB0E5" w14:textId="77777777" w:rsidR="00E3732D" w:rsidRDefault="00E3732D" w:rsidP="00E3732D">
      <w:pPr>
        <w:spacing w:before="0"/>
        <w:jc w:val="center"/>
      </w:pPr>
      <w:r>
        <w:t>Measure Optical Density</w:t>
      </w:r>
    </w:p>
    <w:p w14:paraId="2540FB7D" w14:textId="77777777" w:rsidR="00E3732D" w:rsidRDefault="00E3732D" w:rsidP="00E3732D"/>
    <w:p w14:paraId="48FCAA06" w14:textId="77777777" w:rsidR="00E3732D" w:rsidRDefault="00E3732D" w:rsidP="00E3732D"/>
    <w:p w14:paraId="20138A30" w14:textId="77777777" w:rsidR="00E3732D" w:rsidRDefault="00E3732D" w:rsidP="00E3732D">
      <w:pPr>
        <w:pStyle w:val="Heading1"/>
        <w:spacing w:before="0"/>
        <w:ind w:left="502"/>
      </w:pPr>
      <w:r>
        <w:br w:type="page"/>
      </w:r>
      <w:bookmarkStart w:id="3" w:name="_Toc315440412"/>
      <w:bookmarkStart w:id="4" w:name="_Toc271554832"/>
      <w:bookmarkStart w:id="5" w:name="_Toc273532551"/>
      <w:r>
        <w:lastRenderedPageBreak/>
        <w:t>Components and Storage</w:t>
      </w:r>
      <w:bookmarkEnd w:id="3"/>
    </w:p>
    <w:p w14:paraId="28A91D65" w14:textId="77777777" w:rsidR="00E3732D" w:rsidRPr="004F1FBE" w:rsidRDefault="00E3732D" w:rsidP="00E3732D">
      <w:pPr>
        <w:pStyle w:val="ListParagraph"/>
        <w:numPr>
          <w:ilvl w:val="0"/>
          <w:numId w:val="20"/>
        </w:numPr>
        <w:rPr>
          <w:b/>
        </w:rPr>
      </w:pPr>
      <w:r w:rsidRPr="004F1FBE">
        <w:rPr>
          <w:b/>
        </w:rPr>
        <w:t xml:space="preserve">Kit Components </w:t>
      </w:r>
    </w:p>
    <w:tbl>
      <w:tblPr>
        <w:tblStyle w:val="LightShading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11"/>
        <w:gridCol w:w="1276"/>
      </w:tblGrid>
      <w:tr w:rsidR="00E3732D" w:rsidRPr="00332830" w14:paraId="372D2B13" w14:textId="77777777" w:rsidTr="00634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7AD969E1" w14:textId="77777777" w:rsidR="00E3732D" w:rsidRPr="00332830" w:rsidRDefault="00E3732D" w:rsidP="00634F22">
            <w:pPr>
              <w:autoSpaceDE w:val="0"/>
              <w:autoSpaceDN w:val="0"/>
              <w:adjustRightInd w:val="0"/>
              <w:spacing w:after="240" w:line="240" w:lineRule="auto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32830">
              <w:rPr>
                <w:rFonts w:cs="Arial"/>
                <w:color w:val="000000"/>
                <w:sz w:val="18"/>
                <w:szCs w:val="18"/>
                <w:lang w:val="en-GB"/>
              </w:rPr>
              <w:t>Item</w:t>
            </w:r>
          </w:p>
        </w:tc>
        <w:tc>
          <w:tcPr>
            <w:tcW w:w="1276" w:type="dxa"/>
            <w:shd w:val="clear" w:color="auto" w:fill="auto"/>
          </w:tcPr>
          <w:p w14:paraId="01BFD3CE" w14:textId="77777777" w:rsidR="00E3732D" w:rsidRPr="00332830" w:rsidRDefault="00E3732D" w:rsidP="00634F22">
            <w:pPr>
              <w:autoSpaceDE w:val="0"/>
              <w:autoSpaceDN w:val="0"/>
              <w:adjustRightInd w:val="0"/>
              <w:spacing w:after="24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32830">
              <w:rPr>
                <w:rFonts w:cs="Arial"/>
                <w:color w:val="000000"/>
                <w:sz w:val="18"/>
                <w:szCs w:val="18"/>
                <w:lang w:val="en-GB"/>
              </w:rPr>
              <w:t>Quantity</w:t>
            </w:r>
          </w:p>
        </w:tc>
      </w:tr>
      <w:tr w:rsidR="00E3732D" w:rsidRPr="00332830" w14:paraId="4C94CBEF" w14:textId="77777777" w:rsidTr="00634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5ADA5C4F" w14:textId="6217F21E" w:rsidR="00E3732D" w:rsidRPr="002D34B6" w:rsidRDefault="00AD1E6D" w:rsidP="00634F22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Assay Buffer II/</w:t>
            </w:r>
            <w:proofErr w:type="spellStart"/>
            <w:r w:rsidR="00E3732D">
              <w:rPr>
                <w:b w:val="0"/>
                <w:sz w:val="18"/>
                <w:szCs w:val="18"/>
              </w:rPr>
              <w:t>Formate</w:t>
            </w:r>
            <w:proofErr w:type="spellEnd"/>
            <w:r w:rsidR="00E3732D" w:rsidRPr="002D34B6">
              <w:rPr>
                <w:b w:val="0"/>
                <w:sz w:val="18"/>
                <w:szCs w:val="18"/>
              </w:rPr>
              <w:t xml:space="preserve"> </w:t>
            </w:r>
            <w:r w:rsidR="00E3732D">
              <w:rPr>
                <w:b w:val="0"/>
                <w:sz w:val="18"/>
                <w:szCs w:val="18"/>
              </w:rPr>
              <w:t>Assay Buffer</w:t>
            </w:r>
          </w:p>
        </w:tc>
        <w:tc>
          <w:tcPr>
            <w:tcW w:w="1276" w:type="dxa"/>
            <w:shd w:val="clear" w:color="auto" w:fill="auto"/>
          </w:tcPr>
          <w:p w14:paraId="06141C78" w14:textId="77777777" w:rsidR="00E3732D" w:rsidRPr="00332830" w:rsidRDefault="00E3732D" w:rsidP="00634F2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25</w:t>
            </w:r>
            <w:r w:rsidRPr="00332830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</w:tr>
      <w:tr w:rsidR="00E3732D" w:rsidRPr="00332830" w14:paraId="6DDA49FE" w14:textId="77777777" w:rsidTr="00634F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03606D57" w14:textId="280C2D7C" w:rsidR="00E3732D" w:rsidRPr="002D34B6" w:rsidRDefault="00CE0219" w:rsidP="00634F22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Enzyme Mix IX/</w:t>
            </w:r>
            <w:proofErr w:type="spellStart"/>
            <w:r w:rsidR="00E3732D">
              <w:rPr>
                <w:b w:val="0"/>
                <w:sz w:val="18"/>
                <w:szCs w:val="18"/>
              </w:rPr>
              <w:t>Formate</w:t>
            </w:r>
            <w:proofErr w:type="spellEnd"/>
            <w:r w:rsidR="00E3732D">
              <w:rPr>
                <w:b w:val="0"/>
                <w:sz w:val="18"/>
                <w:szCs w:val="18"/>
              </w:rPr>
              <w:t xml:space="preserve"> Enzyme Mix (Lyophilized)</w:t>
            </w:r>
          </w:p>
        </w:tc>
        <w:tc>
          <w:tcPr>
            <w:tcW w:w="1276" w:type="dxa"/>
            <w:shd w:val="clear" w:color="auto" w:fill="auto"/>
          </w:tcPr>
          <w:p w14:paraId="254F4A18" w14:textId="77777777" w:rsidR="00E3732D" w:rsidRPr="00332830" w:rsidRDefault="00E3732D" w:rsidP="00634F2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</w:tr>
      <w:tr w:rsidR="00E3732D" w:rsidRPr="00332830" w14:paraId="22584DAD" w14:textId="77777777" w:rsidTr="00634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6A5575DB" w14:textId="4E766B50" w:rsidR="00E3732D" w:rsidRDefault="00CE0219" w:rsidP="00634F22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Developer Solution III/</w:t>
            </w:r>
            <w:proofErr w:type="spellStart"/>
            <w:r w:rsidR="00E3732D">
              <w:rPr>
                <w:b w:val="0"/>
                <w:sz w:val="18"/>
                <w:szCs w:val="18"/>
              </w:rPr>
              <w:t>Formate</w:t>
            </w:r>
            <w:proofErr w:type="spellEnd"/>
            <w:r w:rsidR="00E3732D">
              <w:rPr>
                <w:b w:val="0"/>
                <w:sz w:val="18"/>
                <w:szCs w:val="18"/>
              </w:rPr>
              <w:t xml:space="preserve"> Substrate Mix (Lyophilized)</w:t>
            </w:r>
          </w:p>
        </w:tc>
        <w:tc>
          <w:tcPr>
            <w:tcW w:w="1276" w:type="dxa"/>
            <w:shd w:val="clear" w:color="auto" w:fill="auto"/>
          </w:tcPr>
          <w:p w14:paraId="6B9731A4" w14:textId="77777777" w:rsidR="00E3732D" w:rsidRDefault="00E3732D" w:rsidP="00634F2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</w:tr>
      <w:tr w:rsidR="00E3732D" w:rsidRPr="00332830" w14:paraId="69577BCC" w14:textId="77777777" w:rsidTr="00634F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30A8AB4F" w14:textId="2197BF71" w:rsidR="00E3732D" w:rsidRPr="002D34B6" w:rsidRDefault="00CE0219" w:rsidP="00634F22">
            <w:pPr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Formate</w:t>
            </w:r>
            <w:proofErr w:type="spellEnd"/>
            <w:r>
              <w:rPr>
                <w:b w:val="0"/>
                <w:sz w:val="18"/>
                <w:szCs w:val="18"/>
              </w:rPr>
              <w:t xml:space="preserve"> Standard/</w:t>
            </w:r>
            <w:proofErr w:type="spellStart"/>
            <w:r w:rsidR="00E3732D">
              <w:rPr>
                <w:b w:val="0"/>
                <w:sz w:val="18"/>
                <w:szCs w:val="18"/>
              </w:rPr>
              <w:t>Formate</w:t>
            </w:r>
            <w:proofErr w:type="spellEnd"/>
            <w:r w:rsidR="00E3732D" w:rsidRPr="002D34B6">
              <w:rPr>
                <w:b w:val="0"/>
                <w:sz w:val="18"/>
                <w:szCs w:val="18"/>
              </w:rPr>
              <w:t xml:space="preserve"> Standard (</w:t>
            </w:r>
            <w:r w:rsidR="00E3732D">
              <w:rPr>
                <w:b w:val="0"/>
                <w:sz w:val="18"/>
                <w:szCs w:val="18"/>
              </w:rPr>
              <w:t>100 mM)</w:t>
            </w:r>
          </w:p>
        </w:tc>
        <w:tc>
          <w:tcPr>
            <w:tcW w:w="1276" w:type="dxa"/>
            <w:shd w:val="clear" w:color="auto" w:fill="auto"/>
          </w:tcPr>
          <w:p w14:paraId="51C0B7C9" w14:textId="77777777" w:rsidR="00E3732D" w:rsidRPr="00332830" w:rsidRDefault="00E3732D" w:rsidP="00634F2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100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val="en-GB"/>
              </w:rPr>
              <w:t>μL</w:t>
            </w:r>
            <w:proofErr w:type="spellEnd"/>
          </w:p>
        </w:tc>
      </w:tr>
    </w:tbl>
    <w:p w14:paraId="5C3542E2" w14:textId="77777777" w:rsidR="00E3732D" w:rsidRDefault="00E3732D" w:rsidP="00E3732D">
      <w:r>
        <w:t>* Store kit at -20</w:t>
      </w:r>
      <w:r>
        <w:rPr>
          <w:rFonts w:cs="Arial"/>
        </w:rPr>
        <w:t>°</w:t>
      </w:r>
      <w:r>
        <w:t>C.</w:t>
      </w:r>
    </w:p>
    <w:p w14:paraId="0253C906" w14:textId="7C316B30" w:rsidR="00E3732D" w:rsidRDefault="00CE0219" w:rsidP="00E3732D">
      <w:r>
        <w:t>ENZYME MIX IX/</w:t>
      </w:r>
      <w:r w:rsidR="00E3732D">
        <w:t xml:space="preserve">FORMATE ENZYME MIX: Dissolve in 220 </w:t>
      </w:r>
      <w:proofErr w:type="spellStart"/>
      <w:r w:rsidR="00E3732D">
        <w:t>μl</w:t>
      </w:r>
      <w:proofErr w:type="spellEnd"/>
      <w:r w:rsidR="00E3732D">
        <w:t xml:space="preserve"> </w:t>
      </w:r>
      <w:r>
        <w:t>Assay Buffer II/</w:t>
      </w:r>
      <w:proofErr w:type="spellStart"/>
      <w:r w:rsidR="00E3732D">
        <w:t>Formate</w:t>
      </w:r>
      <w:proofErr w:type="spellEnd"/>
      <w:r w:rsidR="00E3732D">
        <w:t xml:space="preserve"> Assay Buffer. Pipette up and down to completely dissolve. Aliquot and store at        -20°C. Use within two months.</w:t>
      </w:r>
    </w:p>
    <w:p w14:paraId="324792C3" w14:textId="2BEDA570" w:rsidR="00E3732D" w:rsidRDefault="00CE0219" w:rsidP="00E3732D">
      <w:r>
        <w:t>DEVELOPER SOLUTION III/</w:t>
      </w:r>
      <w:r w:rsidR="00E3732D">
        <w:t xml:space="preserve">FORMATE SUBSTRATE MIX: Reconstitute with 220 </w:t>
      </w:r>
      <w:proofErr w:type="spellStart"/>
      <w:r w:rsidR="00E3732D">
        <w:t>μl</w:t>
      </w:r>
      <w:proofErr w:type="spellEnd"/>
      <w:r w:rsidR="00E3732D">
        <w:t xml:space="preserve"> of distilled H</w:t>
      </w:r>
      <w:r w:rsidR="00E3732D" w:rsidRPr="00A94889">
        <w:rPr>
          <w:vertAlign w:val="subscript"/>
        </w:rPr>
        <w:t>2</w:t>
      </w:r>
      <w:r w:rsidR="00E3732D">
        <w:t>O and mix thoroughly. The solution is stable for 2 months at +4°C.</w:t>
      </w:r>
    </w:p>
    <w:p w14:paraId="7ED62165" w14:textId="77777777" w:rsidR="00E3732D" w:rsidRDefault="00E3732D" w:rsidP="00E3732D"/>
    <w:p w14:paraId="77CC28BB" w14:textId="77777777" w:rsidR="00E3732D" w:rsidRPr="004F1FBE" w:rsidRDefault="00E3732D" w:rsidP="00E3732D">
      <w:pPr>
        <w:pStyle w:val="ListParagraph"/>
        <w:numPr>
          <w:ilvl w:val="0"/>
          <w:numId w:val="20"/>
        </w:numPr>
        <w:rPr>
          <w:b/>
        </w:rPr>
      </w:pPr>
      <w:r w:rsidRPr="004F1FBE">
        <w:rPr>
          <w:b/>
        </w:rPr>
        <w:lastRenderedPageBreak/>
        <w:t>Additional Materials Required</w:t>
      </w:r>
    </w:p>
    <w:p w14:paraId="6E4396AD" w14:textId="77777777" w:rsidR="00E3732D" w:rsidRDefault="00E3732D" w:rsidP="00E3732D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>Microcentrifuge</w:t>
      </w:r>
    </w:p>
    <w:p w14:paraId="31F857B8" w14:textId="77777777" w:rsidR="00E3732D" w:rsidRDefault="00E3732D" w:rsidP="00E3732D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>Pipettes and pipette tips</w:t>
      </w:r>
    </w:p>
    <w:p w14:paraId="1F4A04D6" w14:textId="77777777" w:rsidR="00E3732D" w:rsidRDefault="00E3732D" w:rsidP="00E3732D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>Colorimetric microplate reader</w:t>
      </w:r>
    </w:p>
    <w:p w14:paraId="75A85B28" w14:textId="77777777" w:rsidR="00E3732D" w:rsidRDefault="00E3732D" w:rsidP="00E3732D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>96 well plate</w:t>
      </w:r>
    </w:p>
    <w:p w14:paraId="56BE106E" w14:textId="77777777" w:rsidR="00E3732D" w:rsidRDefault="00E3732D" w:rsidP="00E3732D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>Orbital shaker</w:t>
      </w:r>
    </w:p>
    <w:p w14:paraId="54893263" w14:textId="77777777" w:rsidR="00E3732D" w:rsidRDefault="00E3732D" w:rsidP="00E3732D">
      <w:pPr>
        <w:pStyle w:val="ListParagraph"/>
        <w:ind w:left="851" w:firstLine="0"/>
        <w:contextualSpacing w:val="0"/>
      </w:pPr>
    </w:p>
    <w:p w14:paraId="2E5EE56B" w14:textId="77777777" w:rsidR="00E3732D" w:rsidRDefault="00E3732D" w:rsidP="00E3732D">
      <w:pPr>
        <w:pStyle w:val="ListParagraph"/>
        <w:ind w:left="851" w:firstLine="0"/>
        <w:contextualSpacing w:val="0"/>
      </w:pPr>
    </w:p>
    <w:p w14:paraId="09941177" w14:textId="77777777" w:rsidR="00E3732D" w:rsidRDefault="00E3732D" w:rsidP="00E3732D">
      <w:pPr>
        <w:pStyle w:val="ListParagraph"/>
        <w:ind w:left="851" w:firstLine="0"/>
        <w:contextualSpacing w:val="0"/>
      </w:pPr>
    </w:p>
    <w:p w14:paraId="106EC2AC" w14:textId="77777777" w:rsidR="00E3732D" w:rsidRDefault="00E3732D" w:rsidP="00E3732D">
      <w:pPr>
        <w:pStyle w:val="ListParagraph"/>
        <w:ind w:left="851" w:firstLine="0"/>
        <w:contextualSpacing w:val="0"/>
      </w:pPr>
    </w:p>
    <w:p w14:paraId="042EFC0E" w14:textId="77777777" w:rsidR="00E3732D" w:rsidRDefault="00E3732D" w:rsidP="00E3732D">
      <w:pPr>
        <w:pStyle w:val="ListParagraph"/>
        <w:ind w:left="851" w:firstLine="0"/>
        <w:contextualSpacing w:val="0"/>
      </w:pPr>
    </w:p>
    <w:p w14:paraId="19886813" w14:textId="77777777" w:rsidR="00E3732D" w:rsidRDefault="00E3732D" w:rsidP="00E3732D">
      <w:pPr>
        <w:pStyle w:val="ListParagraph"/>
        <w:ind w:left="851" w:firstLine="0"/>
        <w:contextualSpacing w:val="0"/>
      </w:pPr>
    </w:p>
    <w:p w14:paraId="210D6337" w14:textId="77777777" w:rsidR="00E3732D" w:rsidRDefault="00E3732D" w:rsidP="00E3732D">
      <w:pPr>
        <w:pStyle w:val="ListParagraph"/>
        <w:ind w:left="851" w:firstLine="0"/>
        <w:contextualSpacing w:val="0"/>
      </w:pPr>
    </w:p>
    <w:p w14:paraId="19A4054E" w14:textId="77777777" w:rsidR="00E3732D" w:rsidRDefault="00E3732D" w:rsidP="00E3732D">
      <w:pPr>
        <w:pStyle w:val="ListParagraph"/>
        <w:ind w:left="851" w:firstLine="0"/>
        <w:contextualSpacing w:val="0"/>
      </w:pPr>
    </w:p>
    <w:p w14:paraId="446C5063" w14:textId="77777777" w:rsidR="00E3732D" w:rsidRDefault="00E3732D" w:rsidP="00E3732D">
      <w:pPr>
        <w:pStyle w:val="Heading1"/>
        <w:spacing w:before="0"/>
        <w:ind w:left="502"/>
      </w:pPr>
      <w:bookmarkStart w:id="6" w:name="_Toc315440413"/>
      <w:bookmarkEnd w:id="4"/>
      <w:bookmarkEnd w:id="5"/>
      <w:r>
        <w:br w:type="page"/>
      </w:r>
      <w:r>
        <w:lastRenderedPageBreak/>
        <w:t>Assay Protocol</w:t>
      </w:r>
      <w:bookmarkEnd w:id="6"/>
    </w:p>
    <w:p w14:paraId="0A54B1A5" w14:textId="77777777" w:rsidR="00E3732D" w:rsidRPr="003704DB" w:rsidRDefault="00E3732D" w:rsidP="00E3732D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284" w:hanging="284"/>
        <w:rPr>
          <w:rFonts w:cs="Arial"/>
          <w:szCs w:val="20"/>
        </w:rPr>
      </w:pPr>
      <w:bookmarkStart w:id="7" w:name="_Toc271554840"/>
      <w:bookmarkStart w:id="8" w:name="_Toc273532559"/>
      <w:r w:rsidRPr="003704DB">
        <w:rPr>
          <w:rFonts w:cs="Arial"/>
          <w:b/>
          <w:bCs/>
          <w:szCs w:val="20"/>
        </w:rPr>
        <w:t>Sample Preparation:</w:t>
      </w:r>
    </w:p>
    <w:p w14:paraId="6E2FCBF3" w14:textId="3575ADD8" w:rsidR="00E3732D" w:rsidRDefault="00E3732D" w:rsidP="00E3732D">
      <w:pPr>
        <w:pStyle w:val="ListParagraph"/>
        <w:autoSpaceDE w:val="0"/>
        <w:autoSpaceDN w:val="0"/>
        <w:adjustRightInd w:val="0"/>
        <w:ind w:left="0" w:firstLine="0"/>
        <w:rPr>
          <w:rFonts w:cs="Arial"/>
          <w:szCs w:val="20"/>
        </w:rPr>
      </w:pPr>
      <w:r w:rsidRPr="00A94889">
        <w:rPr>
          <w:rFonts w:cs="Arial"/>
          <w:szCs w:val="20"/>
        </w:rPr>
        <w:t xml:space="preserve">Prepare test samples at 50 </w:t>
      </w:r>
      <w:proofErr w:type="spellStart"/>
      <w:r w:rsidRPr="00A94889">
        <w:rPr>
          <w:rFonts w:cs="Arial"/>
          <w:szCs w:val="20"/>
        </w:rPr>
        <w:t>μl</w:t>
      </w:r>
      <w:proofErr w:type="spellEnd"/>
      <w:r w:rsidRPr="00A94889">
        <w:rPr>
          <w:rFonts w:cs="Arial"/>
          <w:szCs w:val="20"/>
        </w:rPr>
        <w:t xml:space="preserve">/well with </w:t>
      </w:r>
      <w:r w:rsidR="00CE0219">
        <w:rPr>
          <w:rFonts w:cs="Arial"/>
          <w:szCs w:val="20"/>
        </w:rPr>
        <w:t>Assay Buffer II/</w:t>
      </w:r>
      <w:proofErr w:type="spellStart"/>
      <w:r w:rsidRPr="00A94889">
        <w:rPr>
          <w:rFonts w:cs="Arial"/>
          <w:szCs w:val="20"/>
        </w:rPr>
        <w:t>Formate</w:t>
      </w:r>
      <w:proofErr w:type="spellEnd"/>
      <w:r w:rsidRPr="00A94889">
        <w:rPr>
          <w:rFonts w:cs="Arial"/>
          <w:szCs w:val="20"/>
        </w:rPr>
        <w:t xml:space="preserve"> Assay Buffer in a 96-</w:t>
      </w:r>
      <w:r>
        <w:rPr>
          <w:rFonts w:cs="Arial"/>
          <w:szCs w:val="20"/>
        </w:rPr>
        <w:t xml:space="preserve"> </w:t>
      </w:r>
      <w:r w:rsidRPr="00A94889">
        <w:rPr>
          <w:rFonts w:cs="Arial"/>
          <w:szCs w:val="20"/>
        </w:rPr>
        <w:t xml:space="preserve">well plate. </w:t>
      </w:r>
    </w:p>
    <w:p w14:paraId="3AB00E48" w14:textId="72C5C0E8" w:rsidR="00E3732D" w:rsidRDefault="00E3732D" w:rsidP="00E3732D">
      <w:pPr>
        <w:pStyle w:val="ListParagraph"/>
        <w:numPr>
          <w:ilvl w:val="1"/>
          <w:numId w:val="21"/>
        </w:numPr>
        <w:autoSpaceDE w:val="0"/>
        <w:autoSpaceDN w:val="0"/>
        <w:adjustRightInd w:val="0"/>
        <w:ind w:left="284" w:hanging="284"/>
        <w:contextualSpacing w:val="0"/>
        <w:rPr>
          <w:rFonts w:cs="Arial"/>
          <w:szCs w:val="20"/>
        </w:rPr>
      </w:pPr>
      <w:r>
        <w:rPr>
          <w:rFonts w:cs="Arial"/>
          <w:b/>
          <w:bCs/>
          <w:szCs w:val="20"/>
        </w:rPr>
        <w:t>For serum samples:</w:t>
      </w:r>
      <w:r w:rsidRPr="00A9488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</w:t>
      </w:r>
      <w:r w:rsidRPr="00A94889">
        <w:rPr>
          <w:rFonts w:cs="Arial"/>
          <w:szCs w:val="20"/>
        </w:rPr>
        <w:t xml:space="preserve">erum (0.5-10 </w:t>
      </w:r>
      <w:proofErr w:type="spellStart"/>
      <w:r>
        <w:rPr>
          <w:rFonts w:cs="Arial"/>
          <w:szCs w:val="20"/>
        </w:rPr>
        <w:t>μl</w:t>
      </w:r>
      <w:proofErr w:type="spellEnd"/>
      <w:r w:rsidRPr="00A94889">
        <w:rPr>
          <w:rFonts w:cs="Arial"/>
          <w:szCs w:val="20"/>
        </w:rPr>
        <w:t>/assay, normal serum contains ~ 0-0.5</w:t>
      </w:r>
      <w:r>
        <w:rPr>
          <w:rFonts w:cs="Arial"/>
          <w:szCs w:val="20"/>
        </w:rPr>
        <w:t xml:space="preserve"> </w:t>
      </w:r>
      <w:r w:rsidRPr="00A94889">
        <w:rPr>
          <w:rFonts w:cs="Arial"/>
          <w:szCs w:val="20"/>
        </w:rPr>
        <w:t>nmol/</w:t>
      </w:r>
      <w:proofErr w:type="spellStart"/>
      <w:r>
        <w:rPr>
          <w:rFonts w:cs="Arial"/>
          <w:szCs w:val="20"/>
        </w:rPr>
        <w:t>μl</w:t>
      </w:r>
      <w:proofErr w:type="spellEnd"/>
      <w:r w:rsidRPr="00A94889">
        <w:rPr>
          <w:rFonts w:cs="Arial"/>
          <w:szCs w:val="20"/>
        </w:rPr>
        <w:t xml:space="preserve"> </w:t>
      </w:r>
      <w:proofErr w:type="spellStart"/>
      <w:r w:rsidRPr="00A94889">
        <w:rPr>
          <w:rFonts w:cs="Arial"/>
          <w:szCs w:val="20"/>
        </w:rPr>
        <w:t>formate</w:t>
      </w:r>
      <w:proofErr w:type="spellEnd"/>
      <w:r w:rsidRPr="00A94889">
        <w:rPr>
          <w:rFonts w:cs="Arial"/>
          <w:szCs w:val="20"/>
        </w:rPr>
        <w:t xml:space="preserve">) can be directly diluted in the </w:t>
      </w:r>
      <w:r w:rsidR="00CE0219">
        <w:rPr>
          <w:rFonts w:cs="Arial"/>
          <w:szCs w:val="20"/>
        </w:rPr>
        <w:t>Assay Buffer II/</w:t>
      </w:r>
      <w:proofErr w:type="spellStart"/>
      <w:r w:rsidRPr="00A94889">
        <w:rPr>
          <w:rFonts w:cs="Arial"/>
          <w:szCs w:val="20"/>
        </w:rPr>
        <w:t>Formate</w:t>
      </w:r>
      <w:proofErr w:type="spellEnd"/>
      <w:r w:rsidRPr="00A94889">
        <w:rPr>
          <w:rFonts w:cs="Arial"/>
          <w:szCs w:val="20"/>
        </w:rPr>
        <w:t xml:space="preserve"> Assay Buffer. </w:t>
      </w:r>
    </w:p>
    <w:p w14:paraId="0F20B44E" w14:textId="77777777" w:rsidR="00E3732D" w:rsidRPr="00A94889" w:rsidRDefault="00E3732D" w:rsidP="00E3732D">
      <w:pPr>
        <w:pStyle w:val="ListParagraph"/>
        <w:numPr>
          <w:ilvl w:val="1"/>
          <w:numId w:val="21"/>
        </w:numPr>
        <w:autoSpaceDE w:val="0"/>
        <w:autoSpaceDN w:val="0"/>
        <w:adjustRightInd w:val="0"/>
        <w:ind w:left="284" w:hanging="284"/>
        <w:contextualSpacing w:val="0"/>
        <w:rPr>
          <w:rFonts w:cs="Arial"/>
          <w:szCs w:val="20"/>
        </w:rPr>
      </w:pPr>
      <w:r w:rsidRPr="00A94889">
        <w:rPr>
          <w:rFonts w:cs="Arial"/>
          <w:b/>
          <w:szCs w:val="20"/>
        </w:rPr>
        <w:t xml:space="preserve">For </w:t>
      </w:r>
      <w:r w:rsidRPr="00A94889">
        <w:rPr>
          <w:rFonts w:cs="Arial"/>
          <w:b/>
          <w:bCs/>
          <w:szCs w:val="20"/>
        </w:rPr>
        <w:t>tissue</w:t>
      </w:r>
      <w:r w:rsidRPr="00A94889">
        <w:rPr>
          <w:rFonts w:cs="Arial"/>
          <w:b/>
          <w:szCs w:val="20"/>
        </w:rPr>
        <w:t xml:space="preserve"> or cell samples:</w:t>
      </w:r>
      <w:r w:rsidRPr="00A94889">
        <w:rPr>
          <w:rFonts w:cs="Arial"/>
          <w:szCs w:val="20"/>
        </w:rPr>
        <w:t xml:space="preserve"> Tissue (10 mg) or cells</w:t>
      </w:r>
      <w:r>
        <w:rPr>
          <w:rFonts w:cs="Arial"/>
          <w:szCs w:val="20"/>
        </w:rPr>
        <w:t xml:space="preserve"> </w:t>
      </w:r>
      <w:r w:rsidRPr="00A94889">
        <w:rPr>
          <w:rFonts w:cs="Arial"/>
          <w:szCs w:val="20"/>
        </w:rPr>
        <w:t>(1 x 10</w:t>
      </w:r>
      <w:r w:rsidRPr="00A94889">
        <w:rPr>
          <w:rFonts w:cs="Arial"/>
          <w:szCs w:val="20"/>
          <w:vertAlign w:val="superscript"/>
        </w:rPr>
        <w:t>6</w:t>
      </w:r>
      <w:r w:rsidRPr="00A94889">
        <w:rPr>
          <w:rFonts w:cs="Arial"/>
          <w:szCs w:val="20"/>
        </w:rPr>
        <w:t xml:space="preserve">) can be homogenized in 100 </w:t>
      </w:r>
      <w:proofErr w:type="spellStart"/>
      <w:r w:rsidRPr="00A94889">
        <w:rPr>
          <w:rFonts w:cs="Arial"/>
          <w:szCs w:val="20"/>
        </w:rPr>
        <w:t>μl</w:t>
      </w:r>
      <w:proofErr w:type="spellEnd"/>
      <w:r w:rsidRPr="00A94889">
        <w:rPr>
          <w:rFonts w:cs="Arial"/>
          <w:szCs w:val="20"/>
        </w:rPr>
        <w:t xml:space="preserve"> of Assay Buffer. Centrifuge in Eppendorf centrifuge at top speed for 10 min to remove insoluble materials. The soluble fraction may be assayed directly.</w:t>
      </w:r>
    </w:p>
    <w:p w14:paraId="74B1C722" w14:textId="77777777" w:rsidR="00E3732D" w:rsidRPr="00A94889" w:rsidRDefault="00E3732D" w:rsidP="00E3732D">
      <w:pPr>
        <w:pStyle w:val="ListParagraph"/>
        <w:autoSpaceDE w:val="0"/>
        <w:autoSpaceDN w:val="0"/>
        <w:adjustRightInd w:val="0"/>
        <w:ind w:left="284" w:firstLine="0"/>
        <w:contextualSpacing w:val="0"/>
        <w:rPr>
          <w:rFonts w:cs="Arial"/>
          <w:b/>
          <w:bCs/>
          <w:i/>
          <w:szCs w:val="20"/>
        </w:rPr>
      </w:pPr>
      <w:r w:rsidRPr="00A94889">
        <w:rPr>
          <w:rFonts w:cs="Arial"/>
          <w:i/>
          <w:szCs w:val="20"/>
        </w:rPr>
        <w:t>We suggest using several doses of your sample to ensure the readings are within the standard curve range.</w:t>
      </w:r>
      <w:r w:rsidRPr="00A94889">
        <w:rPr>
          <w:rFonts w:cs="Arial"/>
          <w:b/>
          <w:bCs/>
          <w:i/>
          <w:szCs w:val="20"/>
        </w:rPr>
        <w:t xml:space="preserve"> </w:t>
      </w:r>
    </w:p>
    <w:p w14:paraId="63316965" w14:textId="77777777" w:rsidR="00E3732D" w:rsidRDefault="00E3732D" w:rsidP="00E3732D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284" w:hanging="284"/>
        <w:contextualSpacing w:val="0"/>
        <w:rPr>
          <w:rFonts w:cs="Arial"/>
          <w:b/>
          <w:bCs/>
          <w:szCs w:val="20"/>
        </w:rPr>
      </w:pPr>
      <w:r w:rsidRPr="003704DB">
        <w:rPr>
          <w:rFonts w:cs="Arial"/>
          <w:b/>
          <w:bCs/>
          <w:szCs w:val="20"/>
        </w:rPr>
        <w:t xml:space="preserve">Standard Curve Preparation: </w:t>
      </w:r>
    </w:p>
    <w:p w14:paraId="79A5463E" w14:textId="77777777" w:rsidR="00E3732D" w:rsidRDefault="00E3732D" w:rsidP="00E3732D">
      <w:pPr>
        <w:pStyle w:val="ListParagraph"/>
        <w:autoSpaceDE w:val="0"/>
        <w:autoSpaceDN w:val="0"/>
        <w:adjustRightInd w:val="0"/>
        <w:ind w:left="0" w:firstLine="0"/>
        <w:rPr>
          <w:rFonts w:cs="Arial"/>
          <w:szCs w:val="20"/>
        </w:rPr>
      </w:pPr>
      <w:r w:rsidRPr="00A94889">
        <w:rPr>
          <w:rFonts w:cs="Arial"/>
          <w:szCs w:val="20"/>
        </w:rPr>
        <w:t xml:space="preserve">Dilute the </w:t>
      </w:r>
      <w:proofErr w:type="spellStart"/>
      <w:r w:rsidRPr="00A94889">
        <w:rPr>
          <w:rFonts w:cs="Arial"/>
          <w:szCs w:val="20"/>
        </w:rPr>
        <w:t>Formate</w:t>
      </w:r>
      <w:proofErr w:type="spellEnd"/>
      <w:r w:rsidRPr="00A94889">
        <w:rPr>
          <w:rFonts w:cs="Arial"/>
          <w:szCs w:val="20"/>
        </w:rPr>
        <w:t xml:space="preserve"> Standard to 1 mM by adding 10 </w:t>
      </w:r>
      <w:proofErr w:type="spellStart"/>
      <w:r w:rsidRPr="00A94889">
        <w:rPr>
          <w:rFonts w:cs="Arial"/>
          <w:szCs w:val="20"/>
        </w:rPr>
        <w:t>μl</w:t>
      </w:r>
      <w:proofErr w:type="spellEnd"/>
      <w:r w:rsidRPr="00A94889">
        <w:rPr>
          <w:rFonts w:cs="Arial"/>
          <w:szCs w:val="20"/>
        </w:rPr>
        <w:t xml:space="preserve"> of the</w:t>
      </w:r>
      <w:r>
        <w:rPr>
          <w:rFonts w:cs="Arial"/>
          <w:szCs w:val="20"/>
        </w:rPr>
        <w:t xml:space="preserve"> </w:t>
      </w:r>
      <w:proofErr w:type="spellStart"/>
      <w:r w:rsidRPr="00A94889">
        <w:rPr>
          <w:rFonts w:cs="Arial"/>
          <w:szCs w:val="20"/>
        </w:rPr>
        <w:t>Formate</w:t>
      </w:r>
      <w:proofErr w:type="spellEnd"/>
      <w:r w:rsidRPr="00A94889">
        <w:rPr>
          <w:rFonts w:cs="Arial"/>
          <w:szCs w:val="20"/>
        </w:rPr>
        <w:t xml:space="preserve"> Standard to 990 </w:t>
      </w:r>
      <w:proofErr w:type="spellStart"/>
      <w:r w:rsidRPr="00A94889">
        <w:rPr>
          <w:rFonts w:cs="Arial"/>
          <w:szCs w:val="20"/>
        </w:rPr>
        <w:t>μl</w:t>
      </w:r>
      <w:proofErr w:type="spellEnd"/>
      <w:r w:rsidRPr="00A94889">
        <w:rPr>
          <w:rFonts w:cs="Arial"/>
          <w:szCs w:val="20"/>
        </w:rPr>
        <w:t xml:space="preserve"> of dH</w:t>
      </w:r>
      <w:r w:rsidRPr="00A94889">
        <w:rPr>
          <w:rFonts w:cs="Arial"/>
          <w:szCs w:val="20"/>
          <w:vertAlign w:val="subscript"/>
        </w:rPr>
        <w:t>2</w:t>
      </w:r>
      <w:r w:rsidRPr="00A94889">
        <w:rPr>
          <w:rFonts w:cs="Arial"/>
          <w:szCs w:val="20"/>
        </w:rPr>
        <w:t xml:space="preserve">O, mix well. Add 0, 2, 4, 6, 8, 10 </w:t>
      </w:r>
      <w:proofErr w:type="spellStart"/>
      <w:r w:rsidRPr="00A94889">
        <w:rPr>
          <w:rFonts w:cs="Arial"/>
          <w:szCs w:val="20"/>
        </w:rPr>
        <w:t>μl</w:t>
      </w:r>
      <w:proofErr w:type="spellEnd"/>
      <w:r w:rsidRPr="00A94889">
        <w:rPr>
          <w:rFonts w:cs="Arial"/>
          <w:szCs w:val="20"/>
        </w:rPr>
        <w:t xml:space="preserve"> into a series of wells</w:t>
      </w:r>
      <w:r>
        <w:rPr>
          <w:rFonts w:cs="Arial"/>
          <w:szCs w:val="20"/>
        </w:rPr>
        <w:t xml:space="preserve"> </w:t>
      </w:r>
      <w:r w:rsidRPr="00A94889">
        <w:rPr>
          <w:rFonts w:cs="Arial"/>
          <w:szCs w:val="20"/>
        </w:rPr>
        <w:t xml:space="preserve">on a 96 well plate. </w:t>
      </w:r>
    </w:p>
    <w:p w14:paraId="5484B0B5" w14:textId="288FF6FA" w:rsidR="00E3732D" w:rsidRDefault="00E3732D" w:rsidP="00E3732D">
      <w:pPr>
        <w:pStyle w:val="ListParagraph"/>
        <w:autoSpaceDE w:val="0"/>
        <w:autoSpaceDN w:val="0"/>
        <w:adjustRightInd w:val="0"/>
        <w:ind w:left="0" w:firstLine="0"/>
        <w:contextualSpacing w:val="0"/>
        <w:rPr>
          <w:rFonts w:cs="Arial"/>
          <w:szCs w:val="20"/>
        </w:rPr>
      </w:pPr>
      <w:r w:rsidRPr="00A94889">
        <w:rPr>
          <w:rFonts w:cs="Arial"/>
          <w:szCs w:val="20"/>
        </w:rPr>
        <w:t>Adjust volume to 50</w:t>
      </w:r>
      <w:r>
        <w:rPr>
          <w:rFonts w:cs="Arial"/>
          <w:szCs w:val="20"/>
        </w:rPr>
        <w:t> </w:t>
      </w:r>
      <w:proofErr w:type="spellStart"/>
      <w:r w:rsidRPr="00A94889">
        <w:rPr>
          <w:rFonts w:cs="Arial"/>
          <w:szCs w:val="20"/>
        </w:rPr>
        <w:t>μl</w:t>
      </w:r>
      <w:proofErr w:type="spellEnd"/>
      <w:r w:rsidRPr="00A94889">
        <w:rPr>
          <w:rFonts w:cs="Arial"/>
          <w:szCs w:val="20"/>
        </w:rPr>
        <w:t xml:space="preserve">/well with </w:t>
      </w:r>
      <w:r w:rsidR="00CE0219">
        <w:rPr>
          <w:rFonts w:cs="Arial"/>
          <w:szCs w:val="20"/>
        </w:rPr>
        <w:t>Assay Buffer II/</w:t>
      </w:r>
      <w:proofErr w:type="spellStart"/>
      <w:r w:rsidRPr="00A94889">
        <w:rPr>
          <w:rFonts w:cs="Arial"/>
          <w:szCs w:val="20"/>
        </w:rPr>
        <w:t>Formate</w:t>
      </w:r>
      <w:proofErr w:type="spellEnd"/>
      <w:r w:rsidRPr="00A94889">
        <w:rPr>
          <w:rFonts w:cs="Arial"/>
          <w:szCs w:val="20"/>
        </w:rPr>
        <w:t xml:space="preserve"> Assay Buffer to generate 0, 2, 4,</w:t>
      </w:r>
      <w:r>
        <w:rPr>
          <w:rFonts w:cs="Arial"/>
          <w:szCs w:val="20"/>
        </w:rPr>
        <w:t xml:space="preserve"> </w:t>
      </w:r>
      <w:r w:rsidRPr="00A94889">
        <w:rPr>
          <w:rFonts w:cs="Arial"/>
          <w:szCs w:val="20"/>
        </w:rPr>
        <w:t xml:space="preserve">6, 8, 10 nmol/well of the </w:t>
      </w:r>
      <w:proofErr w:type="spellStart"/>
      <w:r w:rsidRPr="00A94889">
        <w:rPr>
          <w:rFonts w:cs="Arial"/>
          <w:szCs w:val="20"/>
        </w:rPr>
        <w:t>Formate</w:t>
      </w:r>
      <w:proofErr w:type="spellEnd"/>
      <w:r w:rsidRPr="00A94889">
        <w:rPr>
          <w:rFonts w:cs="Arial"/>
          <w:szCs w:val="20"/>
        </w:rPr>
        <w:t xml:space="preserve"> Standard.</w:t>
      </w:r>
    </w:p>
    <w:p w14:paraId="017BF716" w14:textId="77777777" w:rsidR="00E3732D" w:rsidRDefault="00E3732D" w:rsidP="00E3732D">
      <w:pPr>
        <w:pStyle w:val="ListParagraph"/>
        <w:autoSpaceDE w:val="0"/>
        <w:autoSpaceDN w:val="0"/>
        <w:adjustRightInd w:val="0"/>
        <w:ind w:left="284" w:firstLine="0"/>
        <w:rPr>
          <w:rFonts w:cs="Arial"/>
          <w:szCs w:val="20"/>
        </w:rPr>
      </w:pPr>
    </w:p>
    <w:p w14:paraId="0BC2A69E" w14:textId="77777777" w:rsidR="00E3732D" w:rsidRDefault="00E3732D" w:rsidP="00E3732D">
      <w:pPr>
        <w:pStyle w:val="ListParagraph"/>
        <w:autoSpaceDE w:val="0"/>
        <w:autoSpaceDN w:val="0"/>
        <w:adjustRightInd w:val="0"/>
        <w:ind w:left="284" w:firstLine="0"/>
        <w:rPr>
          <w:rFonts w:cs="Arial"/>
          <w:szCs w:val="20"/>
        </w:rPr>
      </w:pPr>
    </w:p>
    <w:p w14:paraId="457EA18A" w14:textId="77777777" w:rsidR="00E3732D" w:rsidRPr="007F19AA" w:rsidRDefault="00E3732D" w:rsidP="00E3732D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rFonts w:cs="Arial"/>
          <w:bCs/>
          <w:szCs w:val="20"/>
        </w:rPr>
      </w:pPr>
      <w:r w:rsidRPr="00A94889">
        <w:rPr>
          <w:rFonts w:cs="Arial"/>
          <w:b/>
          <w:bCs/>
          <w:szCs w:val="20"/>
        </w:rPr>
        <w:lastRenderedPageBreak/>
        <w:t xml:space="preserve">Reaction Mix: </w:t>
      </w:r>
      <w:r>
        <w:rPr>
          <w:rFonts w:cs="Arial"/>
          <w:b/>
          <w:bCs/>
          <w:szCs w:val="20"/>
        </w:rPr>
        <w:t xml:space="preserve"> </w:t>
      </w:r>
      <w:r w:rsidRPr="007F19AA">
        <w:rPr>
          <w:rFonts w:cs="Arial"/>
          <w:bCs/>
          <w:szCs w:val="20"/>
        </w:rPr>
        <w:t>Mix sufficient reagent for the nu</w:t>
      </w:r>
      <w:r>
        <w:rPr>
          <w:rFonts w:cs="Arial"/>
          <w:bCs/>
          <w:szCs w:val="20"/>
        </w:rPr>
        <w:t xml:space="preserve">mber of assays to be performed. </w:t>
      </w:r>
      <w:r w:rsidRPr="007F19AA">
        <w:rPr>
          <w:rFonts w:cs="Arial"/>
          <w:bCs/>
          <w:szCs w:val="20"/>
        </w:rPr>
        <w:t xml:space="preserve">For each well, prepare a total 50 </w:t>
      </w:r>
      <w:proofErr w:type="spellStart"/>
      <w:r>
        <w:rPr>
          <w:rFonts w:cs="Arial"/>
          <w:bCs/>
          <w:szCs w:val="20"/>
        </w:rPr>
        <w:t>μl</w:t>
      </w:r>
      <w:proofErr w:type="spellEnd"/>
      <w:r w:rsidRPr="007F19AA">
        <w:rPr>
          <w:rFonts w:cs="Arial"/>
          <w:bCs/>
          <w:szCs w:val="20"/>
        </w:rPr>
        <w:t xml:space="preserve"> Reaction Mix containing the following components, mix well:</w:t>
      </w:r>
    </w:p>
    <w:p w14:paraId="2607FB92" w14:textId="1B082931" w:rsidR="00E3732D" w:rsidRPr="009D26F5" w:rsidRDefault="00CE0219" w:rsidP="00E3732D">
      <w:pPr>
        <w:pStyle w:val="ListParagraph"/>
        <w:autoSpaceDE w:val="0"/>
        <w:autoSpaceDN w:val="0"/>
        <w:adjustRightInd w:val="0"/>
        <w:ind w:left="720" w:firstLine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Assay Buffer II/</w:t>
      </w:r>
      <w:proofErr w:type="spellStart"/>
      <w:r w:rsidR="00E3732D" w:rsidRPr="009D26F5">
        <w:rPr>
          <w:rFonts w:cs="Arial"/>
          <w:bCs/>
          <w:szCs w:val="20"/>
        </w:rPr>
        <w:t>Formate</w:t>
      </w:r>
      <w:proofErr w:type="spellEnd"/>
      <w:r w:rsidR="00E3732D" w:rsidRPr="009D26F5">
        <w:rPr>
          <w:rFonts w:cs="Arial"/>
          <w:bCs/>
          <w:szCs w:val="20"/>
        </w:rPr>
        <w:t xml:space="preserve"> Assay Buffer</w:t>
      </w:r>
      <w:r>
        <w:rPr>
          <w:rFonts w:cs="Arial"/>
          <w:bCs/>
          <w:szCs w:val="20"/>
        </w:rPr>
        <w:t xml:space="preserve">   </w:t>
      </w:r>
      <w:r w:rsidR="00E3732D" w:rsidRPr="009D26F5">
        <w:rPr>
          <w:rFonts w:cs="Arial"/>
          <w:bCs/>
          <w:szCs w:val="20"/>
        </w:rPr>
        <w:t xml:space="preserve">46 </w:t>
      </w:r>
      <w:proofErr w:type="spellStart"/>
      <w:r w:rsidR="00E3732D" w:rsidRPr="009D26F5">
        <w:rPr>
          <w:rFonts w:cs="Arial"/>
          <w:bCs/>
          <w:szCs w:val="20"/>
        </w:rPr>
        <w:t>μl</w:t>
      </w:r>
      <w:proofErr w:type="spellEnd"/>
    </w:p>
    <w:p w14:paraId="1B4AD653" w14:textId="2B813213" w:rsidR="00E3732D" w:rsidRPr="009D26F5" w:rsidRDefault="00CE0219" w:rsidP="00E3732D">
      <w:pPr>
        <w:pStyle w:val="ListParagraph"/>
        <w:autoSpaceDE w:val="0"/>
        <w:autoSpaceDN w:val="0"/>
        <w:adjustRightInd w:val="0"/>
        <w:ind w:left="720" w:firstLine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Enzyme Mix IX/</w:t>
      </w:r>
      <w:r w:rsidR="00E3732D" w:rsidRPr="009D26F5">
        <w:rPr>
          <w:rFonts w:cs="Arial"/>
          <w:bCs/>
          <w:szCs w:val="20"/>
        </w:rPr>
        <w:t>Enzyme Mix</w:t>
      </w:r>
      <w:r w:rsidR="00E3732D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      </w:t>
      </w:r>
      <w:r w:rsidR="00E3732D" w:rsidRPr="009D26F5">
        <w:rPr>
          <w:rFonts w:cs="Arial"/>
          <w:bCs/>
          <w:szCs w:val="20"/>
        </w:rPr>
        <w:t xml:space="preserve">2 </w:t>
      </w:r>
      <w:proofErr w:type="spellStart"/>
      <w:r w:rsidR="00E3732D" w:rsidRPr="009D26F5">
        <w:rPr>
          <w:rFonts w:cs="Arial"/>
          <w:bCs/>
          <w:szCs w:val="20"/>
        </w:rPr>
        <w:t>μl</w:t>
      </w:r>
      <w:proofErr w:type="spellEnd"/>
      <w:r>
        <w:rPr>
          <w:rFonts w:cs="Arial"/>
          <w:bCs/>
          <w:szCs w:val="20"/>
        </w:rPr>
        <w:t xml:space="preserve"> </w:t>
      </w:r>
    </w:p>
    <w:p w14:paraId="210CF02B" w14:textId="166AD208" w:rsidR="00E3732D" w:rsidRDefault="00CE0219" w:rsidP="00E3732D">
      <w:pPr>
        <w:pStyle w:val="ListParagraph"/>
        <w:autoSpaceDE w:val="0"/>
        <w:autoSpaceDN w:val="0"/>
        <w:adjustRightInd w:val="0"/>
        <w:ind w:left="720" w:firstLine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Developer Solution III/</w:t>
      </w:r>
      <w:r w:rsidR="00E3732D" w:rsidRPr="009D26F5">
        <w:rPr>
          <w:rFonts w:cs="Arial"/>
          <w:bCs/>
          <w:szCs w:val="20"/>
        </w:rPr>
        <w:t>Substrate Mi</w:t>
      </w:r>
      <w:r>
        <w:rPr>
          <w:rFonts w:cs="Arial"/>
          <w:bCs/>
          <w:szCs w:val="20"/>
        </w:rPr>
        <w:t xml:space="preserve">x       </w:t>
      </w:r>
      <w:r w:rsidR="00E3732D" w:rsidRPr="009D26F5">
        <w:rPr>
          <w:rFonts w:cs="Arial"/>
          <w:bCs/>
          <w:szCs w:val="20"/>
        </w:rPr>
        <w:t xml:space="preserve">2 </w:t>
      </w:r>
      <w:proofErr w:type="spellStart"/>
      <w:r w:rsidR="00E3732D" w:rsidRPr="009D26F5">
        <w:rPr>
          <w:rFonts w:cs="Arial"/>
          <w:bCs/>
          <w:szCs w:val="20"/>
        </w:rPr>
        <w:t>μl</w:t>
      </w:r>
      <w:proofErr w:type="spellEnd"/>
    </w:p>
    <w:p w14:paraId="08665613" w14:textId="77777777" w:rsidR="00E3732D" w:rsidRPr="009D26F5" w:rsidRDefault="00E3732D" w:rsidP="00E3732D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7F19AA">
        <w:rPr>
          <w:rFonts w:cs="Arial"/>
          <w:bCs/>
          <w:szCs w:val="20"/>
        </w:rPr>
        <w:t xml:space="preserve">Add 50 </w:t>
      </w:r>
      <w:proofErr w:type="spellStart"/>
      <w:r w:rsidRPr="007F19AA">
        <w:rPr>
          <w:rFonts w:cs="Arial"/>
          <w:bCs/>
          <w:szCs w:val="20"/>
        </w:rPr>
        <w:t>μl</w:t>
      </w:r>
      <w:proofErr w:type="spellEnd"/>
      <w:r w:rsidRPr="007F19AA">
        <w:rPr>
          <w:rFonts w:cs="Arial"/>
          <w:bCs/>
          <w:szCs w:val="20"/>
        </w:rPr>
        <w:t xml:space="preserve"> of the Reaction Mix to each well containing the </w:t>
      </w:r>
      <w:proofErr w:type="spellStart"/>
      <w:r w:rsidRPr="007F19AA">
        <w:rPr>
          <w:rFonts w:cs="Arial"/>
          <w:bCs/>
          <w:szCs w:val="20"/>
        </w:rPr>
        <w:t>Formate</w:t>
      </w:r>
      <w:proofErr w:type="spellEnd"/>
      <w:r w:rsidRPr="007F19AA">
        <w:rPr>
          <w:rFonts w:cs="Arial"/>
          <w:bCs/>
          <w:szCs w:val="20"/>
        </w:rPr>
        <w:t xml:space="preserve"> Standard or test</w:t>
      </w:r>
      <w:r>
        <w:rPr>
          <w:rFonts w:cs="Arial"/>
          <w:bCs/>
          <w:szCs w:val="20"/>
        </w:rPr>
        <w:t xml:space="preserve"> </w:t>
      </w:r>
      <w:r w:rsidRPr="007F19AA">
        <w:rPr>
          <w:rFonts w:cs="Arial"/>
          <w:bCs/>
          <w:szCs w:val="20"/>
        </w:rPr>
        <w:t>samples, mix well.</w:t>
      </w:r>
      <w:r>
        <w:rPr>
          <w:rFonts w:cs="Arial"/>
          <w:bCs/>
          <w:szCs w:val="20"/>
        </w:rPr>
        <w:t xml:space="preserve"> </w:t>
      </w:r>
      <w:r w:rsidRPr="00742D80">
        <w:rPr>
          <w:rFonts w:cs="Arial"/>
          <w:bCs/>
          <w:szCs w:val="20"/>
        </w:rPr>
        <w:t>Incubate the reaction for 60 min at 37°C.</w:t>
      </w:r>
    </w:p>
    <w:p w14:paraId="5900D012" w14:textId="77777777" w:rsidR="00E3732D" w:rsidRPr="007F19AA" w:rsidRDefault="00E3732D" w:rsidP="00E3732D">
      <w:pPr>
        <w:autoSpaceDE w:val="0"/>
        <w:autoSpaceDN w:val="0"/>
        <w:adjustRightInd w:val="0"/>
        <w:rPr>
          <w:rFonts w:cs="Arial"/>
          <w:b/>
          <w:szCs w:val="20"/>
        </w:rPr>
      </w:pPr>
      <w:r w:rsidRPr="007F19AA">
        <w:rPr>
          <w:rFonts w:cs="Arial"/>
          <w:b/>
          <w:szCs w:val="20"/>
        </w:rPr>
        <w:t>Note:</w:t>
      </w:r>
    </w:p>
    <w:p w14:paraId="0F3B3316" w14:textId="64B3411E" w:rsidR="00E3732D" w:rsidRPr="00A94889" w:rsidRDefault="00E3732D" w:rsidP="00E3732D">
      <w:pPr>
        <w:autoSpaceDE w:val="0"/>
        <w:autoSpaceDN w:val="0"/>
        <w:adjustRightInd w:val="0"/>
        <w:spacing w:before="0"/>
        <w:rPr>
          <w:rFonts w:cs="Arial"/>
          <w:b/>
          <w:bCs/>
          <w:szCs w:val="20"/>
        </w:rPr>
      </w:pPr>
      <w:r w:rsidRPr="007F19AA">
        <w:rPr>
          <w:rFonts w:cs="Arial"/>
          <w:szCs w:val="20"/>
        </w:rPr>
        <w:t>NAD(P)H in samples may generate background readings. If significant amount of</w:t>
      </w:r>
      <w:r>
        <w:rPr>
          <w:rFonts w:cs="Arial"/>
          <w:szCs w:val="20"/>
        </w:rPr>
        <w:t xml:space="preserve"> </w:t>
      </w:r>
      <w:r w:rsidRPr="007F19AA">
        <w:rPr>
          <w:rFonts w:cs="Arial"/>
          <w:szCs w:val="20"/>
        </w:rPr>
        <w:t>NAD(P)H is present in your sample, a sample background control can be performed by</w:t>
      </w:r>
      <w:r>
        <w:rPr>
          <w:rFonts w:cs="Arial"/>
          <w:szCs w:val="20"/>
        </w:rPr>
        <w:t xml:space="preserve"> </w:t>
      </w:r>
      <w:r w:rsidRPr="007F19AA">
        <w:rPr>
          <w:rFonts w:cs="Arial"/>
          <w:szCs w:val="20"/>
        </w:rPr>
        <w:t xml:space="preserve">omitting </w:t>
      </w:r>
      <w:r w:rsidR="00CE0219">
        <w:rPr>
          <w:rFonts w:cs="Arial"/>
          <w:szCs w:val="20"/>
        </w:rPr>
        <w:t>Enzyme Mix IX/</w:t>
      </w:r>
      <w:r w:rsidRPr="007F19AA">
        <w:rPr>
          <w:rFonts w:cs="Arial"/>
          <w:szCs w:val="20"/>
        </w:rPr>
        <w:t>Enzyme Mix in the Reaction Mix, then the sample background reading can be</w:t>
      </w:r>
      <w:r>
        <w:rPr>
          <w:rFonts w:cs="Arial"/>
          <w:szCs w:val="20"/>
        </w:rPr>
        <w:t xml:space="preserve"> </w:t>
      </w:r>
      <w:r w:rsidRPr="007F19AA">
        <w:rPr>
          <w:rFonts w:cs="Arial"/>
          <w:szCs w:val="20"/>
        </w:rPr>
        <w:t>subtracted from the sample reading</w:t>
      </w:r>
      <w:r>
        <w:rPr>
          <w:rFonts w:cs="Arial"/>
          <w:szCs w:val="20"/>
        </w:rPr>
        <w:t>.</w:t>
      </w:r>
    </w:p>
    <w:p w14:paraId="6D237FB9" w14:textId="77777777" w:rsidR="00E3732D" w:rsidRDefault="00E3732D" w:rsidP="00E3732D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rFonts w:cs="Arial"/>
          <w:szCs w:val="20"/>
        </w:rPr>
      </w:pPr>
      <w:r w:rsidRPr="007F19AA">
        <w:rPr>
          <w:rFonts w:cs="Arial"/>
          <w:b/>
          <w:bCs/>
          <w:szCs w:val="20"/>
        </w:rPr>
        <w:t>Measurement</w:t>
      </w:r>
      <w:r>
        <w:rPr>
          <w:rFonts w:cs="Arial"/>
          <w:b/>
          <w:bCs/>
          <w:szCs w:val="20"/>
        </w:rPr>
        <w:t xml:space="preserve">: </w:t>
      </w:r>
      <w:r>
        <w:rPr>
          <w:rFonts w:cs="Arial"/>
          <w:bCs/>
          <w:szCs w:val="20"/>
        </w:rPr>
        <w:t>Measure OD</w:t>
      </w:r>
      <w:r w:rsidRPr="007F19AA">
        <w:rPr>
          <w:rFonts w:cs="Arial"/>
          <w:bCs/>
          <w:szCs w:val="20"/>
          <w:vertAlign w:val="subscript"/>
        </w:rPr>
        <w:t>450nm</w:t>
      </w:r>
      <w:r>
        <w:rPr>
          <w:rFonts w:cs="Arial"/>
          <w:bCs/>
          <w:szCs w:val="20"/>
        </w:rPr>
        <w:t xml:space="preserve"> in a microplate reader. The color is stable for at least 4 hours.</w:t>
      </w:r>
    </w:p>
    <w:p w14:paraId="05E7C6E9" w14:textId="77777777" w:rsidR="00E3732D" w:rsidRDefault="00E3732D" w:rsidP="00E3732D">
      <w:pPr>
        <w:pStyle w:val="Heading1"/>
        <w:spacing w:before="0"/>
        <w:ind w:left="502"/>
      </w:pPr>
      <w:bookmarkStart w:id="9" w:name="_Toc315440414"/>
      <w:r>
        <w:br w:type="page"/>
      </w:r>
      <w:r>
        <w:lastRenderedPageBreak/>
        <w:t>Data Analysis</w:t>
      </w:r>
      <w:bookmarkEnd w:id="9"/>
    </w:p>
    <w:p w14:paraId="27C67EEF" w14:textId="77777777" w:rsidR="00E3732D" w:rsidRDefault="00E3732D" w:rsidP="00E3732D">
      <w:pPr>
        <w:autoSpaceDE w:val="0"/>
        <w:autoSpaceDN w:val="0"/>
        <w:adjustRightInd w:val="0"/>
        <w:rPr>
          <w:rFonts w:cs="Arial"/>
          <w:szCs w:val="20"/>
        </w:rPr>
      </w:pPr>
      <w:r w:rsidRPr="007F19AA">
        <w:rPr>
          <w:rFonts w:cs="Arial"/>
          <w:szCs w:val="20"/>
        </w:rPr>
        <w:t xml:space="preserve">Correct background by subtracting the value derived from the </w:t>
      </w:r>
      <w:proofErr w:type="gramStart"/>
      <w:r>
        <w:rPr>
          <w:rFonts w:cs="Arial"/>
          <w:szCs w:val="20"/>
        </w:rPr>
        <w:t xml:space="preserve">zero </w:t>
      </w:r>
      <w:proofErr w:type="spellStart"/>
      <w:r w:rsidRPr="007F19AA">
        <w:rPr>
          <w:rFonts w:cs="Arial"/>
          <w:szCs w:val="20"/>
        </w:rPr>
        <w:t>for</w:t>
      </w:r>
      <w:r>
        <w:rPr>
          <w:rFonts w:cs="Arial"/>
          <w:szCs w:val="20"/>
        </w:rPr>
        <w:t>mate</w:t>
      </w:r>
      <w:proofErr w:type="spellEnd"/>
      <w:proofErr w:type="gramEnd"/>
      <w:r>
        <w:rPr>
          <w:rFonts w:cs="Arial"/>
          <w:szCs w:val="20"/>
        </w:rPr>
        <w:t xml:space="preserve"> standard from all readings. </w:t>
      </w:r>
      <w:r w:rsidRPr="007F19AA">
        <w:rPr>
          <w:rFonts w:cs="Arial"/>
          <w:szCs w:val="20"/>
        </w:rPr>
        <w:t>Background can be significant and must be</w:t>
      </w:r>
      <w:r>
        <w:rPr>
          <w:rFonts w:cs="Arial"/>
          <w:szCs w:val="20"/>
        </w:rPr>
        <w:t xml:space="preserve"> </w:t>
      </w:r>
      <w:r w:rsidRPr="007F19AA">
        <w:rPr>
          <w:rFonts w:cs="Arial"/>
          <w:szCs w:val="20"/>
        </w:rPr>
        <w:t>subtracted from a</w:t>
      </w:r>
      <w:r>
        <w:rPr>
          <w:rFonts w:cs="Arial"/>
          <w:szCs w:val="20"/>
        </w:rPr>
        <w:t>ll standard and sample readings</w:t>
      </w:r>
      <w:r w:rsidRPr="007F19AA">
        <w:rPr>
          <w:rFonts w:cs="Arial"/>
          <w:szCs w:val="20"/>
        </w:rPr>
        <w:t xml:space="preserve">. </w:t>
      </w:r>
    </w:p>
    <w:p w14:paraId="050069B3" w14:textId="77777777" w:rsidR="00E3732D" w:rsidRPr="007F19AA" w:rsidRDefault="00E3732D" w:rsidP="00E3732D">
      <w:pPr>
        <w:autoSpaceDE w:val="0"/>
        <w:autoSpaceDN w:val="0"/>
        <w:adjustRightInd w:val="0"/>
        <w:rPr>
          <w:rFonts w:cs="Arial"/>
          <w:szCs w:val="20"/>
        </w:rPr>
      </w:pPr>
      <w:r w:rsidRPr="007F19AA">
        <w:rPr>
          <w:rFonts w:cs="Arial"/>
          <w:szCs w:val="20"/>
        </w:rPr>
        <w:t>Plot a Standard Curve of</w:t>
      </w:r>
      <w:r>
        <w:rPr>
          <w:rFonts w:cs="Arial"/>
          <w:szCs w:val="20"/>
        </w:rPr>
        <w:t xml:space="preserve"> </w:t>
      </w:r>
      <w:r w:rsidRPr="007F19AA">
        <w:rPr>
          <w:rFonts w:cs="Arial"/>
          <w:szCs w:val="20"/>
        </w:rPr>
        <w:t>nmol/well vs. OD</w:t>
      </w:r>
      <w:r w:rsidRPr="007F19AA">
        <w:rPr>
          <w:rFonts w:cs="Arial"/>
          <w:szCs w:val="20"/>
          <w:vertAlign w:val="subscript"/>
        </w:rPr>
        <w:t>450nm</w:t>
      </w:r>
      <w:r w:rsidRPr="007F19AA">
        <w:rPr>
          <w:rFonts w:cs="Arial"/>
          <w:szCs w:val="20"/>
        </w:rPr>
        <w:t>. Apply the sample readings to the Standard Curve.</w:t>
      </w:r>
    </w:p>
    <w:p w14:paraId="7BE3A774" w14:textId="77777777" w:rsidR="00E3732D" w:rsidRPr="003704DB" w:rsidRDefault="00E3732D" w:rsidP="00E3732D">
      <w:pPr>
        <w:autoSpaceDE w:val="0"/>
        <w:autoSpaceDN w:val="0"/>
        <w:adjustRightInd w:val="0"/>
        <w:rPr>
          <w:rFonts w:cs="Arial"/>
          <w:szCs w:val="20"/>
        </w:rPr>
      </w:pPr>
      <w:r w:rsidRPr="007F19AA">
        <w:rPr>
          <w:rFonts w:cs="Arial"/>
          <w:szCs w:val="20"/>
        </w:rPr>
        <w:t xml:space="preserve">Calculate the </w:t>
      </w:r>
      <w:proofErr w:type="spellStart"/>
      <w:r w:rsidRPr="007F19AA">
        <w:rPr>
          <w:rFonts w:cs="Arial"/>
          <w:szCs w:val="20"/>
        </w:rPr>
        <w:t>formate</w:t>
      </w:r>
      <w:proofErr w:type="spellEnd"/>
      <w:r w:rsidRPr="007F19AA">
        <w:rPr>
          <w:rFonts w:cs="Arial"/>
          <w:szCs w:val="20"/>
        </w:rPr>
        <w:t xml:space="preserve"> concentrations of the test samples:</w:t>
      </w:r>
    </w:p>
    <w:p w14:paraId="679C0C84" w14:textId="77777777" w:rsidR="00E3732D" w:rsidRPr="00576D1F" w:rsidRDefault="00E3732D" w:rsidP="00E3732D">
      <w:pPr>
        <w:autoSpaceDE w:val="0"/>
        <w:autoSpaceDN w:val="0"/>
        <w:adjustRightInd w:val="0"/>
        <w:spacing w:before="120"/>
        <w:jc w:val="center"/>
        <w:rPr>
          <w:rFonts w:cs="Arial"/>
          <w:b/>
          <w:szCs w:val="20"/>
        </w:rPr>
      </w:pPr>
      <w:r w:rsidRPr="00845EC7">
        <w:rPr>
          <w:rFonts w:cs="Arial"/>
          <w:b/>
          <w:szCs w:val="20"/>
        </w:rPr>
        <w:t>C</w:t>
      </w:r>
      <w:r>
        <w:rPr>
          <w:rFonts w:cs="Arial"/>
          <w:b/>
          <w:szCs w:val="20"/>
        </w:rPr>
        <w:t>oncentration</w:t>
      </w:r>
      <w:r w:rsidRPr="00845EC7">
        <w:rPr>
          <w:rFonts w:cs="Arial"/>
          <w:b/>
          <w:szCs w:val="20"/>
        </w:rPr>
        <w:t xml:space="preserve"> = </w:t>
      </w:r>
      <w:r>
        <w:rPr>
          <w:rFonts w:cs="Arial"/>
          <w:b/>
          <w:szCs w:val="20"/>
        </w:rPr>
        <w:t xml:space="preserve">La </w:t>
      </w:r>
      <w:r w:rsidRPr="00836810">
        <w:rPr>
          <w:rFonts w:cs="Arial"/>
          <w:b/>
          <w:szCs w:val="20"/>
        </w:rPr>
        <w:t>/</w:t>
      </w:r>
      <w:r>
        <w:rPr>
          <w:rFonts w:cs="Arial"/>
          <w:b/>
          <w:szCs w:val="20"/>
        </w:rPr>
        <w:t xml:space="preserve"> </w:t>
      </w:r>
      <w:proofErr w:type="spellStart"/>
      <w:r w:rsidRPr="00836810">
        <w:rPr>
          <w:rFonts w:cs="Arial"/>
          <w:b/>
          <w:szCs w:val="20"/>
        </w:rPr>
        <w:t>Sv</w:t>
      </w:r>
      <w:proofErr w:type="spellEnd"/>
      <w:r w:rsidRPr="00845EC7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(</w:t>
      </w:r>
      <w:r w:rsidRPr="00845EC7">
        <w:rPr>
          <w:rFonts w:cs="Arial"/>
          <w:b/>
          <w:szCs w:val="20"/>
        </w:rPr>
        <w:t>nmol/</w:t>
      </w:r>
      <w:proofErr w:type="spellStart"/>
      <w:r w:rsidRPr="00845EC7">
        <w:rPr>
          <w:rFonts w:cs="Arial"/>
          <w:b/>
          <w:szCs w:val="20"/>
        </w:rPr>
        <w:t>μl</w:t>
      </w:r>
      <w:proofErr w:type="spellEnd"/>
      <w:r w:rsidRPr="00845EC7">
        <w:rPr>
          <w:rFonts w:cs="Arial"/>
          <w:b/>
          <w:szCs w:val="20"/>
        </w:rPr>
        <w:t xml:space="preserve">, </w:t>
      </w:r>
      <w:r w:rsidRPr="009D44BE">
        <w:rPr>
          <w:rFonts w:cs="Arial"/>
          <w:b/>
          <w:szCs w:val="20"/>
        </w:rPr>
        <w:t xml:space="preserve">or </w:t>
      </w:r>
      <w:proofErr w:type="spellStart"/>
      <w:r w:rsidRPr="009D44BE">
        <w:rPr>
          <w:rFonts w:cs="Arial"/>
          <w:b/>
          <w:szCs w:val="20"/>
        </w:rPr>
        <w:t>μmol</w:t>
      </w:r>
      <w:proofErr w:type="spellEnd"/>
      <w:r w:rsidRPr="009D44BE">
        <w:rPr>
          <w:rFonts w:cs="Arial"/>
          <w:b/>
          <w:szCs w:val="20"/>
        </w:rPr>
        <w:t>/ml, or mM)</w:t>
      </w:r>
    </w:p>
    <w:p w14:paraId="68991C10" w14:textId="77777777" w:rsidR="00E3732D" w:rsidRDefault="00E3732D" w:rsidP="00E3732D">
      <w:pPr>
        <w:autoSpaceDE w:val="0"/>
        <w:autoSpaceDN w:val="0"/>
        <w:adjustRightInd w:val="0"/>
        <w:spacing w:before="0"/>
        <w:rPr>
          <w:rFonts w:cs="Arial"/>
          <w:szCs w:val="20"/>
        </w:rPr>
      </w:pPr>
      <w:r w:rsidRPr="00576D1F">
        <w:rPr>
          <w:rFonts w:cs="Arial"/>
          <w:szCs w:val="20"/>
        </w:rPr>
        <w:t xml:space="preserve">Where: </w:t>
      </w:r>
    </w:p>
    <w:p w14:paraId="54D6722B" w14:textId="77777777" w:rsidR="00E3732D" w:rsidRPr="009D44BE" w:rsidRDefault="00E3732D" w:rsidP="00E3732D">
      <w:pPr>
        <w:autoSpaceDE w:val="0"/>
        <w:autoSpaceDN w:val="0"/>
        <w:adjustRightInd w:val="0"/>
        <w:spacing w:before="0"/>
        <w:rPr>
          <w:rFonts w:cs="Arial"/>
          <w:b/>
          <w:szCs w:val="20"/>
        </w:rPr>
      </w:pPr>
      <w:r>
        <w:rPr>
          <w:rFonts w:cs="Arial"/>
          <w:b/>
          <w:szCs w:val="20"/>
        </w:rPr>
        <w:t>La</w:t>
      </w:r>
      <w:r w:rsidRPr="009D44BE">
        <w:rPr>
          <w:rFonts w:cs="Arial"/>
          <w:b/>
          <w:szCs w:val="20"/>
        </w:rPr>
        <w:t xml:space="preserve"> </w:t>
      </w:r>
      <w:r w:rsidRPr="009D44BE">
        <w:rPr>
          <w:rFonts w:cs="Arial"/>
          <w:szCs w:val="20"/>
        </w:rPr>
        <w:t xml:space="preserve">is the amount of </w:t>
      </w:r>
      <w:proofErr w:type="spellStart"/>
      <w:r>
        <w:rPr>
          <w:rFonts w:cs="Arial"/>
          <w:szCs w:val="20"/>
        </w:rPr>
        <w:t>Formate</w:t>
      </w:r>
      <w:proofErr w:type="spellEnd"/>
      <w:r w:rsidRPr="009D44BE">
        <w:rPr>
          <w:rFonts w:cs="Arial"/>
          <w:szCs w:val="20"/>
        </w:rPr>
        <w:t xml:space="preserve"> (nmol) </w:t>
      </w:r>
      <w:r>
        <w:rPr>
          <w:rFonts w:cs="Arial"/>
          <w:szCs w:val="20"/>
        </w:rPr>
        <w:t>of your sample</w:t>
      </w:r>
      <w:r w:rsidRPr="009D44BE">
        <w:rPr>
          <w:rFonts w:cs="Arial"/>
          <w:szCs w:val="20"/>
        </w:rPr>
        <w:t xml:space="preserve"> from the standard curve.</w:t>
      </w:r>
    </w:p>
    <w:p w14:paraId="41E6CC17" w14:textId="77777777" w:rsidR="00E3732D" w:rsidRPr="009D44BE" w:rsidRDefault="00E3732D" w:rsidP="00E3732D">
      <w:pPr>
        <w:autoSpaceDE w:val="0"/>
        <w:autoSpaceDN w:val="0"/>
        <w:adjustRightInd w:val="0"/>
        <w:rPr>
          <w:rFonts w:cs="Arial"/>
          <w:b/>
          <w:szCs w:val="20"/>
        </w:rPr>
      </w:pPr>
      <w:proofErr w:type="spellStart"/>
      <w:r w:rsidRPr="009D44BE">
        <w:rPr>
          <w:rFonts w:cs="Arial"/>
          <w:b/>
          <w:szCs w:val="20"/>
        </w:rPr>
        <w:t>Sv</w:t>
      </w:r>
      <w:proofErr w:type="spellEnd"/>
      <w:r w:rsidRPr="009D44BE">
        <w:rPr>
          <w:rFonts w:cs="Arial"/>
          <w:b/>
          <w:szCs w:val="20"/>
        </w:rPr>
        <w:t xml:space="preserve"> </w:t>
      </w:r>
      <w:r w:rsidRPr="009D44BE">
        <w:rPr>
          <w:rFonts w:cs="Arial"/>
          <w:szCs w:val="20"/>
        </w:rPr>
        <w:t>is the sample volume (</w:t>
      </w:r>
      <w:proofErr w:type="spellStart"/>
      <w:r w:rsidRPr="009D44BE">
        <w:rPr>
          <w:rFonts w:cs="Arial"/>
          <w:szCs w:val="20"/>
        </w:rPr>
        <w:t>μl</w:t>
      </w:r>
      <w:proofErr w:type="spellEnd"/>
      <w:r w:rsidRPr="009D44BE">
        <w:rPr>
          <w:rFonts w:cs="Arial"/>
          <w:szCs w:val="20"/>
        </w:rPr>
        <w:t xml:space="preserve">) added to the </w:t>
      </w:r>
      <w:r>
        <w:rPr>
          <w:rFonts w:cs="Arial"/>
          <w:szCs w:val="20"/>
        </w:rPr>
        <w:t>reaction</w:t>
      </w:r>
      <w:r w:rsidRPr="009D44BE">
        <w:rPr>
          <w:rFonts w:cs="Arial"/>
          <w:szCs w:val="20"/>
        </w:rPr>
        <w:t xml:space="preserve"> well.</w:t>
      </w:r>
    </w:p>
    <w:p w14:paraId="4E305A7B" w14:textId="77777777" w:rsidR="00E3732D" w:rsidRDefault="00E3732D" w:rsidP="00E3732D">
      <w:pPr>
        <w:autoSpaceDE w:val="0"/>
        <w:autoSpaceDN w:val="0"/>
        <w:adjustRightInd w:val="0"/>
        <w:rPr>
          <w:rFonts w:cs="Arial"/>
          <w:szCs w:val="20"/>
        </w:rPr>
      </w:pPr>
      <w:proofErr w:type="spellStart"/>
      <w:r>
        <w:rPr>
          <w:rFonts w:cs="Arial"/>
          <w:b/>
          <w:szCs w:val="20"/>
        </w:rPr>
        <w:t>Formate</w:t>
      </w:r>
      <w:proofErr w:type="spellEnd"/>
      <w:r w:rsidRPr="009D44BE">
        <w:rPr>
          <w:rFonts w:cs="Arial"/>
          <w:b/>
          <w:szCs w:val="20"/>
        </w:rPr>
        <w:t xml:space="preserve"> molecular weight: </w:t>
      </w:r>
      <w:r>
        <w:rPr>
          <w:rFonts w:cs="Arial"/>
          <w:szCs w:val="20"/>
        </w:rPr>
        <w:t>46.02</w:t>
      </w:r>
      <w:r w:rsidRPr="009D44BE">
        <w:rPr>
          <w:rFonts w:cs="Arial"/>
          <w:szCs w:val="20"/>
        </w:rPr>
        <w:t xml:space="preserve"> g/mol.</w:t>
      </w:r>
    </w:p>
    <w:p w14:paraId="300C0F81" w14:textId="77777777" w:rsidR="00E3732D" w:rsidRDefault="00E3732D" w:rsidP="00E3732D">
      <w:pPr>
        <w:autoSpaceDE w:val="0"/>
        <w:autoSpaceDN w:val="0"/>
        <w:adjustRightInd w:val="0"/>
        <w:rPr>
          <w:rFonts w:cs="Arial"/>
          <w:szCs w:val="20"/>
        </w:rPr>
      </w:pPr>
    </w:p>
    <w:p w14:paraId="59BB9424" w14:textId="77777777" w:rsidR="00E3732D" w:rsidRDefault="00E3732D" w:rsidP="00E3732D">
      <w:pPr>
        <w:autoSpaceDE w:val="0"/>
        <w:autoSpaceDN w:val="0"/>
        <w:adjustRightInd w:val="0"/>
        <w:rPr>
          <w:rFonts w:cs="Arial"/>
          <w:szCs w:val="20"/>
        </w:rPr>
      </w:pPr>
    </w:p>
    <w:p w14:paraId="0C2EFF79" w14:textId="77777777" w:rsidR="00E3732D" w:rsidRDefault="00E3732D" w:rsidP="00E3732D">
      <w:pPr>
        <w:autoSpaceDE w:val="0"/>
        <w:autoSpaceDN w:val="0"/>
        <w:adjustRightInd w:val="0"/>
        <w:rPr>
          <w:rFonts w:cs="Arial"/>
          <w:szCs w:val="20"/>
        </w:rPr>
      </w:pPr>
    </w:p>
    <w:p w14:paraId="020B88FF" w14:textId="77777777" w:rsidR="00E3732D" w:rsidRDefault="00E3732D" w:rsidP="00E3732D">
      <w:pPr>
        <w:autoSpaceDE w:val="0"/>
        <w:autoSpaceDN w:val="0"/>
        <w:adjustRightInd w:val="0"/>
        <w:rPr>
          <w:rFonts w:cs="Arial"/>
          <w:szCs w:val="20"/>
        </w:rPr>
      </w:pPr>
    </w:p>
    <w:p w14:paraId="0F934F6B" w14:textId="77777777" w:rsidR="00E3732D" w:rsidRDefault="00E3732D" w:rsidP="00E3732D">
      <w:pPr>
        <w:autoSpaceDE w:val="0"/>
        <w:autoSpaceDN w:val="0"/>
        <w:adjustRightInd w:val="0"/>
        <w:rPr>
          <w:rFonts w:cs="Arial"/>
          <w:szCs w:val="20"/>
        </w:rPr>
      </w:pPr>
    </w:p>
    <w:p w14:paraId="215A78DE" w14:textId="77777777" w:rsidR="00E3732D" w:rsidRDefault="00E3732D" w:rsidP="00E3732D">
      <w:pPr>
        <w:autoSpaceDE w:val="0"/>
        <w:autoSpaceDN w:val="0"/>
        <w:adjustRightInd w:val="0"/>
        <w:rPr>
          <w:rFonts w:cs="Arial"/>
          <w:szCs w:val="20"/>
        </w:rPr>
      </w:pPr>
    </w:p>
    <w:p w14:paraId="26DBA196" w14:textId="77777777" w:rsidR="00E3732D" w:rsidRDefault="00E3732D" w:rsidP="00E3732D">
      <w:pPr>
        <w:autoSpaceDE w:val="0"/>
        <w:autoSpaceDN w:val="0"/>
        <w:adjustRightInd w:val="0"/>
        <w:rPr>
          <w:rFonts w:cs="Arial"/>
          <w:szCs w:val="20"/>
        </w:rPr>
      </w:pPr>
    </w:p>
    <w:p w14:paraId="52D2AF2A" w14:textId="77777777" w:rsidR="00E3732D" w:rsidRDefault="00E3732D" w:rsidP="00E3732D">
      <w:pPr>
        <w:autoSpaceDE w:val="0"/>
        <w:autoSpaceDN w:val="0"/>
        <w:adjustRightInd w:val="0"/>
        <w:rPr>
          <w:rFonts w:cs="Arial"/>
          <w:szCs w:val="20"/>
        </w:rPr>
      </w:pPr>
    </w:p>
    <w:p w14:paraId="7796B685" w14:textId="77777777" w:rsidR="00E3732D" w:rsidRDefault="00E3732D" w:rsidP="00E3732D">
      <w:pPr>
        <w:autoSpaceDE w:val="0"/>
        <w:autoSpaceDN w:val="0"/>
        <w:adjustRightInd w:val="0"/>
        <w:spacing w:before="0" w:line="240" w:lineRule="auto"/>
        <w:jc w:val="center"/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325215A0" wp14:editId="12147604">
            <wp:extent cx="3874135" cy="2625090"/>
            <wp:effectExtent l="19050" t="0" r="0" b="0"/>
            <wp:docPr id="1" name="Picture 1" descr="C:\Documents and Settings\jdurkin\My Documents\My Pictures\BIO\160212\fo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durkin\My Documents\My Pictures\BIO\160212\for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35" cy="262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E50B78" w14:textId="77777777" w:rsidR="00E3732D" w:rsidRDefault="00E3732D" w:rsidP="00E3732D">
      <w:pPr>
        <w:autoSpaceDE w:val="0"/>
        <w:autoSpaceDN w:val="0"/>
        <w:adjustRightInd w:val="0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Formate</w:t>
      </w:r>
      <w:proofErr w:type="spellEnd"/>
      <w:r w:rsidRPr="009D44BE">
        <w:rPr>
          <w:rFonts w:cs="Arial"/>
          <w:szCs w:val="20"/>
        </w:rPr>
        <w:t xml:space="preserve"> Standard Curve: </w:t>
      </w:r>
      <w:r>
        <w:rPr>
          <w:rFonts w:cs="Arial"/>
          <w:szCs w:val="20"/>
        </w:rPr>
        <w:t>P</w:t>
      </w:r>
      <w:r w:rsidRPr="009D44BE">
        <w:rPr>
          <w:rFonts w:cs="Arial"/>
          <w:szCs w:val="20"/>
        </w:rPr>
        <w:t>erformed following the kit protocol.</w:t>
      </w:r>
      <w:bookmarkStart w:id="10" w:name="_Toc315440415"/>
    </w:p>
    <w:p w14:paraId="4CF5DDE0" w14:textId="77777777" w:rsidR="00E3732D" w:rsidRDefault="00E3732D">
      <w:pPr>
        <w:spacing w:before="0" w:line="240" w:lineRule="auto"/>
        <w:jc w:val="left"/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0F4DA7C7" w14:textId="77777777" w:rsidR="00E3732D" w:rsidRDefault="00E3732D" w:rsidP="00E3732D">
      <w:pPr>
        <w:pStyle w:val="Heading1"/>
        <w:spacing w:before="0"/>
        <w:ind w:left="502"/>
      </w:pPr>
      <w:r>
        <w:lastRenderedPageBreak/>
        <w:t>Troubleshooting</w:t>
      </w:r>
      <w:bookmarkEnd w:id="7"/>
      <w:bookmarkEnd w:id="8"/>
      <w:bookmarkEnd w:id="10"/>
    </w:p>
    <w:tbl>
      <w:tblPr>
        <w:tblW w:w="654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97"/>
        <w:gridCol w:w="2126"/>
        <w:gridCol w:w="3119"/>
      </w:tblGrid>
      <w:tr w:rsidR="00E3732D" w:rsidRPr="00F27755" w14:paraId="605AE958" w14:textId="77777777" w:rsidTr="00634F22">
        <w:trPr>
          <w:trHeight w:val="30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491F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t>Problem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FD35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t>Reason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B704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t xml:space="preserve"> Solution</w:t>
            </w:r>
          </w:p>
        </w:tc>
      </w:tr>
      <w:tr w:rsidR="00E3732D" w:rsidRPr="00F27755" w14:paraId="21D980BA" w14:textId="77777777" w:rsidTr="00634F22">
        <w:trPr>
          <w:trHeight w:val="525"/>
        </w:trPr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6CD75" w14:textId="77777777" w:rsidR="00E3732D" w:rsidRPr="00AF7CBE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AF7CBE">
              <w:rPr>
                <w:rFonts w:eastAsia="Times New Roman" w:cs="Arial"/>
                <w:color w:val="000000"/>
                <w:szCs w:val="20"/>
                <w:lang w:val="en-GB" w:eastAsia="en-GB"/>
              </w:rPr>
              <w:t>Assay not working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B7F9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Assay buffer at wrong temp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erature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CDAE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Assay buffer must not be chilled - needs to be at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RT</w:t>
            </w:r>
          </w:p>
        </w:tc>
      </w:tr>
      <w:tr w:rsidR="00E3732D" w:rsidRPr="00F27755" w14:paraId="72AB59AC" w14:textId="77777777" w:rsidTr="00634F22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245B" w14:textId="77777777" w:rsidR="00E3732D" w:rsidRPr="00AF7CBE" w:rsidRDefault="00E3732D" w:rsidP="00634F2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8729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Protocol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step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missed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EA0A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Re-read and follow the protocol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exactly</w:t>
            </w:r>
          </w:p>
        </w:tc>
      </w:tr>
      <w:tr w:rsidR="00E3732D" w:rsidRPr="00F27755" w14:paraId="71204E68" w14:textId="77777777" w:rsidTr="00634F22"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C05BC" w14:textId="77777777" w:rsidR="00E3732D" w:rsidRPr="00AF7CBE" w:rsidRDefault="00E3732D" w:rsidP="00634F2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C6A7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Plate read at incorrect wavelength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C7D7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Ensure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you are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using appropriate reader and filter settings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(refer to datasheet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)</w:t>
            </w:r>
          </w:p>
        </w:tc>
      </w:tr>
      <w:tr w:rsidR="00E3732D" w:rsidRPr="00F27755" w14:paraId="4285388E" w14:textId="77777777" w:rsidTr="00634F22">
        <w:trPr>
          <w:trHeight w:val="1035"/>
        </w:trPr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CDAAC" w14:textId="77777777" w:rsidR="00E3732D" w:rsidRPr="00AF7CBE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F219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U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nsuitable microtiter plate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for assay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5511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Fluorescence: Black plates (clear bottoms)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;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br/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Luminescence: White plates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;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br/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Colorimetry: Clear plates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.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br/>
              <w:t>If critical, datasheet will indicate whether to use flat- or U-shaped wells</w:t>
            </w:r>
          </w:p>
        </w:tc>
      </w:tr>
      <w:tr w:rsidR="00E3732D" w:rsidRPr="00F27755" w14:paraId="51F386BF" w14:textId="77777777" w:rsidTr="00634F22">
        <w:trPr>
          <w:trHeight w:val="525"/>
        </w:trPr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6F17" w14:textId="77777777" w:rsidR="00E3732D" w:rsidRPr="00AF7CBE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AF7CBE">
              <w:rPr>
                <w:rFonts w:eastAsia="Times New Roman" w:cs="Arial"/>
                <w:color w:val="000000"/>
                <w:szCs w:val="20"/>
                <w:lang w:val="en-GB" w:eastAsia="en-GB"/>
              </w:rPr>
              <w:t>Unexpected results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6E1D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Measured at wrong wavelength 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478A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Use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appropriate reader and filter settings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described in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datasheet</w:t>
            </w:r>
          </w:p>
        </w:tc>
      </w:tr>
      <w:tr w:rsidR="00E3732D" w:rsidRPr="00F27755" w14:paraId="0CBB2F5E" w14:textId="77777777" w:rsidTr="00634F22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32EB" w14:textId="77777777" w:rsidR="00E3732D" w:rsidRPr="00AF7CBE" w:rsidRDefault="00E3732D" w:rsidP="00634F2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1991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Samples contain impeding substances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B25B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Troubleshoot </w:t>
            </w:r>
            <w:proofErr w:type="gramStart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and also</w:t>
            </w:r>
            <w:proofErr w:type="gramEnd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consider deproteinizing samples</w:t>
            </w:r>
          </w:p>
        </w:tc>
      </w:tr>
      <w:tr w:rsidR="00E3732D" w:rsidRPr="00F27755" w14:paraId="1E84AB2C" w14:textId="77777777" w:rsidTr="00634F22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E89E" w14:textId="77777777" w:rsidR="00E3732D" w:rsidRPr="002003DC" w:rsidRDefault="00E3732D" w:rsidP="00634F2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A31B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U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nsuitable sample type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1502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Use r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ecommended </w:t>
            </w:r>
            <w:proofErr w:type="gramStart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samples</w:t>
            </w:r>
            <w:proofErr w:type="gramEnd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types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as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listed on the datasheet</w:t>
            </w:r>
          </w:p>
        </w:tc>
      </w:tr>
      <w:tr w:rsidR="00E3732D" w:rsidRPr="00F27755" w14:paraId="7987BA39" w14:textId="77777777" w:rsidTr="00634F22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685C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8629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 readings are outside linear range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AC96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Co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ncentrate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/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dilute samples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to be in linear range</w:t>
            </w:r>
          </w:p>
        </w:tc>
      </w:tr>
    </w:tbl>
    <w:p w14:paraId="670024B3" w14:textId="77777777" w:rsidR="00E3732D" w:rsidRDefault="00E3732D" w:rsidP="00E3732D"/>
    <w:p w14:paraId="0B8CDAF2" w14:textId="77777777" w:rsidR="00E3732D" w:rsidRDefault="00E3732D" w:rsidP="00E3732D"/>
    <w:p w14:paraId="35B82951" w14:textId="77777777" w:rsidR="00E3732D" w:rsidRDefault="00E3732D" w:rsidP="00E3732D"/>
    <w:tbl>
      <w:tblPr>
        <w:tblW w:w="6542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297"/>
        <w:gridCol w:w="2126"/>
        <w:gridCol w:w="3119"/>
      </w:tblGrid>
      <w:tr w:rsidR="00E3732D" w:rsidRPr="00F27755" w14:paraId="4C347DF8" w14:textId="77777777" w:rsidTr="00634F22">
        <w:trPr>
          <w:trHeight w:val="525"/>
        </w:trPr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D320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lastRenderedPageBreak/>
              <w:t>Samples with inconsistent readings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767F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U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nsuitable sample type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DA5B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Refer to datasheet for details about incompatible samples</w:t>
            </w:r>
          </w:p>
        </w:tc>
      </w:tr>
      <w:tr w:rsidR="00E3732D" w:rsidRPr="00F27755" w14:paraId="01304685" w14:textId="77777777" w:rsidTr="00634F22"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73AE" w14:textId="77777777" w:rsidR="00E3732D" w:rsidRPr="002003DC" w:rsidRDefault="00E3732D" w:rsidP="00634F2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92DB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Samples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prepared in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the wrong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buffer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C1B1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Use the ass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ay buffer provided (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or refer to datasheet for instructions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)</w:t>
            </w:r>
          </w:p>
        </w:tc>
      </w:tr>
      <w:tr w:rsidR="00E3732D" w:rsidRPr="00F27755" w14:paraId="079178C9" w14:textId="77777777" w:rsidTr="00634F22"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1E08" w14:textId="77777777" w:rsidR="00E3732D" w:rsidRPr="002003DC" w:rsidRDefault="00E3732D" w:rsidP="00634F2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EED8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Samples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not deproteinized (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if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indicated on datasheet)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A847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Use the </w:t>
            </w:r>
            <w:r w:rsidRPr="002056E4">
              <w:rPr>
                <w:rFonts w:eastAsia="Times New Roman" w:cs="Arial"/>
                <w:b/>
                <w:bCs/>
                <w:i/>
                <w:color w:val="000000"/>
                <w:szCs w:val="20"/>
                <w:lang w:val="en-GB" w:eastAsia="en-GB"/>
              </w:rPr>
              <w:t>10kDa spin column (ab93349)</w:t>
            </w:r>
          </w:p>
        </w:tc>
      </w:tr>
      <w:tr w:rsidR="00E3732D" w:rsidRPr="00F27755" w14:paraId="1F67BE1C" w14:textId="77777777" w:rsidTr="00634F22"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6FB3" w14:textId="77777777" w:rsidR="00E3732D" w:rsidRPr="002003DC" w:rsidRDefault="00E3732D" w:rsidP="00634F2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22D2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Cell/ tissue samples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not sufficiently homogenized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AD06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Increase sonication time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/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number of strokes with the Dounce homogenizer</w:t>
            </w:r>
          </w:p>
        </w:tc>
      </w:tr>
      <w:tr w:rsidR="00E3732D" w:rsidRPr="00F27755" w14:paraId="65324EE9" w14:textId="77777777" w:rsidTr="00634F22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069F" w14:textId="77777777" w:rsidR="00E3732D" w:rsidRPr="002003DC" w:rsidRDefault="00E3732D" w:rsidP="00634F2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E26B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Too many freeze-thaw cycles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08D8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Aliquot samples to reduce the number of freeze-thaw cycles</w:t>
            </w:r>
          </w:p>
        </w:tc>
      </w:tr>
      <w:tr w:rsidR="00E3732D" w:rsidRPr="00F27755" w14:paraId="20B80FEA" w14:textId="77777777" w:rsidTr="00634F22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3801" w14:textId="77777777" w:rsidR="00E3732D" w:rsidRPr="002003DC" w:rsidRDefault="00E3732D" w:rsidP="00634F2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65C3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Samples contain impeding substances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DD28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Troubleshoot </w:t>
            </w:r>
            <w:proofErr w:type="gramStart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and also</w:t>
            </w:r>
            <w:proofErr w:type="gramEnd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consider deproteinizing samples</w:t>
            </w:r>
          </w:p>
        </w:tc>
      </w:tr>
      <w:tr w:rsidR="00E3732D" w:rsidRPr="00F27755" w14:paraId="2710C148" w14:textId="77777777" w:rsidTr="00634F22"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4951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82F0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Samples are too old or incorrectly stored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1B36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Use freshly made samples and store at recommended temperature until use</w:t>
            </w:r>
          </w:p>
        </w:tc>
      </w:tr>
      <w:tr w:rsidR="00E3732D" w:rsidRPr="00F27755" w14:paraId="4C79C25A" w14:textId="77777777" w:rsidTr="00634F22">
        <w:trPr>
          <w:trHeight w:val="525"/>
        </w:trPr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B8C1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Lower/ Higher readings in samples and standards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9688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Not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fully thawed kit components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D81D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Wait for components to thaw completely and gently mix prior use</w:t>
            </w:r>
          </w:p>
        </w:tc>
      </w:tr>
      <w:tr w:rsidR="00E3732D" w:rsidRPr="00F27755" w14:paraId="4B944D18" w14:textId="77777777" w:rsidTr="00634F22"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1CD3C" w14:textId="77777777" w:rsidR="00E3732D" w:rsidRPr="002003DC" w:rsidRDefault="00E3732D" w:rsidP="00634F2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6F23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O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ut-of-date kit or incorrectly stored reagents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3A66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Always check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expiry date and store kit components as recommended on the datasheet</w:t>
            </w:r>
          </w:p>
        </w:tc>
      </w:tr>
      <w:tr w:rsidR="00E3732D" w:rsidRPr="00F27755" w14:paraId="59AB5CD7" w14:textId="77777777" w:rsidTr="00634F22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7D18" w14:textId="77777777" w:rsidR="00E3732D" w:rsidRPr="002003DC" w:rsidRDefault="00E3732D" w:rsidP="00634F2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C05C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R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eagents sit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ting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for extended periods on ice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5D92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Try to prepare a fresh reaction mix prior to each use</w:t>
            </w:r>
          </w:p>
        </w:tc>
      </w:tr>
      <w:tr w:rsidR="00E3732D" w:rsidRPr="00F27755" w14:paraId="5EB43124" w14:textId="77777777" w:rsidTr="00634F22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583CB" w14:textId="77777777" w:rsidR="00E3732D" w:rsidRPr="002003DC" w:rsidRDefault="00E3732D" w:rsidP="00634F2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B480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Incorrect incubation time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/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temperature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5D5B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Refer to datasheet for recommended incubation time and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/ or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temperature</w:t>
            </w:r>
          </w:p>
        </w:tc>
      </w:tr>
      <w:tr w:rsidR="00E3732D" w:rsidRPr="00F27755" w14:paraId="0D57E043" w14:textId="77777777" w:rsidTr="00634F22">
        <w:trPr>
          <w:trHeight w:val="780"/>
        </w:trPr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E1E0D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A8C0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Incorrect amounts used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80ED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Check pipette is calibrated correctly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(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always use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s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mallest volu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me pipette that can pipette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entire volume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)</w:t>
            </w:r>
          </w:p>
        </w:tc>
      </w:tr>
    </w:tbl>
    <w:p w14:paraId="7F432DD9" w14:textId="77777777" w:rsidR="00E3732D" w:rsidRPr="00E3732D" w:rsidRDefault="00E3732D" w:rsidP="00E3732D">
      <w:pPr>
        <w:spacing w:before="0"/>
      </w:pPr>
    </w:p>
    <w:tbl>
      <w:tblPr>
        <w:tblW w:w="6542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297"/>
        <w:gridCol w:w="2126"/>
        <w:gridCol w:w="3119"/>
      </w:tblGrid>
      <w:tr w:rsidR="00E3732D" w:rsidRPr="00F27755" w14:paraId="4C32C64B" w14:textId="77777777" w:rsidTr="00634F22">
        <w:trPr>
          <w:trHeight w:val="296"/>
        </w:trPr>
        <w:tc>
          <w:tcPr>
            <w:tcW w:w="12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D0EC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lastRenderedPageBreak/>
              <w:t>Problem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C793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t>Reason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2413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t xml:space="preserve"> Solution</w:t>
            </w:r>
          </w:p>
        </w:tc>
      </w:tr>
      <w:tr w:rsidR="00E3732D" w:rsidRPr="00F27755" w14:paraId="22B9F59A" w14:textId="77777777" w:rsidTr="00634F22">
        <w:trPr>
          <w:trHeight w:val="525"/>
        </w:trPr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F978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Standard curve is not linear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62B6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Not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fully thawed kit components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AC19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Wait for components to thaw com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pletely and gently mix prior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use</w:t>
            </w:r>
          </w:p>
        </w:tc>
      </w:tr>
      <w:tr w:rsidR="00E3732D" w:rsidRPr="00F27755" w14:paraId="398AAF21" w14:textId="77777777" w:rsidTr="00634F22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E977" w14:textId="77777777" w:rsidR="00E3732D" w:rsidRPr="002003DC" w:rsidRDefault="00E3732D" w:rsidP="00634F2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4FE0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Pipetting errors when setting up the standard curve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0F74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Try not to pipette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too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small volumes</w:t>
            </w:r>
          </w:p>
        </w:tc>
      </w:tr>
      <w:tr w:rsidR="00E3732D" w:rsidRPr="00F27755" w14:paraId="5915D55A" w14:textId="77777777" w:rsidTr="00634F22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6499" w14:textId="77777777" w:rsidR="00E3732D" w:rsidRPr="002003DC" w:rsidRDefault="00E3732D" w:rsidP="00634F2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12BB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Incorrect pipetting when preparing the reaction mix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5EE8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Always prepare a master mix</w:t>
            </w:r>
          </w:p>
        </w:tc>
      </w:tr>
      <w:tr w:rsidR="00E3732D" w:rsidRPr="00F27755" w14:paraId="0CE363E1" w14:textId="77777777" w:rsidTr="00634F22">
        <w:trPr>
          <w:trHeight w:val="78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CD31" w14:textId="77777777" w:rsidR="00E3732D" w:rsidRPr="002003DC" w:rsidRDefault="00E3732D" w:rsidP="00634F2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8F11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Air bubbles in wells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56D8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Air bubbles will interfere with readings; try to avoid </w:t>
            </w:r>
            <w:proofErr w:type="gramStart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producing  air</w:t>
            </w:r>
            <w:proofErr w:type="gramEnd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bubbles and always remove bubbles prior to reading plates</w:t>
            </w:r>
          </w:p>
        </w:tc>
      </w:tr>
      <w:tr w:rsidR="00E3732D" w:rsidRPr="00F27755" w14:paraId="2572B96C" w14:textId="77777777" w:rsidTr="00634F22"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6630" w14:textId="77777777" w:rsidR="00E3732D" w:rsidRPr="002003DC" w:rsidRDefault="00E3732D" w:rsidP="00634F2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02CC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Concentration of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standard stock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incorrect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3143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Recheck datasheet for recommended concentrations of standard stocks</w:t>
            </w:r>
          </w:p>
        </w:tc>
      </w:tr>
      <w:tr w:rsidR="00E3732D" w:rsidRPr="00F27755" w14:paraId="3E1D01D8" w14:textId="77777777" w:rsidTr="00634F22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3528" w14:textId="77777777" w:rsidR="00E3732D" w:rsidRPr="002003DC" w:rsidRDefault="00E3732D" w:rsidP="00634F2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1FF6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Errors in standard curve calculations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17CE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Refer to datasheet and re-check the calculations</w:t>
            </w:r>
          </w:p>
        </w:tc>
      </w:tr>
      <w:tr w:rsidR="00E3732D" w:rsidRPr="00F27755" w14:paraId="63969FFC" w14:textId="77777777" w:rsidTr="00634F22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844C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46BB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e of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other reagents than those provided with the kit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35CD" w14:textId="77777777" w:rsidR="00E3732D" w:rsidRPr="002003DC" w:rsidRDefault="00E3732D" w:rsidP="00634F2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Use fresh components from the same kit</w:t>
            </w:r>
          </w:p>
        </w:tc>
      </w:tr>
    </w:tbl>
    <w:p w14:paraId="24846E53" w14:textId="77777777" w:rsidR="00E3732D" w:rsidRPr="00527A16" w:rsidRDefault="00E3732D" w:rsidP="00E3732D"/>
    <w:p w14:paraId="07892F96" w14:textId="77777777" w:rsidR="00E3732D" w:rsidRDefault="00E3732D" w:rsidP="00E3732D">
      <w:pPr>
        <w:spacing w:before="120" w:line="276" w:lineRule="auto"/>
        <w:rPr>
          <w:b/>
        </w:rPr>
      </w:pPr>
      <w:r>
        <w:rPr>
          <w:b/>
        </w:rPr>
        <w:t>For further technical questions p</w:t>
      </w:r>
      <w:r w:rsidRPr="00457A34">
        <w:rPr>
          <w:b/>
        </w:rPr>
        <w:t>lease do not hesitate to contact us by email (</w:t>
      </w:r>
      <w:hyperlink r:id="rId12" w:history="1">
        <w:r w:rsidRPr="00457A34">
          <w:rPr>
            <w:rStyle w:val="Hyperlink"/>
            <w:b/>
          </w:rPr>
          <w:t>technical@abcam.com</w:t>
        </w:r>
      </w:hyperlink>
      <w:r w:rsidRPr="00457A34">
        <w:rPr>
          <w:b/>
        </w:rPr>
        <w:t>) or phone (select “</w:t>
      </w:r>
      <w:r w:rsidRPr="00A4373F">
        <w:rPr>
          <w:b/>
          <w:i/>
        </w:rPr>
        <w:t>contact us</w:t>
      </w:r>
      <w:r w:rsidRPr="00457A34">
        <w:rPr>
          <w:b/>
        </w:rPr>
        <w:t xml:space="preserve">” on </w:t>
      </w:r>
      <w:hyperlink r:id="rId13" w:history="1">
        <w:r w:rsidRPr="00457A34">
          <w:rPr>
            <w:rStyle w:val="Hyperlink"/>
            <w:b/>
          </w:rPr>
          <w:t>www.abcam.com</w:t>
        </w:r>
      </w:hyperlink>
      <w:r w:rsidRPr="00457A34">
        <w:rPr>
          <w:b/>
        </w:rPr>
        <w:t xml:space="preserve"> for t</w:t>
      </w:r>
      <w:r>
        <w:rPr>
          <w:b/>
        </w:rPr>
        <w:t>he phone number for your region).</w:t>
      </w:r>
    </w:p>
    <w:p w14:paraId="34F34145" w14:textId="77777777" w:rsidR="00E3732D" w:rsidRDefault="00E3732D" w:rsidP="00E3732D">
      <w:pPr>
        <w:spacing w:before="120" w:line="276" w:lineRule="auto"/>
        <w:rPr>
          <w:b/>
        </w:rPr>
      </w:pPr>
    </w:p>
    <w:p w14:paraId="731BBB3F" w14:textId="77777777" w:rsidR="005B4251" w:rsidRDefault="005B4251">
      <w:pPr>
        <w:spacing w:before="0" w:line="240" w:lineRule="auto"/>
        <w:jc w:val="left"/>
        <w:rPr>
          <w:rFonts w:cs="Arial"/>
          <w:lang w:val="en-AU"/>
        </w:rPr>
      </w:pPr>
    </w:p>
    <w:p w14:paraId="09EB4F29" w14:textId="77777777" w:rsidR="00E3732D" w:rsidRDefault="00E3732D">
      <w:pPr>
        <w:spacing w:before="0" w:line="240" w:lineRule="auto"/>
        <w:jc w:val="left"/>
        <w:rPr>
          <w:rFonts w:cs="Arial"/>
          <w:lang w:val="en-AU"/>
        </w:rPr>
      </w:pPr>
      <w:r>
        <w:rPr>
          <w:rFonts w:cs="Arial"/>
          <w:lang w:val="en-AU"/>
        </w:rPr>
        <w:br w:type="page"/>
      </w:r>
    </w:p>
    <w:p w14:paraId="23488155" w14:textId="77777777" w:rsidR="005B4251" w:rsidRDefault="005B4251">
      <w:pPr>
        <w:spacing w:before="0" w:line="240" w:lineRule="auto"/>
        <w:jc w:val="left"/>
        <w:rPr>
          <w:rFonts w:cs="Arial"/>
          <w:lang w:val="en-AU"/>
        </w:rPr>
      </w:pPr>
      <w:r>
        <w:rPr>
          <w:rFonts w:cs="Arial"/>
          <w:lang w:val="en-AU"/>
        </w:rPr>
        <w:lastRenderedPageBreak/>
        <w:br w:type="page"/>
      </w:r>
    </w:p>
    <w:p w14:paraId="2F965E84" w14:textId="77777777" w:rsidR="00DC1372" w:rsidRDefault="001326E7" w:rsidP="00DC1372">
      <w:pPr>
        <w:rPr>
          <w:rFonts w:cs="Arial"/>
          <w:lang w:val="en-AU"/>
        </w:rPr>
      </w:pPr>
      <w:r>
        <w:rPr>
          <w:rFonts w:cs="Arial"/>
          <w:b/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36003798" wp14:editId="41618847">
            <wp:simplePos x="0" y="0"/>
            <wp:positionH relativeFrom="column">
              <wp:posOffset>2264410</wp:posOffset>
            </wp:positionH>
            <wp:positionV relativeFrom="page">
              <wp:posOffset>0</wp:posOffset>
            </wp:positionV>
            <wp:extent cx="2186305" cy="1965960"/>
            <wp:effectExtent l="19050" t="0" r="4445" b="0"/>
            <wp:wrapTight wrapText="bothSides">
              <wp:wrapPolygon edited="0">
                <wp:start x="-188" y="0"/>
                <wp:lineTo x="-188" y="21349"/>
                <wp:lineTo x="21644" y="21349"/>
                <wp:lineTo x="21644" y="0"/>
                <wp:lineTo x="-188" y="0"/>
              </wp:wrapPolygon>
            </wp:wrapTight>
            <wp:docPr id="16" name="Picture 16" descr="Abcam_Logo_3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bcam_Logo_35m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9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B4B01E" w14:textId="1DC998E9" w:rsidR="00DC1372" w:rsidRDefault="00DC1372" w:rsidP="00DC1372">
      <w:pPr>
        <w:rPr>
          <w:rFonts w:cs="Arial"/>
          <w:b/>
          <w:lang w:val="en-GB"/>
        </w:rPr>
      </w:pPr>
    </w:p>
    <w:p w14:paraId="59FBDA9D" w14:textId="2DFEAD2D" w:rsidR="008E70E0" w:rsidRDefault="008E70E0" w:rsidP="00DC1372">
      <w:pPr>
        <w:rPr>
          <w:rFonts w:cs="Arial"/>
          <w:b/>
          <w:lang w:val="en-GB"/>
        </w:rPr>
      </w:pPr>
    </w:p>
    <w:p w14:paraId="1E465FA8" w14:textId="0CD06E60" w:rsidR="008E70E0" w:rsidRDefault="008E70E0" w:rsidP="00DC1372">
      <w:pPr>
        <w:rPr>
          <w:rFonts w:cs="Arial"/>
          <w:b/>
          <w:lang w:val="en-GB"/>
        </w:rPr>
      </w:pPr>
    </w:p>
    <w:p w14:paraId="33271126" w14:textId="7CC9A216" w:rsidR="008E70E0" w:rsidRDefault="008E70E0" w:rsidP="00DC1372">
      <w:pPr>
        <w:rPr>
          <w:rFonts w:cs="Arial"/>
          <w:b/>
          <w:lang w:val="en-GB"/>
        </w:rPr>
      </w:pPr>
    </w:p>
    <w:p w14:paraId="5E5C2A8A" w14:textId="25051503" w:rsidR="008E70E0" w:rsidRDefault="008E70E0" w:rsidP="00DC1372">
      <w:pPr>
        <w:rPr>
          <w:rFonts w:cs="Arial"/>
          <w:b/>
          <w:lang w:val="en-GB"/>
        </w:rPr>
      </w:pPr>
    </w:p>
    <w:p w14:paraId="4F03DB45" w14:textId="61FFD555" w:rsidR="008E70E0" w:rsidRDefault="008E70E0" w:rsidP="00DC1372">
      <w:pPr>
        <w:rPr>
          <w:rFonts w:cs="Arial"/>
          <w:b/>
          <w:lang w:val="en-GB"/>
        </w:rPr>
      </w:pPr>
    </w:p>
    <w:p w14:paraId="2EA813F8" w14:textId="0112CEC4" w:rsidR="008E70E0" w:rsidRDefault="008E70E0" w:rsidP="00DC1372">
      <w:pPr>
        <w:rPr>
          <w:rFonts w:cs="Arial"/>
          <w:b/>
          <w:lang w:val="en-GB"/>
        </w:rPr>
      </w:pPr>
    </w:p>
    <w:p w14:paraId="4992D51F" w14:textId="465428B7" w:rsidR="008E70E0" w:rsidRDefault="008E70E0" w:rsidP="00DC1372">
      <w:pPr>
        <w:rPr>
          <w:rFonts w:cs="Arial"/>
          <w:b/>
          <w:lang w:val="en-GB"/>
        </w:rPr>
      </w:pPr>
    </w:p>
    <w:p w14:paraId="5C6AC4E1" w14:textId="77777777" w:rsidR="000D502D" w:rsidRDefault="000D502D" w:rsidP="00DC1372">
      <w:pPr>
        <w:rPr>
          <w:rFonts w:cs="Arial"/>
          <w:b/>
          <w:lang w:val="en-GB"/>
        </w:rPr>
      </w:pPr>
    </w:p>
    <w:p w14:paraId="3C97F062" w14:textId="77777777" w:rsidR="008E70E0" w:rsidRDefault="008E70E0" w:rsidP="00DC1372">
      <w:pPr>
        <w:rPr>
          <w:rFonts w:cs="Arial"/>
          <w:b/>
          <w:lang w:val="en-GB"/>
        </w:rPr>
      </w:pPr>
    </w:p>
    <w:p w14:paraId="2C97A03B" w14:textId="77777777" w:rsidR="008E70E0" w:rsidRPr="006530A2" w:rsidRDefault="008E70E0" w:rsidP="008E70E0">
      <w:pPr>
        <w:keepNext/>
        <w:keepLines/>
        <w:suppressAutoHyphens/>
        <w:spacing w:line="240" w:lineRule="auto"/>
        <w:jc w:val="left"/>
        <w:outlineLvl w:val="0"/>
        <w:rPr>
          <w:rFonts w:eastAsia="Times New Roman" w:cs="Arial"/>
          <w:b/>
          <w:bCs/>
          <w:szCs w:val="20"/>
          <w:u w:val="single"/>
        </w:rPr>
      </w:pPr>
      <w:r w:rsidRPr="006530A2">
        <w:rPr>
          <w:rFonts w:eastAsia="Times New Roman" w:cs="Arial"/>
          <w:b/>
          <w:bCs/>
          <w:szCs w:val="20"/>
          <w:u w:val="single"/>
        </w:rPr>
        <w:t>Technical Support</w:t>
      </w:r>
    </w:p>
    <w:p w14:paraId="4FEAB71F" w14:textId="77777777" w:rsidR="008E70E0" w:rsidRPr="006530A2" w:rsidRDefault="008E70E0" w:rsidP="008E70E0">
      <w:pPr>
        <w:spacing w:line="240" w:lineRule="auto"/>
        <w:jc w:val="left"/>
        <w:rPr>
          <w:rFonts w:cs="Arial"/>
          <w:szCs w:val="20"/>
        </w:rPr>
      </w:pPr>
      <w:r w:rsidRPr="006530A2">
        <w:rPr>
          <w:rFonts w:cs="Arial"/>
          <w:szCs w:val="20"/>
        </w:rPr>
        <w:t>Copyright © 2023 Abcam. All Rights Reserved. The Abcam logo is a registered trademark. All information / detail is correct at time of going to print.</w:t>
      </w:r>
    </w:p>
    <w:p w14:paraId="69A651A9" w14:textId="070FDB29" w:rsidR="008E70E0" w:rsidRPr="000D502D" w:rsidRDefault="008E70E0" w:rsidP="000D502D">
      <w:pPr>
        <w:spacing w:line="240" w:lineRule="auto"/>
        <w:jc w:val="left"/>
        <w:rPr>
          <w:b/>
          <w:sz w:val="16"/>
        </w:rPr>
      </w:pPr>
      <w:r w:rsidRPr="006530A2">
        <w:rPr>
          <w:rFonts w:cs="Arial"/>
          <w:b/>
          <w:szCs w:val="20"/>
        </w:rPr>
        <w:t>For all technical or commercial enquiries please go to:</w:t>
      </w:r>
      <w:r w:rsidRPr="006530A2">
        <w:rPr>
          <w:rFonts w:cs="Arial"/>
          <w:b/>
          <w:szCs w:val="20"/>
        </w:rPr>
        <w:br/>
      </w:r>
      <w:hyperlink r:id="rId14" w:history="1">
        <w:r w:rsidRPr="006530A2">
          <w:rPr>
            <w:rStyle w:val="Hyperlink"/>
            <w:rFonts w:cs="Arial"/>
            <w:szCs w:val="20"/>
          </w:rPr>
          <w:t>www.abcam.com/contactus</w:t>
        </w:r>
      </w:hyperlink>
      <w:r w:rsidRPr="006530A2">
        <w:rPr>
          <w:rFonts w:cs="Arial"/>
          <w:szCs w:val="20"/>
        </w:rPr>
        <w:br/>
      </w:r>
      <w:hyperlink r:id="rId15" w:history="1">
        <w:r w:rsidRPr="006530A2">
          <w:rPr>
            <w:rStyle w:val="Hyperlink"/>
            <w:rFonts w:cs="Arial"/>
            <w:szCs w:val="20"/>
          </w:rPr>
          <w:t>www.abcam.cn/contactus</w:t>
        </w:r>
      </w:hyperlink>
      <w:r w:rsidRPr="006530A2">
        <w:rPr>
          <w:rFonts w:cs="Arial"/>
          <w:szCs w:val="20"/>
        </w:rPr>
        <w:t xml:space="preserve"> (China)</w:t>
      </w:r>
      <w:r w:rsidRPr="006530A2">
        <w:rPr>
          <w:rFonts w:cs="Arial"/>
          <w:szCs w:val="20"/>
        </w:rPr>
        <w:br/>
      </w:r>
      <w:hyperlink r:id="rId16" w:history="1">
        <w:r w:rsidRPr="006530A2">
          <w:rPr>
            <w:rStyle w:val="Hyperlink"/>
            <w:rFonts w:cs="Arial"/>
            <w:szCs w:val="20"/>
          </w:rPr>
          <w:t>www.abcam.co.jp/contactus</w:t>
        </w:r>
      </w:hyperlink>
      <w:r w:rsidRPr="006530A2">
        <w:rPr>
          <w:rFonts w:cs="Arial"/>
          <w:szCs w:val="20"/>
        </w:rPr>
        <w:t xml:space="preserve"> (Japan)</w:t>
      </w:r>
      <w:r>
        <w:rPr>
          <w:b/>
          <w:noProof/>
          <w:sz w:val="24"/>
          <w:lang w:val="en-GB" w:eastAsia="en-GB"/>
        </w:rPr>
        <w:drawing>
          <wp:anchor distT="0" distB="0" distL="114300" distR="114300" simplePos="0" relativeHeight="251664896" behindDoc="1" locked="0" layoutInCell="1" allowOverlap="1" wp14:anchorId="1CEF2EFF" wp14:editId="1EEAAB34">
            <wp:simplePos x="0" y="0"/>
            <wp:positionH relativeFrom="column">
              <wp:posOffset>2438400</wp:posOffset>
            </wp:positionH>
            <wp:positionV relativeFrom="page">
              <wp:posOffset>142875</wp:posOffset>
            </wp:positionV>
            <wp:extent cx="2184400" cy="2181225"/>
            <wp:effectExtent l="19050" t="0" r="6350" b="0"/>
            <wp:wrapNone/>
            <wp:docPr id="18" name="Picture 14" descr="Abcam_Logo_3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bcam_Logo_35m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szCs w:val="20"/>
        </w:rPr>
        <w:t xml:space="preserve"> </w:t>
      </w:r>
    </w:p>
    <w:sectPr w:rsidR="008E70E0" w:rsidRPr="000D502D" w:rsidSect="00DC1372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7920" w:h="12240"/>
      <w:pgMar w:top="1418" w:right="907" w:bottom="1418" w:left="907" w:header="708" w:footer="737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47F0" w14:textId="77777777" w:rsidR="00A93842" w:rsidRDefault="00A93842" w:rsidP="00DC1372">
      <w:r>
        <w:separator/>
      </w:r>
    </w:p>
  </w:endnote>
  <w:endnote w:type="continuationSeparator" w:id="0">
    <w:p w14:paraId="2BAA927E" w14:textId="77777777" w:rsidR="00A93842" w:rsidRDefault="00A93842" w:rsidP="00DC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altName w:val="MS Mincho"/>
    <w:panose1 w:val="00000000000000000000"/>
    <w:charset w:val="80"/>
    <w:family w:val="roman"/>
    <w:notTrueType/>
    <w:pitch w:val="default"/>
    <w:sig w:usb0="00000000" w:usb1="00000000" w:usb2="01000407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E7E8" w14:textId="77777777" w:rsidR="00DC1372" w:rsidRDefault="00161D1B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137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372">
      <w:rPr>
        <w:rStyle w:val="PageNumber"/>
        <w:noProof/>
      </w:rPr>
      <w:t>27</w:t>
    </w:r>
    <w:r>
      <w:rPr>
        <w:rStyle w:val="PageNumber"/>
      </w:rPr>
      <w:fldChar w:fldCharType="end"/>
    </w:r>
  </w:p>
  <w:p w14:paraId="3F4C59C4" w14:textId="77777777" w:rsidR="00DC1372" w:rsidRDefault="00DC1372" w:rsidP="00DC13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3AE51" w14:textId="77777777" w:rsidR="00DC1372" w:rsidRPr="0001222D" w:rsidRDefault="00161D1B" w:rsidP="00DC1372">
    <w:pPr>
      <w:pStyle w:val="Footer"/>
      <w:framePr w:wrap="around" w:vAnchor="text" w:hAnchor="margin" w:xAlign="right" w:y="1"/>
      <w:rPr>
        <w:rStyle w:val="PageNumber"/>
      </w:rPr>
    </w:pPr>
    <w:r w:rsidRPr="0001222D">
      <w:rPr>
        <w:rStyle w:val="PageNumber"/>
      </w:rPr>
      <w:fldChar w:fldCharType="begin"/>
    </w:r>
    <w:r w:rsidR="00DC1372" w:rsidRPr="0001222D">
      <w:rPr>
        <w:rStyle w:val="PageNumber"/>
      </w:rPr>
      <w:instrText>PAGE</w:instrText>
    </w:r>
    <w:r w:rsidRPr="0001222D">
      <w:rPr>
        <w:rStyle w:val="PageNumber"/>
      </w:rPr>
      <w:fldChar w:fldCharType="separate"/>
    </w:r>
    <w:r w:rsidR="00500DDF">
      <w:rPr>
        <w:rStyle w:val="PageNumber"/>
        <w:noProof/>
      </w:rPr>
      <w:t>8</w:t>
    </w:r>
    <w:r w:rsidRPr="0001222D">
      <w:rPr>
        <w:rStyle w:val="PageNumber"/>
      </w:rPr>
      <w:fldChar w:fldCharType="end"/>
    </w:r>
  </w:p>
  <w:p w14:paraId="31F32122" w14:textId="77777777" w:rsidR="00DC1372" w:rsidRDefault="00DC1372" w:rsidP="00DC1372">
    <w:pPr>
      <w:pStyle w:val="Footer"/>
      <w:ind w:right="360"/>
      <w:jc w:val="center"/>
    </w:pPr>
  </w:p>
  <w:p w14:paraId="574AE8AC" w14:textId="77777777" w:rsidR="00DC1372" w:rsidRDefault="00DC1372" w:rsidP="00DC137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1E37D" w14:textId="41430390" w:rsidR="000156D2" w:rsidRPr="00AD1E6D" w:rsidRDefault="000156D2" w:rsidP="000156D2">
    <w:pPr>
      <w:pStyle w:val="Footer"/>
      <w:tabs>
        <w:tab w:val="left" w:pos="1010"/>
        <w:tab w:val="right" w:pos="6106"/>
      </w:tabs>
      <w:jc w:val="left"/>
    </w:pPr>
    <w:r w:rsidRPr="00AD1E6D">
      <w:t xml:space="preserve">Version </w:t>
    </w:r>
    <w:r w:rsidR="00DD277D">
      <w:t>3</w:t>
    </w:r>
    <w:r w:rsidRPr="00AD1E6D">
      <w:t>a</w:t>
    </w:r>
    <w:r w:rsidR="000D502D">
      <w:t>,</w:t>
    </w:r>
    <w:r w:rsidRPr="00AD1E6D">
      <w:t xml:space="preserve"> Last Updated </w:t>
    </w:r>
    <w:r w:rsidRPr="00AD1E6D">
      <w:fldChar w:fldCharType="begin"/>
    </w:r>
    <w:r w:rsidRPr="00AD1E6D">
      <w:instrText xml:space="preserve"> DATE  \@ "d MMMM yyyy"  \* MERGEFORMAT </w:instrText>
    </w:r>
    <w:r w:rsidRPr="00AD1E6D">
      <w:fldChar w:fldCharType="separate"/>
    </w:r>
    <w:r w:rsidR="000D502D">
      <w:rPr>
        <w:noProof/>
      </w:rPr>
      <w:t>26 May 2023</w:t>
    </w:r>
    <w:r w:rsidRPr="00AD1E6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4A5D" w14:textId="77777777" w:rsidR="00A93842" w:rsidRDefault="00A93842" w:rsidP="00DC1372">
      <w:r>
        <w:separator/>
      </w:r>
    </w:p>
  </w:footnote>
  <w:footnote w:type="continuationSeparator" w:id="0">
    <w:p w14:paraId="4B117397" w14:textId="77777777" w:rsidR="00A93842" w:rsidRDefault="00A93842" w:rsidP="00DC1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B2C2" w14:textId="77777777" w:rsidR="00DC1372" w:rsidRDefault="000D502D">
    <w:pPr>
      <w:pStyle w:val="Header"/>
    </w:pPr>
    <w:r>
      <w:rPr>
        <w:noProof/>
      </w:rPr>
      <w:pict w14:anchorId="67F5EE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left:0;text-align:left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D179" w14:textId="77777777" w:rsidR="00DC1372" w:rsidRPr="00885DC3" w:rsidRDefault="00DC1372" w:rsidP="00DC1372">
    <w:pPr>
      <w:pStyle w:val="Header"/>
      <w:tabs>
        <w:tab w:val="clear" w:pos="4320"/>
        <w:tab w:val="clear" w:pos="8640"/>
        <w:tab w:val="left" w:pos="0"/>
      </w:tabs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C46C1"/>
    <w:multiLevelType w:val="hybridMultilevel"/>
    <w:tmpl w:val="205264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76C82"/>
    <w:multiLevelType w:val="hybridMultilevel"/>
    <w:tmpl w:val="19E26A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263744"/>
    <w:multiLevelType w:val="hybridMultilevel"/>
    <w:tmpl w:val="A412D064"/>
    <w:lvl w:ilvl="0" w:tplc="078CE354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AD3159D"/>
    <w:multiLevelType w:val="hybridMultilevel"/>
    <w:tmpl w:val="DF766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85E40"/>
    <w:multiLevelType w:val="hybridMultilevel"/>
    <w:tmpl w:val="00D8D968"/>
    <w:lvl w:ilvl="0" w:tplc="C622925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</w:rPr>
    </w:lvl>
    <w:lvl w:ilvl="1" w:tplc="1BC825A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043D"/>
    <w:multiLevelType w:val="hybridMultilevel"/>
    <w:tmpl w:val="B2C2420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E6CD2"/>
    <w:multiLevelType w:val="hybridMultilevel"/>
    <w:tmpl w:val="E1F037DA"/>
    <w:lvl w:ilvl="0" w:tplc="CDDE3C3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B102179"/>
    <w:multiLevelType w:val="hybridMultilevel"/>
    <w:tmpl w:val="970C2128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 w15:restartNumberingAfterBreak="0">
    <w:nsid w:val="6D3713E6"/>
    <w:multiLevelType w:val="hybridMultilevel"/>
    <w:tmpl w:val="35F6963E"/>
    <w:lvl w:ilvl="0" w:tplc="8E32A88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E31FE4"/>
    <w:multiLevelType w:val="hybridMultilevel"/>
    <w:tmpl w:val="3D845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F526B"/>
    <w:multiLevelType w:val="hybridMultilevel"/>
    <w:tmpl w:val="B2F87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46850">
    <w:abstractNumId w:val="3"/>
  </w:num>
  <w:num w:numId="2" w16cid:durableId="2139060412">
    <w:abstractNumId w:val="0"/>
  </w:num>
  <w:num w:numId="3" w16cid:durableId="908266640">
    <w:abstractNumId w:val="7"/>
  </w:num>
  <w:num w:numId="4" w16cid:durableId="1264604975">
    <w:abstractNumId w:val="4"/>
  </w:num>
  <w:num w:numId="5" w16cid:durableId="213277284">
    <w:abstractNumId w:val="12"/>
  </w:num>
  <w:num w:numId="6" w16cid:durableId="880283045">
    <w:abstractNumId w:val="4"/>
    <w:lvlOverride w:ilvl="0">
      <w:startOverride w:val="1"/>
    </w:lvlOverride>
  </w:num>
  <w:num w:numId="7" w16cid:durableId="978418858">
    <w:abstractNumId w:val="4"/>
    <w:lvlOverride w:ilvl="0">
      <w:startOverride w:val="1"/>
    </w:lvlOverride>
  </w:num>
  <w:num w:numId="8" w16cid:durableId="1967347247">
    <w:abstractNumId w:val="9"/>
  </w:num>
  <w:num w:numId="9" w16cid:durableId="1199664991">
    <w:abstractNumId w:val="5"/>
  </w:num>
  <w:num w:numId="10" w16cid:durableId="687175575">
    <w:abstractNumId w:val="1"/>
  </w:num>
  <w:num w:numId="11" w16cid:durableId="267667851">
    <w:abstractNumId w:val="13"/>
  </w:num>
  <w:num w:numId="12" w16cid:durableId="1243442446">
    <w:abstractNumId w:val="2"/>
  </w:num>
  <w:num w:numId="13" w16cid:durableId="936911780">
    <w:abstractNumId w:val="0"/>
  </w:num>
  <w:num w:numId="14" w16cid:durableId="2021159774">
    <w:abstractNumId w:val="11"/>
  </w:num>
  <w:num w:numId="15" w16cid:durableId="2083142677">
    <w:abstractNumId w:val="0"/>
  </w:num>
  <w:num w:numId="16" w16cid:durableId="2073234654">
    <w:abstractNumId w:val="0"/>
  </w:num>
  <w:num w:numId="17" w16cid:durableId="231811643">
    <w:abstractNumId w:val="0"/>
  </w:num>
  <w:num w:numId="18" w16cid:durableId="1170365417">
    <w:abstractNumId w:val="0"/>
  </w:num>
  <w:num w:numId="19" w16cid:durableId="220141666">
    <w:abstractNumId w:val="10"/>
  </w:num>
  <w:num w:numId="20" w16cid:durableId="759913593">
    <w:abstractNumId w:val="8"/>
  </w:num>
  <w:num w:numId="21" w16cid:durableId="182852135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E0"/>
    <w:rsid w:val="000156D2"/>
    <w:rsid w:val="000519C2"/>
    <w:rsid w:val="000D502D"/>
    <w:rsid w:val="001326E7"/>
    <w:rsid w:val="00161D1B"/>
    <w:rsid w:val="001C6CF5"/>
    <w:rsid w:val="002D28E9"/>
    <w:rsid w:val="00500DDF"/>
    <w:rsid w:val="005B4251"/>
    <w:rsid w:val="00661167"/>
    <w:rsid w:val="008E70E0"/>
    <w:rsid w:val="00901E8F"/>
    <w:rsid w:val="00920CA4"/>
    <w:rsid w:val="009F517B"/>
    <w:rsid w:val="00A61EE0"/>
    <w:rsid w:val="00A835F2"/>
    <w:rsid w:val="00A93842"/>
    <w:rsid w:val="00AD1E6D"/>
    <w:rsid w:val="00AD5E7A"/>
    <w:rsid w:val="00AF4FF9"/>
    <w:rsid w:val="00B24702"/>
    <w:rsid w:val="00B8255E"/>
    <w:rsid w:val="00C12998"/>
    <w:rsid w:val="00CE0219"/>
    <w:rsid w:val="00D50132"/>
    <w:rsid w:val="00D6414F"/>
    <w:rsid w:val="00DC1372"/>
    <w:rsid w:val="00DD277D"/>
    <w:rsid w:val="00E3732D"/>
    <w:rsid w:val="00E800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77BC42A0"/>
  <w15:docId w15:val="{DAC57645-6514-4916-8469-85529A7B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5911"/>
    <w:pPr>
      <w:spacing w:before="240" w:line="360" w:lineRule="auto"/>
      <w:jc w:val="both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35F"/>
    <w:pPr>
      <w:keepNext/>
      <w:keepLines/>
      <w:numPr>
        <w:numId w:val="1"/>
      </w:numPr>
      <w:pBdr>
        <w:bottom w:val="single" w:sz="4" w:space="1" w:color="auto"/>
      </w:pBdr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3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67235F"/>
    <w:rPr>
      <w:rFonts w:ascii="Arial" w:eastAsia="Times New Roman" w:hAnsi="Arial" w:cs="Times New Roman"/>
      <w:b/>
      <w:bCs/>
      <w:sz w:val="28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B1411"/>
    <w:pPr>
      <w:numPr>
        <w:numId w:val="0"/>
      </w:num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84375E"/>
    <w:pPr>
      <w:tabs>
        <w:tab w:val="left" w:pos="440"/>
        <w:tab w:val="right" w:pos="609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2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Arial" w:eastAsia="Times New Roman" w:hAnsi="Arial" w:cs="Times New Roman"/>
      <w:bCs/>
      <w:sz w:val="20"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4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Arial" w:hAnsi="Arial"/>
      <w:iCs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  <w:jc w:val="left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uiPriority w:val="34"/>
    <w:qFormat/>
    <w:rsid w:val="00E3732D"/>
    <w:pPr>
      <w:ind w:left="1440" w:hanging="360"/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E3732D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24702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AD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am.com/ab111748" TargetMode="External"/><Relationship Id="rId13" Type="http://schemas.openxmlformats.org/officeDocument/2006/relationships/hyperlink" Target="http://www.abcam.co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mailto:technical@abcam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abcam.co.jp/contactu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www.abcam.cn/contact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bcam.co.jp/ab11174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bcam.cn/ab111748" TargetMode="External"/><Relationship Id="rId14" Type="http://schemas.openxmlformats.org/officeDocument/2006/relationships/hyperlink" Target="http://www.abcam.com/contactu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Alexandra Manoylova</cp:lastModifiedBy>
  <cp:revision>3</cp:revision>
  <cp:lastPrinted>2012-02-29T09:45:00Z</cp:lastPrinted>
  <dcterms:created xsi:type="dcterms:W3CDTF">2023-05-02T14:51:00Z</dcterms:created>
  <dcterms:modified xsi:type="dcterms:W3CDTF">2023-05-26T14:23:00Z</dcterms:modified>
</cp:coreProperties>
</file>