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058C" w14:textId="77777777" w:rsidR="00DC1372" w:rsidRPr="006E17B3" w:rsidRDefault="001326E7" w:rsidP="00DC1372">
      <w:pPr>
        <w:rPr>
          <w:rFonts w:cs="Arial"/>
          <w:lang w:val="en-GB"/>
        </w:rPr>
      </w:pPr>
      <w:r>
        <w:rPr>
          <w:rFonts w:cs="Arial"/>
          <w:noProof/>
          <w:lang w:val="en-GB" w:eastAsia="en-GB"/>
        </w:rPr>
        <w:drawing>
          <wp:anchor distT="0" distB="0" distL="114300" distR="114300" simplePos="0" relativeHeight="251657728" behindDoc="1" locked="0" layoutInCell="1" allowOverlap="1" wp14:anchorId="22AF7870" wp14:editId="40AC2087">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7"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679E93A3" w14:textId="77777777" w:rsidR="00DC1372" w:rsidRPr="006E17B3" w:rsidRDefault="00DC1372" w:rsidP="00DC1372">
      <w:pPr>
        <w:rPr>
          <w:rFonts w:cs="Arial"/>
          <w:lang w:val="en-GB"/>
        </w:rPr>
      </w:pPr>
    </w:p>
    <w:p w14:paraId="4992D4DE" w14:textId="77777777" w:rsidR="00DC1372" w:rsidRPr="006E17B3" w:rsidRDefault="00DC1372"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DC1372" w14:paraId="27F9DAE9" w14:textId="77777777" w:rsidTr="008B2FC0">
        <w:trPr>
          <w:trHeight w:hRule="exact" w:val="3628"/>
        </w:trPr>
        <w:tc>
          <w:tcPr>
            <w:tcW w:w="6096" w:type="dxa"/>
            <w:vAlign w:val="center"/>
          </w:tcPr>
          <w:p w14:paraId="20FD1DC5" w14:textId="77777777" w:rsidR="008B36B3" w:rsidRPr="008B36B3" w:rsidRDefault="00C61C56" w:rsidP="008B36B3">
            <w:pPr>
              <w:ind w:left="34"/>
              <w:jc w:val="left"/>
              <w:rPr>
                <w:b/>
                <w:sz w:val="48"/>
              </w:rPr>
            </w:pPr>
            <w:r w:rsidRPr="00C61C56">
              <w:rPr>
                <w:b/>
                <w:sz w:val="48"/>
                <w:szCs w:val="48"/>
              </w:rPr>
              <w:t>ab119692</w:t>
            </w:r>
            <w:r>
              <w:rPr>
                <w:b/>
                <w:sz w:val="48"/>
                <w:szCs w:val="48"/>
              </w:rPr>
              <w:t xml:space="preserve"> </w:t>
            </w:r>
            <w:r w:rsidR="008B2FC0" w:rsidRPr="00E6687C">
              <w:rPr>
                <w:rFonts w:cs="Arial"/>
                <w:b/>
                <w:noProof/>
                <w:sz w:val="48"/>
                <w:szCs w:val="48"/>
              </w:rPr>
              <w:t>–</w:t>
            </w:r>
          </w:p>
          <w:p w14:paraId="296BCF3B" w14:textId="77777777" w:rsidR="00DC1372" w:rsidRPr="00DC1372" w:rsidRDefault="00C61C56" w:rsidP="00C61C56">
            <w:pPr>
              <w:ind w:left="34"/>
              <w:jc w:val="left"/>
              <w:rPr>
                <w:b/>
                <w:sz w:val="48"/>
              </w:rPr>
            </w:pPr>
            <w:r w:rsidRPr="00C61C56">
              <w:rPr>
                <w:b/>
                <w:sz w:val="48"/>
              </w:rPr>
              <w:t>Human Citrate Synthase (CS) Activity Assay Kit</w:t>
            </w:r>
            <w:r w:rsidR="008B2FC0" w:rsidRPr="008B2FC0">
              <w:rPr>
                <w:b/>
                <w:sz w:val="48"/>
              </w:rPr>
              <w:t xml:space="preserve"> </w:t>
            </w:r>
          </w:p>
        </w:tc>
      </w:tr>
    </w:tbl>
    <w:p w14:paraId="374FD345" w14:textId="77777777" w:rsidR="00AB4F8B" w:rsidRDefault="00AB4F8B" w:rsidP="00AB4F8B">
      <w:pPr>
        <w:jc w:val="left"/>
        <w:rPr>
          <w:rFonts w:cs="Arial"/>
          <w:sz w:val="36"/>
          <w:szCs w:val="36"/>
          <w:lang w:val="en-GB"/>
        </w:rPr>
      </w:pPr>
    </w:p>
    <w:p w14:paraId="0C68C181" w14:textId="77777777" w:rsidR="00DC1372" w:rsidRPr="001C6CF5" w:rsidRDefault="00DC1372" w:rsidP="00AB4F8B">
      <w:pPr>
        <w:jc w:val="left"/>
        <w:rPr>
          <w:rFonts w:cs="Arial"/>
          <w:sz w:val="36"/>
          <w:szCs w:val="36"/>
          <w:lang w:val="en-GB"/>
        </w:rPr>
      </w:pPr>
      <w:r w:rsidRPr="001C6CF5">
        <w:rPr>
          <w:rFonts w:cs="Arial"/>
          <w:sz w:val="36"/>
          <w:szCs w:val="36"/>
          <w:lang w:val="en-GB"/>
        </w:rPr>
        <w:t>Instructions for Use</w:t>
      </w:r>
    </w:p>
    <w:p w14:paraId="29D437A0" w14:textId="77777777" w:rsidR="00DC1372" w:rsidRPr="001C6CF5" w:rsidRDefault="00C61C56" w:rsidP="00DC1372">
      <w:pPr>
        <w:spacing w:line="240" w:lineRule="auto"/>
        <w:jc w:val="left"/>
        <w:rPr>
          <w:rFonts w:cs="Arial"/>
          <w:sz w:val="36"/>
          <w:szCs w:val="36"/>
          <w:lang w:val="en-GB"/>
        </w:rPr>
      </w:pPr>
      <w:r w:rsidRPr="00C61C56">
        <w:rPr>
          <w:rFonts w:cs="Arial"/>
          <w:sz w:val="28"/>
          <w:szCs w:val="28"/>
        </w:rPr>
        <w:t xml:space="preserve">For the measurement of mitochondrial citrate synthase (CS) activity in </w:t>
      </w:r>
      <w:r>
        <w:rPr>
          <w:rFonts w:cs="Arial"/>
          <w:sz w:val="28"/>
          <w:szCs w:val="28"/>
        </w:rPr>
        <w:t>H</w:t>
      </w:r>
      <w:r w:rsidRPr="00C61C56">
        <w:rPr>
          <w:rFonts w:cs="Arial"/>
          <w:sz w:val="28"/>
          <w:szCs w:val="28"/>
        </w:rPr>
        <w:t>uman</w:t>
      </w:r>
      <w:r w:rsidR="008B2FC0" w:rsidRPr="008B2FC0">
        <w:rPr>
          <w:rFonts w:cs="Arial"/>
          <w:sz w:val="28"/>
          <w:szCs w:val="28"/>
        </w:rPr>
        <w:t xml:space="preserve"> samples</w:t>
      </w:r>
      <w:r w:rsidR="00DC1372" w:rsidRPr="001C6CF5">
        <w:rPr>
          <w:rFonts w:cs="Arial"/>
          <w:sz w:val="28"/>
          <w:szCs w:val="28"/>
        </w:rPr>
        <w:t xml:space="preserve"> </w:t>
      </w:r>
    </w:p>
    <w:p w14:paraId="4D66ACB9" w14:textId="77777777" w:rsidR="00DC1372" w:rsidRPr="001C6CF5" w:rsidRDefault="00DC1372" w:rsidP="00DC1372">
      <w:pPr>
        <w:autoSpaceDE w:val="0"/>
        <w:autoSpaceDN w:val="0"/>
        <w:adjustRightInd w:val="0"/>
        <w:spacing w:before="0" w:line="240" w:lineRule="auto"/>
        <w:jc w:val="left"/>
        <w:rPr>
          <w:rFonts w:cs="Arial"/>
          <w:sz w:val="28"/>
          <w:szCs w:val="28"/>
        </w:rPr>
      </w:pPr>
    </w:p>
    <w:p w14:paraId="76FD0680" w14:textId="77777777" w:rsidR="00DC1372" w:rsidRPr="001C6CF5" w:rsidRDefault="00DC1372" w:rsidP="00DC1372">
      <w:pPr>
        <w:autoSpaceDE w:val="0"/>
        <w:autoSpaceDN w:val="0"/>
        <w:adjustRightInd w:val="0"/>
        <w:spacing w:before="0" w:line="240" w:lineRule="auto"/>
        <w:jc w:val="left"/>
        <w:rPr>
          <w:rFonts w:cs="Arial"/>
          <w:sz w:val="28"/>
          <w:szCs w:val="28"/>
        </w:rPr>
      </w:pPr>
      <w:r w:rsidRPr="001C6CF5">
        <w:rPr>
          <w:rFonts w:cs="Arial"/>
          <w:sz w:val="28"/>
          <w:szCs w:val="28"/>
        </w:rPr>
        <w:t>This product is for research use only and is not intended for diagnostic use.</w:t>
      </w:r>
    </w:p>
    <w:p w14:paraId="29DB8395" w14:textId="6108E6B1" w:rsidR="008B2920" w:rsidRDefault="008B2920">
      <w:pPr>
        <w:spacing w:before="0" w:line="240" w:lineRule="auto"/>
        <w:jc w:val="left"/>
        <w:rPr>
          <w:rFonts w:cs="Arial"/>
          <w:lang w:val="en-AU"/>
        </w:rPr>
      </w:pPr>
    </w:p>
    <w:p w14:paraId="6553A785" w14:textId="77777777" w:rsidR="008B36B3" w:rsidRPr="006E17B3" w:rsidRDefault="008B36B3" w:rsidP="008B36B3">
      <w:pPr>
        <w:pStyle w:val="Heading1"/>
        <w:numPr>
          <w:ilvl w:val="0"/>
          <w:numId w:val="0"/>
        </w:numPr>
        <w:rPr>
          <w:rFonts w:cs="Arial"/>
        </w:rPr>
      </w:pPr>
      <w:bookmarkStart w:id="0" w:name="_Toc311730245"/>
      <w:bookmarkStart w:id="1" w:name="_Toc314218764"/>
      <w:bookmarkStart w:id="2" w:name="_Toc319676530"/>
      <w:bookmarkStart w:id="3" w:name="_Toc320535386"/>
      <w:bookmarkStart w:id="4" w:name="_Toc152929738"/>
      <w:r w:rsidRPr="006E17B3">
        <w:rPr>
          <w:rFonts w:cs="Arial"/>
        </w:rPr>
        <w:lastRenderedPageBreak/>
        <w:t>Table of Contents</w:t>
      </w:r>
      <w:bookmarkEnd w:id="0"/>
      <w:bookmarkEnd w:id="1"/>
      <w:bookmarkEnd w:id="2"/>
      <w:bookmarkEnd w:id="3"/>
      <w:bookmarkEnd w:id="4"/>
    </w:p>
    <w:p w14:paraId="1410698B" w14:textId="1E63DC64" w:rsidR="009E3EF5" w:rsidRDefault="00883818">
      <w:pPr>
        <w:pStyle w:val="TOC1"/>
        <w:rPr>
          <w:rFonts w:asciiTheme="minorHAnsi" w:eastAsiaTheme="minorEastAsia" w:hAnsiTheme="minorHAnsi" w:cstheme="minorBidi"/>
          <w:noProof/>
          <w:kern w:val="2"/>
          <w:sz w:val="22"/>
          <w:szCs w:val="22"/>
          <w:lang w:val="en-GB" w:eastAsia="en-GB"/>
          <w14:ligatures w14:val="standardContextual"/>
        </w:rPr>
      </w:pPr>
      <w:r w:rsidRPr="006E17B3">
        <w:rPr>
          <w:rFonts w:eastAsiaTheme="minorHAnsi" w:cstheme="minorBidi"/>
        </w:rPr>
        <w:fldChar w:fldCharType="begin"/>
      </w:r>
      <w:r w:rsidR="008B36B3" w:rsidRPr="006E17B3">
        <w:instrText xml:space="preserve"> TOC \o "1-1" \u </w:instrText>
      </w:r>
      <w:r w:rsidRPr="006E17B3">
        <w:rPr>
          <w:rFonts w:eastAsiaTheme="minorHAnsi" w:cstheme="minorBidi"/>
        </w:rPr>
        <w:fldChar w:fldCharType="separate"/>
      </w:r>
      <w:r w:rsidR="009E3EF5" w:rsidRPr="00347530">
        <w:rPr>
          <w:rFonts w:cs="Arial"/>
          <w:noProof/>
        </w:rPr>
        <w:t>Table of Contents</w:t>
      </w:r>
      <w:r w:rsidR="009E3EF5">
        <w:rPr>
          <w:noProof/>
        </w:rPr>
        <w:tab/>
      </w:r>
      <w:r w:rsidR="009E3EF5">
        <w:rPr>
          <w:noProof/>
        </w:rPr>
        <w:fldChar w:fldCharType="begin"/>
      </w:r>
      <w:r w:rsidR="009E3EF5">
        <w:rPr>
          <w:noProof/>
        </w:rPr>
        <w:instrText xml:space="preserve"> PAGEREF _Toc152929738 \h </w:instrText>
      </w:r>
      <w:r w:rsidR="009E3EF5">
        <w:rPr>
          <w:noProof/>
        </w:rPr>
      </w:r>
      <w:r w:rsidR="009E3EF5">
        <w:rPr>
          <w:noProof/>
        </w:rPr>
        <w:fldChar w:fldCharType="separate"/>
      </w:r>
      <w:r w:rsidR="009E3EF5">
        <w:rPr>
          <w:noProof/>
        </w:rPr>
        <w:t>1</w:t>
      </w:r>
      <w:r w:rsidR="009E3EF5">
        <w:rPr>
          <w:noProof/>
        </w:rPr>
        <w:fldChar w:fldCharType="end"/>
      </w:r>
    </w:p>
    <w:p w14:paraId="54ADC58C" w14:textId="0881E63E"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Pr>
          <w:noProof/>
        </w:rPr>
        <w:t>1.</w:t>
      </w:r>
      <w:r>
        <w:rPr>
          <w:rFonts w:asciiTheme="minorHAnsi" w:eastAsiaTheme="minorEastAsia" w:hAnsiTheme="minorHAnsi" w:cstheme="minorBidi"/>
          <w:noProof/>
          <w:kern w:val="2"/>
          <w:sz w:val="22"/>
          <w:szCs w:val="22"/>
          <w:lang w:val="en-GB" w:eastAsia="en-GB"/>
          <w14:ligatures w14:val="standardContextual"/>
        </w:rPr>
        <w:tab/>
      </w:r>
      <w:r>
        <w:rPr>
          <w:noProof/>
        </w:rPr>
        <w:t>Introduction</w:t>
      </w:r>
      <w:r>
        <w:rPr>
          <w:noProof/>
        </w:rPr>
        <w:tab/>
      </w:r>
      <w:r>
        <w:rPr>
          <w:noProof/>
        </w:rPr>
        <w:fldChar w:fldCharType="begin"/>
      </w:r>
      <w:r>
        <w:rPr>
          <w:noProof/>
        </w:rPr>
        <w:instrText xml:space="preserve"> PAGEREF _Toc152929739 \h </w:instrText>
      </w:r>
      <w:r>
        <w:rPr>
          <w:noProof/>
        </w:rPr>
      </w:r>
      <w:r>
        <w:rPr>
          <w:noProof/>
        </w:rPr>
        <w:fldChar w:fldCharType="separate"/>
      </w:r>
      <w:r>
        <w:rPr>
          <w:noProof/>
        </w:rPr>
        <w:t>2</w:t>
      </w:r>
      <w:r>
        <w:rPr>
          <w:noProof/>
        </w:rPr>
        <w:fldChar w:fldCharType="end"/>
      </w:r>
    </w:p>
    <w:p w14:paraId="298073B6" w14:textId="16EA7C77"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Pr>
          <w:noProof/>
        </w:rPr>
        <w:t>2.</w:t>
      </w:r>
      <w:r>
        <w:rPr>
          <w:rFonts w:asciiTheme="minorHAnsi" w:eastAsiaTheme="minorEastAsia" w:hAnsiTheme="minorHAnsi" w:cstheme="minorBidi"/>
          <w:noProof/>
          <w:kern w:val="2"/>
          <w:sz w:val="22"/>
          <w:szCs w:val="22"/>
          <w:lang w:val="en-GB" w:eastAsia="en-GB"/>
          <w14:ligatures w14:val="standardContextual"/>
        </w:rPr>
        <w:tab/>
      </w:r>
      <w:r>
        <w:rPr>
          <w:noProof/>
        </w:rPr>
        <w:t>Assay Summary</w:t>
      </w:r>
      <w:r>
        <w:rPr>
          <w:noProof/>
        </w:rPr>
        <w:tab/>
      </w:r>
      <w:r>
        <w:rPr>
          <w:noProof/>
        </w:rPr>
        <w:fldChar w:fldCharType="begin"/>
      </w:r>
      <w:r>
        <w:rPr>
          <w:noProof/>
        </w:rPr>
        <w:instrText xml:space="preserve"> PAGEREF _Toc152929740 \h </w:instrText>
      </w:r>
      <w:r>
        <w:rPr>
          <w:noProof/>
        </w:rPr>
      </w:r>
      <w:r>
        <w:rPr>
          <w:noProof/>
        </w:rPr>
        <w:fldChar w:fldCharType="separate"/>
      </w:r>
      <w:r>
        <w:rPr>
          <w:noProof/>
        </w:rPr>
        <w:t>5</w:t>
      </w:r>
      <w:r>
        <w:rPr>
          <w:noProof/>
        </w:rPr>
        <w:fldChar w:fldCharType="end"/>
      </w:r>
    </w:p>
    <w:p w14:paraId="3FE3DD84" w14:textId="015B245A"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Pr>
          <w:noProof/>
        </w:rPr>
        <w:t>3.</w:t>
      </w:r>
      <w:r>
        <w:rPr>
          <w:rFonts w:asciiTheme="minorHAnsi" w:eastAsiaTheme="minorEastAsia" w:hAnsiTheme="minorHAnsi" w:cstheme="minorBidi"/>
          <w:noProof/>
          <w:kern w:val="2"/>
          <w:sz w:val="22"/>
          <w:szCs w:val="22"/>
          <w:lang w:val="en-GB" w:eastAsia="en-GB"/>
          <w14:ligatures w14:val="standardContextual"/>
        </w:rPr>
        <w:tab/>
      </w:r>
      <w:r>
        <w:rPr>
          <w:noProof/>
        </w:rPr>
        <w:t>Kit Contents</w:t>
      </w:r>
      <w:r>
        <w:rPr>
          <w:noProof/>
        </w:rPr>
        <w:tab/>
      </w:r>
      <w:r>
        <w:rPr>
          <w:noProof/>
        </w:rPr>
        <w:fldChar w:fldCharType="begin"/>
      </w:r>
      <w:r>
        <w:rPr>
          <w:noProof/>
        </w:rPr>
        <w:instrText xml:space="preserve"> PAGEREF _Toc152929741 \h </w:instrText>
      </w:r>
      <w:r>
        <w:rPr>
          <w:noProof/>
        </w:rPr>
      </w:r>
      <w:r>
        <w:rPr>
          <w:noProof/>
        </w:rPr>
        <w:fldChar w:fldCharType="separate"/>
      </w:r>
      <w:r>
        <w:rPr>
          <w:noProof/>
        </w:rPr>
        <w:t>6</w:t>
      </w:r>
      <w:r>
        <w:rPr>
          <w:noProof/>
        </w:rPr>
        <w:fldChar w:fldCharType="end"/>
      </w:r>
    </w:p>
    <w:p w14:paraId="23B5E6F9" w14:textId="30AF83AC"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Pr>
          <w:noProof/>
        </w:rPr>
        <w:t>4.</w:t>
      </w:r>
      <w:r>
        <w:rPr>
          <w:rFonts w:asciiTheme="minorHAnsi" w:eastAsiaTheme="minorEastAsia" w:hAnsiTheme="minorHAnsi" w:cstheme="minorBidi"/>
          <w:noProof/>
          <w:kern w:val="2"/>
          <w:sz w:val="22"/>
          <w:szCs w:val="22"/>
          <w:lang w:val="en-GB" w:eastAsia="en-GB"/>
          <w14:ligatures w14:val="standardContextual"/>
        </w:rPr>
        <w:tab/>
      </w:r>
      <w:r>
        <w:rPr>
          <w:noProof/>
        </w:rPr>
        <w:t>Storage and Handling</w:t>
      </w:r>
      <w:r>
        <w:rPr>
          <w:noProof/>
        </w:rPr>
        <w:tab/>
      </w:r>
      <w:r>
        <w:rPr>
          <w:noProof/>
        </w:rPr>
        <w:fldChar w:fldCharType="begin"/>
      </w:r>
      <w:r>
        <w:rPr>
          <w:noProof/>
        </w:rPr>
        <w:instrText xml:space="preserve"> PAGEREF _Toc152929742 \h </w:instrText>
      </w:r>
      <w:r>
        <w:rPr>
          <w:noProof/>
        </w:rPr>
      </w:r>
      <w:r>
        <w:rPr>
          <w:noProof/>
        </w:rPr>
        <w:fldChar w:fldCharType="separate"/>
      </w:r>
      <w:r>
        <w:rPr>
          <w:noProof/>
        </w:rPr>
        <w:t>7</w:t>
      </w:r>
      <w:r>
        <w:rPr>
          <w:noProof/>
        </w:rPr>
        <w:fldChar w:fldCharType="end"/>
      </w:r>
    </w:p>
    <w:p w14:paraId="146AA604" w14:textId="17569063"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Pr>
          <w:noProof/>
        </w:rPr>
        <w:t>5.</w:t>
      </w:r>
      <w:r>
        <w:rPr>
          <w:rFonts w:asciiTheme="minorHAnsi" w:eastAsiaTheme="minorEastAsia" w:hAnsiTheme="minorHAnsi" w:cstheme="minorBidi"/>
          <w:noProof/>
          <w:kern w:val="2"/>
          <w:sz w:val="22"/>
          <w:szCs w:val="22"/>
          <w:lang w:val="en-GB" w:eastAsia="en-GB"/>
          <w14:ligatures w14:val="standardContextual"/>
        </w:rPr>
        <w:tab/>
      </w:r>
      <w:r>
        <w:rPr>
          <w:noProof/>
        </w:rPr>
        <w:t>Additional Materials Required</w:t>
      </w:r>
      <w:r>
        <w:rPr>
          <w:noProof/>
        </w:rPr>
        <w:tab/>
      </w:r>
      <w:r>
        <w:rPr>
          <w:noProof/>
        </w:rPr>
        <w:fldChar w:fldCharType="begin"/>
      </w:r>
      <w:r>
        <w:rPr>
          <w:noProof/>
        </w:rPr>
        <w:instrText xml:space="preserve"> PAGEREF _Toc152929743 \h </w:instrText>
      </w:r>
      <w:r>
        <w:rPr>
          <w:noProof/>
        </w:rPr>
      </w:r>
      <w:r>
        <w:rPr>
          <w:noProof/>
        </w:rPr>
        <w:fldChar w:fldCharType="separate"/>
      </w:r>
      <w:r>
        <w:rPr>
          <w:noProof/>
        </w:rPr>
        <w:t>7</w:t>
      </w:r>
      <w:r>
        <w:rPr>
          <w:noProof/>
        </w:rPr>
        <w:fldChar w:fldCharType="end"/>
      </w:r>
    </w:p>
    <w:p w14:paraId="5A6FACD6" w14:textId="69E45414"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Pr>
          <w:noProof/>
        </w:rPr>
        <w:t>6.</w:t>
      </w:r>
      <w:r>
        <w:rPr>
          <w:rFonts w:asciiTheme="minorHAnsi" w:eastAsiaTheme="minorEastAsia" w:hAnsiTheme="minorHAnsi" w:cstheme="minorBidi"/>
          <w:noProof/>
          <w:kern w:val="2"/>
          <w:sz w:val="22"/>
          <w:szCs w:val="22"/>
          <w:lang w:val="en-GB" w:eastAsia="en-GB"/>
          <w14:ligatures w14:val="standardContextual"/>
        </w:rPr>
        <w:tab/>
      </w:r>
      <w:r>
        <w:rPr>
          <w:noProof/>
        </w:rPr>
        <w:t>Reagent Preparation</w:t>
      </w:r>
      <w:r>
        <w:rPr>
          <w:noProof/>
        </w:rPr>
        <w:tab/>
      </w:r>
      <w:r>
        <w:rPr>
          <w:noProof/>
        </w:rPr>
        <w:fldChar w:fldCharType="begin"/>
      </w:r>
      <w:r>
        <w:rPr>
          <w:noProof/>
        </w:rPr>
        <w:instrText xml:space="preserve"> PAGEREF _Toc152929744 \h </w:instrText>
      </w:r>
      <w:r>
        <w:rPr>
          <w:noProof/>
        </w:rPr>
      </w:r>
      <w:r>
        <w:rPr>
          <w:noProof/>
        </w:rPr>
        <w:fldChar w:fldCharType="separate"/>
      </w:r>
      <w:r>
        <w:rPr>
          <w:noProof/>
        </w:rPr>
        <w:t>8</w:t>
      </w:r>
      <w:r>
        <w:rPr>
          <w:noProof/>
        </w:rPr>
        <w:fldChar w:fldCharType="end"/>
      </w:r>
    </w:p>
    <w:p w14:paraId="09466F3A" w14:textId="46074375"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Pr>
          <w:noProof/>
        </w:rPr>
        <w:t>7.</w:t>
      </w:r>
      <w:r>
        <w:rPr>
          <w:rFonts w:asciiTheme="minorHAnsi" w:eastAsiaTheme="minorEastAsia" w:hAnsiTheme="minorHAnsi" w:cstheme="minorBidi"/>
          <w:noProof/>
          <w:kern w:val="2"/>
          <w:sz w:val="22"/>
          <w:szCs w:val="22"/>
          <w:lang w:val="en-GB" w:eastAsia="en-GB"/>
          <w14:ligatures w14:val="standardContextual"/>
        </w:rPr>
        <w:tab/>
      </w:r>
      <w:r>
        <w:rPr>
          <w:noProof/>
        </w:rPr>
        <w:t>Test sample Preparation</w:t>
      </w:r>
      <w:r>
        <w:rPr>
          <w:noProof/>
        </w:rPr>
        <w:tab/>
      </w:r>
      <w:r>
        <w:rPr>
          <w:noProof/>
        </w:rPr>
        <w:fldChar w:fldCharType="begin"/>
      </w:r>
      <w:r>
        <w:rPr>
          <w:noProof/>
        </w:rPr>
        <w:instrText xml:space="preserve"> PAGEREF _Toc152929745 \h </w:instrText>
      </w:r>
      <w:r>
        <w:rPr>
          <w:noProof/>
        </w:rPr>
      </w:r>
      <w:r>
        <w:rPr>
          <w:noProof/>
        </w:rPr>
        <w:fldChar w:fldCharType="separate"/>
      </w:r>
      <w:r>
        <w:rPr>
          <w:noProof/>
        </w:rPr>
        <w:t>8</w:t>
      </w:r>
      <w:r>
        <w:rPr>
          <w:noProof/>
        </w:rPr>
        <w:fldChar w:fldCharType="end"/>
      </w:r>
    </w:p>
    <w:p w14:paraId="6E25C39B" w14:textId="0C1A703C"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Pr>
          <w:noProof/>
        </w:rPr>
        <w:t>8.</w:t>
      </w:r>
      <w:r>
        <w:rPr>
          <w:rFonts w:asciiTheme="minorHAnsi" w:eastAsiaTheme="minorEastAsia" w:hAnsiTheme="minorHAnsi" w:cstheme="minorBidi"/>
          <w:noProof/>
          <w:kern w:val="2"/>
          <w:sz w:val="22"/>
          <w:szCs w:val="22"/>
          <w:lang w:val="en-GB" w:eastAsia="en-GB"/>
          <w14:ligatures w14:val="standardContextual"/>
        </w:rPr>
        <w:tab/>
      </w:r>
      <w:r>
        <w:rPr>
          <w:noProof/>
        </w:rPr>
        <w:t>Assay Procedure</w:t>
      </w:r>
      <w:r>
        <w:rPr>
          <w:noProof/>
        </w:rPr>
        <w:tab/>
      </w:r>
      <w:r>
        <w:rPr>
          <w:noProof/>
        </w:rPr>
        <w:fldChar w:fldCharType="begin"/>
      </w:r>
      <w:r>
        <w:rPr>
          <w:noProof/>
        </w:rPr>
        <w:instrText xml:space="preserve"> PAGEREF _Toc152929746 \h </w:instrText>
      </w:r>
      <w:r>
        <w:rPr>
          <w:noProof/>
        </w:rPr>
      </w:r>
      <w:r>
        <w:rPr>
          <w:noProof/>
        </w:rPr>
        <w:fldChar w:fldCharType="separate"/>
      </w:r>
      <w:r>
        <w:rPr>
          <w:noProof/>
        </w:rPr>
        <w:t>11</w:t>
      </w:r>
      <w:r>
        <w:rPr>
          <w:noProof/>
        </w:rPr>
        <w:fldChar w:fldCharType="end"/>
      </w:r>
    </w:p>
    <w:p w14:paraId="39CE12B6" w14:textId="6386401C"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Pr>
          <w:noProof/>
        </w:rPr>
        <w:t>9.</w:t>
      </w:r>
      <w:r>
        <w:rPr>
          <w:rFonts w:asciiTheme="minorHAnsi" w:eastAsiaTheme="minorEastAsia" w:hAnsiTheme="minorHAnsi" w:cstheme="minorBidi"/>
          <w:noProof/>
          <w:kern w:val="2"/>
          <w:sz w:val="22"/>
          <w:szCs w:val="22"/>
          <w:lang w:val="en-GB" w:eastAsia="en-GB"/>
          <w14:ligatures w14:val="standardContextual"/>
        </w:rPr>
        <w:tab/>
      </w:r>
      <w:r>
        <w:rPr>
          <w:noProof/>
        </w:rPr>
        <w:t>Data Analysis</w:t>
      </w:r>
      <w:r>
        <w:rPr>
          <w:noProof/>
        </w:rPr>
        <w:tab/>
      </w:r>
      <w:r>
        <w:rPr>
          <w:noProof/>
        </w:rPr>
        <w:fldChar w:fldCharType="begin"/>
      </w:r>
      <w:r>
        <w:rPr>
          <w:noProof/>
        </w:rPr>
        <w:instrText xml:space="preserve"> PAGEREF _Toc152929747 \h </w:instrText>
      </w:r>
      <w:r>
        <w:rPr>
          <w:noProof/>
        </w:rPr>
      </w:r>
      <w:r>
        <w:rPr>
          <w:noProof/>
        </w:rPr>
        <w:fldChar w:fldCharType="separate"/>
      </w:r>
      <w:r>
        <w:rPr>
          <w:noProof/>
        </w:rPr>
        <w:t>13</w:t>
      </w:r>
      <w:r>
        <w:rPr>
          <w:noProof/>
        </w:rPr>
        <w:fldChar w:fldCharType="end"/>
      </w:r>
    </w:p>
    <w:p w14:paraId="31B09E45" w14:textId="4CAC1F97" w:rsidR="009E3EF5" w:rsidRDefault="009E3EF5">
      <w:pPr>
        <w:pStyle w:val="TOC1"/>
        <w:rPr>
          <w:rFonts w:asciiTheme="minorHAnsi" w:eastAsiaTheme="minorEastAsia" w:hAnsiTheme="minorHAnsi" w:cstheme="minorBidi"/>
          <w:noProof/>
          <w:kern w:val="2"/>
          <w:sz w:val="22"/>
          <w:szCs w:val="22"/>
          <w:lang w:val="en-GB" w:eastAsia="en-GB"/>
          <w14:ligatures w14:val="standardContextual"/>
        </w:rPr>
      </w:pPr>
      <w:r w:rsidRPr="00347530">
        <w:rPr>
          <w:noProof/>
          <w:lang w:val="en-GB"/>
        </w:rPr>
        <w:t>10.</w:t>
      </w:r>
      <w:r>
        <w:rPr>
          <w:rFonts w:asciiTheme="minorHAnsi" w:eastAsiaTheme="minorEastAsia" w:hAnsiTheme="minorHAnsi" w:cstheme="minorBidi"/>
          <w:noProof/>
          <w:kern w:val="2"/>
          <w:sz w:val="22"/>
          <w:szCs w:val="22"/>
          <w:lang w:val="en-GB" w:eastAsia="en-GB"/>
          <w14:ligatures w14:val="standardContextual"/>
        </w:rPr>
        <w:tab/>
      </w:r>
      <w:r>
        <w:rPr>
          <w:noProof/>
        </w:rPr>
        <w:t>Troubleshooting</w:t>
      </w:r>
      <w:r>
        <w:rPr>
          <w:noProof/>
        </w:rPr>
        <w:tab/>
      </w:r>
      <w:r>
        <w:rPr>
          <w:noProof/>
        </w:rPr>
        <w:fldChar w:fldCharType="begin"/>
      </w:r>
      <w:r>
        <w:rPr>
          <w:noProof/>
        </w:rPr>
        <w:instrText xml:space="preserve"> PAGEREF _Toc152929748 \h </w:instrText>
      </w:r>
      <w:r>
        <w:rPr>
          <w:noProof/>
        </w:rPr>
      </w:r>
      <w:r>
        <w:rPr>
          <w:noProof/>
        </w:rPr>
        <w:fldChar w:fldCharType="separate"/>
      </w:r>
      <w:r>
        <w:rPr>
          <w:noProof/>
        </w:rPr>
        <w:t>18</w:t>
      </w:r>
      <w:r>
        <w:rPr>
          <w:noProof/>
        </w:rPr>
        <w:fldChar w:fldCharType="end"/>
      </w:r>
    </w:p>
    <w:p w14:paraId="532F6012" w14:textId="58E40E52" w:rsidR="00812693" w:rsidRPr="009E3EF5" w:rsidRDefault="00883818">
      <w:pPr>
        <w:spacing w:before="0" w:line="240" w:lineRule="auto"/>
        <w:jc w:val="left"/>
        <w:rPr>
          <w:rFonts w:cs="Arial"/>
          <w:lang w:val="en-AU"/>
        </w:rPr>
      </w:pPr>
      <w:r w:rsidRPr="006E17B3">
        <w:rPr>
          <w:rFonts w:cs="Arial"/>
        </w:rPr>
        <w:fldChar w:fldCharType="end"/>
      </w:r>
    </w:p>
    <w:p w14:paraId="5B858241" w14:textId="77777777" w:rsidR="00C61C56" w:rsidRPr="00B66C3B" w:rsidRDefault="00C61C56" w:rsidP="00C61C56">
      <w:pPr>
        <w:pStyle w:val="Heading1"/>
        <w:numPr>
          <w:ilvl w:val="0"/>
          <w:numId w:val="23"/>
        </w:numPr>
      </w:pPr>
      <w:bookmarkStart w:id="5" w:name="_Toc273532550"/>
      <w:bookmarkStart w:id="6" w:name="_Toc152929739"/>
      <w:r w:rsidRPr="0067235F">
        <w:lastRenderedPageBreak/>
        <w:t>Introduction</w:t>
      </w:r>
      <w:bookmarkEnd w:id="5"/>
      <w:bookmarkEnd w:id="6"/>
    </w:p>
    <w:p w14:paraId="2BE2F126" w14:textId="77777777" w:rsidR="00C61C56" w:rsidRDefault="00C61C56" w:rsidP="00C61C56">
      <w:pPr>
        <w:autoSpaceDE w:val="0"/>
        <w:autoSpaceDN w:val="0"/>
        <w:adjustRightInd w:val="0"/>
        <w:rPr>
          <w:szCs w:val="20"/>
          <w:lang w:val="en-GB"/>
        </w:rPr>
      </w:pPr>
      <w:r w:rsidRPr="00D77856">
        <w:rPr>
          <w:b/>
          <w:szCs w:val="20"/>
          <w:lang w:val="en-GB"/>
        </w:rPr>
        <w:t xml:space="preserve">Principle: </w:t>
      </w:r>
      <w:r w:rsidRPr="00D77856">
        <w:rPr>
          <w:szCs w:val="20"/>
          <w:lang w:val="en-GB"/>
        </w:rPr>
        <w:t>The microplate assay</w:t>
      </w:r>
      <w:r w:rsidRPr="00FB4879">
        <w:rPr>
          <w:szCs w:val="20"/>
          <w:lang w:val="en-GB"/>
        </w:rPr>
        <w:t xml:space="preserve"> </w:t>
      </w:r>
      <w:r>
        <w:rPr>
          <w:szCs w:val="20"/>
          <w:lang w:val="en-GB"/>
        </w:rPr>
        <w:t>ab119692</w:t>
      </w:r>
      <w:r w:rsidRPr="00D77856">
        <w:rPr>
          <w:szCs w:val="20"/>
          <w:lang w:val="en-GB"/>
        </w:rPr>
        <w:t xml:space="preserve"> is used to determine mitochondrial </w:t>
      </w:r>
      <w:r>
        <w:rPr>
          <w:szCs w:val="20"/>
          <w:lang w:val="en-GB"/>
        </w:rPr>
        <w:t xml:space="preserve">citrate synthase </w:t>
      </w:r>
      <w:r w:rsidRPr="00D77856">
        <w:rPr>
          <w:szCs w:val="20"/>
          <w:lang w:val="en-GB"/>
        </w:rPr>
        <w:t>(</w:t>
      </w:r>
      <w:r>
        <w:rPr>
          <w:szCs w:val="20"/>
          <w:lang w:val="en-GB"/>
        </w:rPr>
        <w:t>CS</w:t>
      </w:r>
      <w:r w:rsidRPr="00D77856">
        <w:rPr>
          <w:szCs w:val="20"/>
          <w:lang w:val="en-GB"/>
        </w:rPr>
        <w:t>)</w:t>
      </w:r>
      <w:r>
        <w:rPr>
          <w:szCs w:val="20"/>
          <w:lang w:val="en-GB"/>
        </w:rPr>
        <w:t xml:space="preserve">  </w:t>
      </w:r>
      <w:r w:rsidRPr="00D77856">
        <w:rPr>
          <w:szCs w:val="20"/>
          <w:lang w:val="en-GB"/>
        </w:rPr>
        <w:t xml:space="preserve">activity </w:t>
      </w:r>
      <w:r>
        <w:rPr>
          <w:szCs w:val="20"/>
          <w:lang w:val="en-GB"/>
        </w:rPr>
        <w:t>in a sample at an immunocapture based manner</w:t>
      </w:r>
      <w:r w:rsidRPr="00D77856">
        <w:rPr>
          <w:szCs w:val="20"/>
          <w:lang w:val="en-GB"/>
        </w:rPr>
        <w:t>.  The enzyme is captured within the wells of the mi</w:t>
      </w:r>
      <w:r>
        <w:rPr>
          <w:szCs w:val="20"/>
          <w:lang w:val="en-GB"/>
        </w:rPr>
        <w:t>c</w:t>
      </w:r>
      <w:r w:rsidRPr="00D77856">
        <w:rPr>
          <w:szCs w:val="20"/>
          <w:lang w:val="en-GB"/>
        </w:rPr>
        <w:t>ropl</w:t>
      </w:r>
      <w:r>
        <w:rPr>
          <w:szCs w:val="20"/>
          <w:lang w:val="en-GB"/>
        </w:rPr>
        <w:t>a</w:t>
      </w:r>
      <w:r w:rsidRPr="00D77856">
        <w:rPr>
          <w:szCs w:val="20"/>
          <w:lang w:val="en-GB"/>
        </w:rPr>
        <w:t>te</w:t>
      </w:r>
      <w:r>
        <w:rPr>
          <w:szCs w:val="20"/>
          <w:lang w:val="en-GB"/>
        </w:rPr>
        <w:t xml:space="preserve">, </w:t>
      </w:r>
      <w:r w:rsidRPr="00D77856">
        <w:rPr>
          <w:szCs w:val="20"/>
          <w:lang w:val="en-GB"/>
        </w:rPr>
        <w:t xml:space="preserve">and activity is determined </w:t>
      </w:r>
      <w:r>
        <w:rPr>
          <w:szCs w:val="20"/>
          <w:lang w:val="en-GB"/>
        </w:rPr>
        <w:t>by recording</w:t>
      </w:r>
      <w:r w:rsidRPr="00FB4879">
        <w:rPr>
          <w:szCs w:val="20"/>
          <w:lang w:val="en-GB"/>
        </w:rPr>
        <w:t xml:space="preserve"> color</w:t>
      </w:r>
      <w:r>
        <w:rPr>
          <w:szCs w:val="20"/>
          <w:lang w:val="en-GB"/>
        </w:rPr>
        <w:t xml:space="preserve"> development</w:t>
      </w:r>
      <w:r w:rsidRPr="00FB4879">
        <w:rPr>
          <w:szCs w:val="20"/>
          <w:lang w:val="en-GB"/>
        </w:rPr>
        <w:t xml:space="preserve"> of TNB, which is generated from DTNB present in the</w:t>
      </w:r>
      <w:r>
        <w:rPr>
          <w:szCs w:val="20"/>
          <w:lang w:val="en-GB"/>
        </w:rPr>
        <w:t xml:space="preserve"> reaction of citrate synthesis. </w:t>
      </w:r>
      <w:r w:rsidRPr="00FB4879">
        <w:rPr>
          <w:szCs w:val="20"/>
          <w:lang w:val="en-GB"/>
        </w:rPr>
        <w:t xml:space="preserve">The overall reaction product, TNB, absorbs at 412 nm.  </w:t>
      </w:r>
    </w:p>
    <w:tbl>
      <w:tblPr>
        <w:tblStyle w:val="TableGrid"/>
        <w:tblW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536"/>
        <w:gridCol w:w="2777"/>
      </w:tblGrid>
      <w:tr w:rsidR="00C76C15" w14:paraId="730AD78F" w14:textId="77777777" w:rsidTr="00C76C15">
        <w:tc>
          <w:tcPr>
            <w:tcW w:w="3227" w:type="dxa"/>
          </w:tcPr>
          <w:p w14:paraId="3C4A0A1C" w14:textId="77777777" w:rsidR="00C76C15" w:rsidRDefault="00C76C15" w:rsidP="00C76C15">
            <w:pPr>
              <w:autoSpaceDE w:val="0"/>
              <w:autoSpaceDN w:val="0"/>
              <w:adjustRightInd w:val="0"/>
              <w:rPr>
                <w:szCs w:val="20"/>
                <w:lang w:val="en-GB"/>
              </w:rPr>
            </w:pPr>
            <w:r>
              <w:rPr>
                <w:szCs w:val="20"/>
                <w:lang w:val="en-GB"/>
              </w:rPr>
              <w:t xml:space="preserve">oxaloacetate </w:t>
            </w:r>
            <w:r w:rsidRPr="00FF66F7">
              <w:rPr>
                <w:szCs w:val="20"/>
                <w:lang w:val="en-GB"/>
              </w:rPr>
              <w:t>+</w:t>
            </w:r>
            <w:r>
              <w:rPr>
                <w:szCs w:val="20"/>
                <w:lang w:val="en-GB"/>
              </w:rPr>
              <w:t xml:space="preserve"> Acetyl CoA + H</w:t>
            </w:r>
            <w:r w:rsidRPr="00FB4879">
              <w:rPr>
                <w:szCs w:val="20"/>
                <w:vertAlign w:val="subscript"/>
                <w:lang w:val="en-GB"/>
              </w:rPr>
              <w:t>2</w:t>
            </w:r>
            <w:r>
              <w:rPr>
                <w:szCs w:val="20"/>
                <w:lang w:val="en-GB"/>
              </w:rPr>
              <w:t>O</w:t>
            </w:r>
          </w:p>
        </w:tc>
        <w:tc>
          <w:tcPr>
            <w:tcW w:w="425" w:type="dxa"/>
            <w:vAlign w:val="bottom"/>
          </w:tcPr>
          <w:p w14:paraId="7F729CB3" w14:textId="77777777" w:rsidR="00C76C15" w:rsidRDefault="00C76C15" w:rsidP="00C76C15">
            <w:pPr>
              <w:autoSpaceDE w:val="0"/>
              <w:autoSpaceDN w:val="0"/>
              <w:adjustRightInd w:val="0"/>
              <w:spacing w:before="120"/>
              <w:jc w:val="center"/>
              <w:rPr>
                <w:szCs w:val="20"/>
                <w:lang w:val="en-GB"/>
              </w:rPr>
            </w:pPr>
            <w:r w:rsidRPr="00C76C15">
              <w:rPr>
                <w:sz w:val="32"/>
                <w:szCs w:val="20"/>
                <w:lang w:val="en-GB"/>
              </w:rPr>
              <w:t>→</w:t>
            </w:r>
          </w:p>
        </w:tc>
        <w:tc>
          <w:tcPr>
            <w:tcW w:w="2835" w:type="dxa"/>
          </w:tcPr>
          <w:p w14:paraId="6AF278A2" w14:textId="77777777" w:rsidR="00C76C15" w:rsidRDefault="00C76C15" w:rsidP="00C76C15">
            <w:pPr>
              <w:autoSpaceDE w:val="0"/>
              <w:autoSpaceDN w:val="0"/>
              <w:adjustRightInd w:val="0"/>
              <w:rPr>
                <w:szCs w:val="20"/>
                <w:lang w:val="en-GB"/>
              </w:rPr>
            </w:pPr>
            <w:r>
              <w:rPr>
                <w:szCs w:val="20"/>
                <w:lang w:val="en-GB"/>
              </w:rPr>
              <w:t xml:space="preserve">citrate + </w:t>
            </w:r>
            <w:r>
              <w:t>CoA-SH + H</w:t>
            </w:r>
            <w:r>
              <w:rPr>
                <w:vertAlign w:val="superscript"/>
              </w:rPr>
              <w:t>+</w:t>
            </w:r>
          </w:p>
        </w:tc>
      </w:tr>
      <w:tr w:rsidR="00C76C15" w14:paraId="7F71BB52" w14:textId="77777777" w:rsidTr="00C76C15">
        <w:trPr>
          <w:trHeight w:val="527"/>
        </w:trPr>
        <w:tc>
          <w:tcPr>
            <w:tcW w:w="3227" w:type="dxa"/>
            <w:vMerge w:val="restart"/>
          </w:tcPr>
          <w:p w14:paraId="01FC7AC5" w14:textId="77777777" w:rsidR="00C76C15" w:rsidRDefault="00C76C15" w:rsidP="00C76C15">
            <w:pPr>
              <w:autoSpaceDE w:val="0"/>
              <w:autoSpaceDN w:val="0"/>
              <w:adjustRightInd w:val="0"/>
              <w:spacing w:before="360"/>
              <w:jc w:val="center"/>
              <w:rPr>
                <w:szCs w:val="20"/>
                <w:lang w:val="en-GB"/>
              </w:rPr>
            </w:pPr>
            <w:r w:rsidRPr="00FB4879">
              <w:rPr>
                <w:szCs w:val="20"/>
                <w:lang w:val="en-GB"/>
              </w:rPr>
              <w:t>CoA-SH + DTNB</w:t>
            </w:r>
          </w:p>
        </w:tc>
        <w:tc>
          <w:tcPr>
            <w:tcW w:w="425" w:type="dxa"/>
          </w:tcPr>
          <w:p w14:paraId="4DFE87BF" w14:textId="77777777" w:rsidR="00C76C15" w:rsidRDefault="00C76C15" w:rsidP="00C76C15">
            <w:pPr>
              <w:autoSpaceDE w:val="0"/>
              <w:autoSpaceDN w:val="0"/>
              <w:adjustRightInd w:val="0"/>
              <w:rPr>
                <w:szCs w:val="20"/>
                <w:lang w:val="en-GB"/>
              </w:rPr>
            </w:pPr>
            <w:r w:rsidRPr="00C76C15">
              <w:rPr>
                <w:sz w:val="32"/>
                <w:szCs w:val="20"/>
                <w:lang w:val="en-GB"/>
              </w:rPr>
              <w:t>→</w:t>
            </w:r>
          </w:p>
        </w:tc>
        <w:tc>
          <w:tcPr>
            <w:tcW w:w="2835" w:type="dxa"/>
          </w:tcPr>
          <w:p w14:paraId="38AA7C5D" w14:textId="77777777" w:rsidR="00C76C15" w:rsidRDefault="00C76C15" w:rsidP="00C76C15">
            <w:pPr>
              <w:spacing w:before="360"/>
              <w:jc w:val="left"/>
              <w:rPr>
                <w:szCs w:val="20"/>
                <w:lang w:val="en-GB"/>
              </w:rPr>
            </w:pPr>
            <w:r>
              <w:rPr>
                <w:szCs w:val="20"/>
                <w:lang w:val="en-GB"/>
              </w:rPr>
              <w:t xml:space="preserve">  </w:t>
            </w:r>
            <w:r w:rsidRPr="00FB4879">
              <w:rPr>
                <w:szCs w:val="20"/>
                <w:lang w:val="en-GB"/>
              </w:rPr>
              <w:t>TNB + CoA-S-S-TNB</w:t>
            </w:r>
          </w:p>
        </w:tc>
      </w:tr>
      <w:tr w:rsidR="00C76C15" w14:paraId="4F8C506D" w14:textId="77777777" w:rsidTr="00C76C15">
        <w:trPr>
          <w:trHeight w:val="388"/>
        </w:trPr>
        <w:tc>
          <w:tcPr>
            <w:tcW w:w="3227" w:type="dxa"/>
            <w:vMerge/>
          </w:tcPr>
          <w:p w14:paraId="492C3A31" w14:textId="77777777" w:rsidR="00C76C15" w:rsidRPr="00FB4879" w:rsidRDefault="00C76C15" w:rsidP="00C76C15">
            <w:pPr>
              <w:autoSpaceDE w:val="0"/>
              <w:autoSpaceDN w:val="0"/>
              <w:adjustRightInd w:val="0"/>
              <w:jc w:val="right"/>
              <w:rPr>
                <w:szCs w:val="20"/>
                <w:lang w:val="en-GB"/>
              </w:rPr>
            </w:pPr>
          </w:p>
        </w:tc>
        <w:tc>
          <w:tcPr>
            <w:tcW w:w="3260" w:type="dxa"/>
            <w:gridSpan w:val="2"/>
          </w:tcPr>
          <w:p w14:paraId="40C137F4" w14:textId="77777777" w:rsidR="00C76C15" w:rsidRPr="00FB4879" w:rsidRDefault="00C76C15" w:rsidP="00C76C15">
            <w:pPr>
              <w:spacing w:before="0"/>
              <w:rPr>
                <w:szCs w:val="20"/>
                <w:lang w:val="en-GB"/>
              </w:rPr>
            </w:pPr>
            <w:r>
              <w:rPr>
                <w:szCs w:val="20"/>
                <w:lang w:val="en-GB"/>
              </w:rPr>
              <w:t xml:space="preserve">       </w:t>
            </w:r>
            <w:r w:rsidRPr="00FF66F7">
              <w:rPr>
                <w:szCs w:val="20"/>
                <w:lang w:val="en-GB"/>
              </w:rPr>
              <w:t>(↑ Absorbance at 4</w:t>
            </w:r>
            <w:r>
              <w:rPr>
                <w:szCs w:val="20"/>
                <w:lang w:val="en-GB"/>
              </w:rPr>
              <w:t>12</w:t>
            </w:r>
            <w:r w:rsidRPr="00FF66F7">
              <w:rPr>
                <w:szCs w:val="20"/>
                <w:lang w:val="en-GB"/>
              </w:rPr>
              <w:t xml:space="preserve"> nm)</w:t>
            </w:r>
          </w:p>
        </w:tc>
      </w:tr>
    </w:tbl>
    <w:p w14:paraId="54F635B2" w14:textId="77777777" w:rsidR="00C61C56" w:rsidRDefault="00C61C56" w:rsidP="00C61C56">
      <w:pPr>
        <w:rPr>
          <w:szCs w:val="20"/>
          <w:lang w:val="en-GB"/>
        </w:rPr>
      </w:pPr>
      <w:r w:rsidRPr="003B37CF">
        <w:rPr>
          <w:szCs w:val="20"/>
          <w:lang w:val="en-GB"/>
        </w:rPr>
        <w:t>ab119692</w:t>
      </w:r>
      <w:r>
        <w:rPr>
          <w:szCs w:val="20"/>
          <w:lang w:val="en-GB"/>
        </w:rPr>
        <w:t xml:space="preserve"> specifically i</w:t>
      </w:r>
      <w:r w:rsidRPr="00FF66F7">
        <w:rPr>
          <w:szCs w:val="20"/>
          <w:lang w:val="en-GB"/>
        </w:rPr>
        <w:t xml:space="preserve">mmunocaptures only native </w:t>
      </w:r>
      <w:r>
        <w:rPr>
          <w:szCs w:val="20"/>
          <w:lang w:val="en-GB"/>
        </w:rPr>
        <w:t xml:space="preserve">citrate synthase in well from the applied test </w:t>
      </w:r>
      <w:r w:rsidRPr="00FF66F7">
        <w:rPr>
          <w:szCs w:val="20"/>
          <w:lang w:val="en-GB"/>
        </w:rPr>
        <w:t>sample</w:t>
      </w:r>
      <w:r>
        <w:rPr>
          <w:szCs w:val="20"/>
          <w:lang w:val="en-GB"/>
        </w:rPr>
        <w:t>.</w:t>
      </w:r>
      <w:r w:rsidRPr="00FF66F7">
        <w:rPr>
          <w:szCs w:val="20"/>
          <w:lang w:val="en-GB"/>
        </w:rPr>
        <w:t xml:space="preserve"> T</w:t>
      </w:r>
      <w:r>
        <w:rPr>
          <w:szCs w:val="20"/>
          <w:lang w:val="en-GB"/>
        </w:rPr>
        <w:t xml:space="preserve">he immunocapture based activity assay allows researchers to measure citrate synthase activity with simple sample preparation and no need for mitochondria isolation. </w:t>
      </w:r>
    </w:p>
    <w:p w14:paraId="0476CE2D" w14:textId="77777777" w:rsidR="00C61C56" w:rsidRDefault="00C61C56" w:rsidP="00C61C56">
      <w:pPr>
        <w:spacing w:before="0"/>
        <w:rPr>
          <w:szCs w:val="20"/>
          <w:lang w:val="en-GB"/>
        </w:rPr>
      </w:pPr>
      <w:r w:rsidRPr="00F03801">
        <w:rPr>
          <w:szCs w:val="20"/>
          <w:lang w:val="en-GB"/>
        </w:rPr>
        <w:t xml:space="preserve">The </w:t>
      </w:r>
      <w:r>
        <w:rPr>
          <w:szCs w:val="20"/>
          <w:lang w:val="en-GB"/>
        </w:rPr>
        <w:t>k</w:t>
      </w:r>
      <w:r w:rsidRPr="00F03801">
        <w:rPr>
          <w:szCs w:val="20"/>
          <w:lang w:val="en-GB"/>
        </w:rPr>
        <w:t xml:space="preserve">it contains all the required reagents for a fast and simple measurement of citrate synthase activity in a whole cell extract or in tissue homogenate. </w:t>
      </w:r>
    </w:p>
    <w:p w14:paraId="5CD04606" w14:textId="77777777" w:rsidR="00C61C56" w:rsidRDefault="00C61C56" w:rsidP="00C61C56">
      <w:r>
        <w:rPr>
          <w:b/>
          <w:szCs w:val="20"/>
          <w:lang w:val="en-GB"/>
        </w:rPr>
        <w:br w:type="page"/>
      </w:r>
      <w:r w:rsidRPr="00D77856">
        <w:rPr>
          <w:b/>
          <w:szCs w:val="20"/>
          <w:lang w:val="en-GB"/>
        </w:rPr>
        <w:lastRenderedPageBreak/>
        <w:t>Background:</w:t>
      </w:r>
      <w:r>
        <w:rPr>
          <w:szCs w:val="20"/>
          <w:lang w:val="en-GB"/>
        </w:rPr>
        <w:t xml:space="preserve"> </w:t>
      </w:r>
      <w:r>
        <w:t xml:space="preserve">Citrate synthase </w:t>
      </w:r>
      <w:r w:rsidRPr="00FF66F7">
        <w:rPr>
          <w:szCs w:val="20"/>
          <w:lang w:val="en-GB"/>
        </w:rPr>
        <w:t>(</w:t>
      </w:r>
      <w:r>
        <w:rPr>
          <w:szCs w:val="20"/>
          <w:lang w:val="en-GB"/>
        </w:rPr>
        <w:t>CS, O75390</w:t>
      </w:r>
      <w:r w:rsidRPr="00FF66F7">
        <w:rPr>
          <w:szCs w:val="20"/>
          <w:lang w:val="en-GB"/>
        </w:rPr>
        <w:t xml:space="preserve">) </w:t>
      </w:r>
      <w:r>
        <w:t xml:space="preserve">is the initial enzyme of the tricarboxylic acid (TCA) cycle. </w:t>
      </w:r>
      <w:r>
        <w:rPr>
          <w:szCs w:val="20"/>
          <w:lang w:val="en-GB"/>
        </w:rPr>
        <w:t>This enzyme</w:t>
      </w:r>
      <w:r w:rsidRPr="00FF66F7">
        <w:rPr>
          <w:szCs w:val="20"/>
          <w:lang w:val="en-GB"/>
        </w:rPr>
        <w:t xml:space="preserve"> is a </w:t>
      </w:r>
      <w:r>
        <w:rPr>
          <w:szCs w:val="20"/>
          <w:lang w:val="en-GB"/>
        </w:rPr>
        <w:t>51.7</w:t>
      </w:r>
      <w:r w:rsidRPr="00FF66F7">
        <w:rPr>
          <w:szCs w:val="20"/>
          <w:lang w:val="en-GB"/>
        </w:rPr>
        <w:t xml:space="preserve"> kDa enzyme that catalyzes</w:t>
      </w:r>
      <w:r>
        <w:rPr>
          <w:szCs w:val="20"/>
          <w:lang w:val="en-GB"/>
        </w:rPr>
        <w:t xml:space="preserve"> </w:t>
      </w:r>
      <w:r>
        <w:t xml:space="preserve">the reaction of 2 carbon acetyl CoA with 4 carbon oxaloacetate to form the 6 carbon citrate </w:t>
      </w:r>
      <w:r w:rsidRPr="00FF66F7">
        <w:rPr>
          <w:szCs w:val="20"/>
          <w:lang w:val="en-GB"/>
        </w:rPr>
        <w:t xml:space="preserve">(EC </w:t>
      </w:r>
      <w:r>
        <w:rPr>
          <w:szCs w:val="20"/>
          <w:lang w:val="en-GB"/>
        </w:rPr>
        <w:t>2.3.3.1</w:t>
      </w:r>
      <w:r w:rsidRPr="00FF66F7">
        <w:rPr>
          <w:szCs w:val="20"/>
          <w:lang w:val="en-GB"/>
        </w:rPr>
        <w:t>)</w:t>
      </w:r>
      <w:r>
        <w:t xml:space="preserve">. This enzyme is an exclusive marker of the mitochondrial matrix. Citrate synthase is found in nearly all cells capable of oxidative metabolism. </w:t>
      </w:r>
    </w:p>
    <w:p w14:paraId="3D1B3E6E" w14:textId="77777777" w:rsidR="00C61C56" w:rsidRDefault="00C61C56" w:rsidP="00C61C56">
      <w:pPr>
        <w:rPr>
          <w:b/>
        </w:rPr>
      </w:pPr>
      <w:r>
        <w:rPr>
          <w:b/>
        </w:rPr>
        <w:t>Limitations:</w:t>
      </w:r>
    </w:p>
    <w:p w14:paraId="5936CB2A" w14:textId="77777777" w:rsidR="00C61C56" w:rsidRPr="00637985" w:rsidRDefault="00C61C56" w:rsidP="00C61C56">
      <w:pPr>
        <w:numPr>
          <w:ilvl w:val="0"/>
          <w:numId w:val="32"/>
        </w:numPr>
        <w:spacing w:before="0" w:after="120"/>
        <w:ind w:left="714" w:hanging="357"/>
        <w:jc w:val="left"/>
      </w:pPr>
      <w:r w:rsidRPr="00637985">
        <w:t>FOR RESEARCH US ONLY. NOT FOR DIAGNOSTIC PROCEDURES.</w:t>
      </w:r>
    </w:p>
    <w:p w14:paraId="261CF5DB" w14:textId="77777777" w:rsidR="00C61C56" w:rsidRPr="00637985" w:rsidRDefault="00C61C56" w:rsidP="00C61C56">
      <w:pPr>
        <w:numPr>
          <w:ilvl w:val="0"/>
          <w:numId w:val="32"/>
        </w:numPr>
        <w:spacing w:before="0" w:after="120"/>
        <w:ind w:left="714" w:hanging="357"/>
      </w:pPr>
      <w:r w:rsidRPr="00637985">
        <w:t>Use this kit before expiration date.</w:t>
      </w:r>
    </w:p>
    <w:p w14:paraId="4010A61B" w14:textId="77777777" w:rsidR="00C61C56" w:rsidRPr="00637985" w:rsidRDefault="00C61C56" w:rsidP="00C61C56">
      <w:pPr>
        <w:numPr>
          <w:ilvl w:val="0"/>
          <w:numId w:val="32"/>
        </w:numPr>
        <w:spacing w:before="0" w:after="120"/>
        <w:ind w:left="714" w:hanging="357"/>
      </w:pPr>
      <w:r w:rsidRPr="00637985">
        <w:t>Do not mix or substitute reagents from other lots or sources.</w:t>
      </w:r>
    </w:p>
    <w:p w14:paraId="59C12197" w14:textId="77777777" w:rsidR="00C61C56" w:rsidRDefault="00C61C56" w:rsidP="00C61C56">
      <w:pPr>
        <w:numPr>
          <w:ilvl w:val="0"/>
          <w:numId w:val="32"/>
        </w:numPr>
        <w:spacing w:before="0" w:after="120"/>
        <w:ind w:left="714" w:hanging="357"/>
      </w:pPr>
      <w:r w:rsidRPr="00637985">
        <w:t xml:space="preserve">If samples generate values </w:t>
      </w:r>
      <w:r>
        <w:t>outside of the range of the standard curve</w:t>
      </w:r>
      <w:r w:rsidRPr="00637985">
        <w:t>, further dilute the samples with 1X Incubation buffer and repeat the assay.</w:t>
      </w:r>
    </w:p>
    <w:p w14:paraId="61327824" w14:textId="77777777" w:rsidR="00C61C56" w:rsidRDefault="00C61C56" w:rsidP="00C61C56">
      <w:pPr>
        <w:numPr>
          <w:ilvl w:val="0"/>
          <w:numId w:val="32"/>
        </w:numPr>
        <w:spacing w:before="0" w:after="120"/>
        <w:ind w:left="714" w:hanging="357"/>
      </w:pPr>
      <w:r>
        <w:t>Any variation in operator, pipetting technique, washing technique, incubation time or temperature, and kit age can cause variation in binding.</w:t>
      </w:r>
    </w:p>
    <w:p w14:paraId="6837F88F" w14:textId="77777777" w:rsidR="00C61C56" w:rsidRDefault="00C61C56" w:rsidP="00C61C56">
      <w:pPr>
        <w:rPr>
          <w:b/>
        </w:rPr>
      </w:pPr>
      <w:r>
        <w:br w:type="page"/>
      </w:r>
      <w:r>
        <w:rPr>
          <w:b/>
        </w:rPr>
        <w:lastRenderedPageBreak/>
        <w:t>Technical Hints:</w:t>
      </w:r>
    </w:p>
    <w:p w14:paraId="46476CFA" w14:textId="77777777" w:rsidR="00C61C56" w:rsidRPr="00637985" w:rsidRDefault="00C61C56" w:rsidP="00C61C56">
      <w:pPr>
        <w:numPr>
          <w:ilvl w:val="0"/>
          <w:numId w:val="32"/>
        </w:numPr>
        <w:spacing w:before="0" w:after="120"/>
        <w:ind w:left="714" w:hanging="357"/>
      </w:pPr>
      <w:r>
        <w:t>To avoid cross contamination, change pipette tips between each addition of standard, sample and other reagents.  Also use separate clean, dry reservoirs for each reagent.</w:t>
      </w:r>
    </w:p>
    <w:p w14:paraId="3D2C834B" w14:textId="77777777" w:rsidR="00C61C56" w:rsidRPr="00637985" w:rsidRDefault="00C61C56" w:rsidP="00C61C56">
      <w:pPr>
        <w:numPr>
          <w:ilvl w:val="0"/>
          <w:numId w:val="32"/>
        </w:numPr>
        <w:spacing w:before="0" w:after="120"/>
        <w:ind w:left="714" w:hanging="357"/>
      </w:pPr>
      <w:r>
        <w:t>Cover plate during incubation steps.</w:t>
      </w:r>
    </w:p>
    <w:p w14:paraId="6FB5B13B" w14:textId="77777777" w:rsidR="00C61C56" w:rsidRDefault="00C61C56" w:rsidP="00C61C56">
      <w:pPr>
        <w:numPr>
          <w:ilvl w:val="0"/>
          <w:numId w:val="32"/>
        </w:numPr>
        <w:spacing w:before="0" w:after="120"/>
        <w:ind w:left="714" w:hanging="357"/>
      </w:pPr>
      <w:r>
        <w:t xml:space="preserve">Thorough and consistent wash technique is essential for proper assay performance.  Wash buffer must be forcefully dispensed and completely removed from the wells by aspiration or decanting.  Remove remaining wash buffer by inverting the plate and blotting on paper towels.  </w:t>
      </w:r>
    </w:p>
    <w:p w14:paraId="285D0E3C" w14:textId="77777777" w:rsidR="00C61C56" w:rsidRPr="00637985" w:rsidRDefault="00C61C56" w:rsidP="00C61C56">
      <w:pPr>
        <w:spacing w:before="0" w:after="120"/>
        <w:ind w:left="714"/>
        <w:jc w:val="left"/>
      </w:pPr>
    </w:p>
    <w:p w14:paraId="14F7D98F" w14:textId="77777777" w:rsidR="00C61C56" w:rsidRPr="008B0175" w:rsidRDefault="00C61C56" w:rsidP="00C61C56">
      <w:pPr>
        <w:pStyle w:val="Heading1"/>
        <w:numPr>
          <w:ilvl w:val="0"/>
          <w:numId w:val="23"/>
        </w:numPr>
        <w:spacing w:before="0"/>
      </w:pPr>
      <w:bookmarkStart w:id="7" w:name="_Toc271554832"/>
      <w:bookmarkStart w:id="8" w:name="_Toc273532551"/>
      <w:r>
        <w:br w:type="page"/>
      </w:r>
      <w:bookmarkStart w:id="9" w:name="_Toc152929740"/>
      <w:r>
        <w:lastRenderedPageBreak/>
        <w:t>Assay Summary</w:t>
      </w:r>
      <w:bookmarkEnd w:id="7"/>
      <w:bookmarkEnd w:id="8"/>
      <w:bookmarkEnd w:id="9"/>
    </w:p>
    <w:p w14:paraId="0361FA8D" w14:textId="77777777" w:rsidR="00C61C56" w:rsidRDefault="00C61C56" w:rsidP="00C61C56">
      <w:pPr>
        <w:spacing w:line="240" w:lineRule="auto"/>
        <w:jc w:val="center"/>
      </w:pPr>
      <w:r>
        <w:t>Prepare samples as instructed.</w:t>
      </w:r>
    </w:p>
    <w:p w14:paraId="60D59E28" w14:textId="77777777" w:rsidR="00C61C56" w:rsidRPr="00E542D2" w:rsidRDefault="00C61C56" w:rsidP="00C61C56">
      <w:pPr>
        <w:spacing w:line="240" w:lineRule="auto"/>
        <w:jc w:val="center"/>
      </w:pPr>
      <w:r>
        <w:t>Determine the protein concentration of extracts.</w:t>
      </w:r>
    </w:p>
    <w:p w14:paraId="7E214170" w14:textId="77777777" w:rsidR="00C61C56" w:rsidRDefault="00A11B7D" w:rsidP="00C61C56">
      <w:pPr>
        <w:spacing w:line="240" w:lineRule="auto"/>
        <w:jc w:val="center"/>
        <w:rPr>
          <w:lang w:val="en-GB"/>
        </w:rPr>
      </w:pPr>
      <w:r>
        <w:rPr>
          <w:rFonts w:cs="Arial"/>
          <w:noProof/>
          <w:lang w:val="en-GB" w:eastAsia="en-GB"/>
        </w:rPr>
        <mc:AlternateContent>
          <mc:Choice Requires="wps">
            <w:drawing>
              <wp:anchor distT="0" distB="0" distL="114300" distR="114300" simplePos="0" relativeHeight="251660800" behindDoc="0" locked="0" layoutInCell="1" allowOverlap="1" wp14:anchorId="2668B93B" wp14:editId="1A96CC46">
                <wp:simplePos x="0" y="0"/>
                <wp:positionH relativeFrom="margin">
                  <wp:posOffset>1847850</wp:posOffset>
                </wp:positionH>
                <wp:positionV relativeFrom="paragraph">
                  <wp:posOffset>27940</wp:posOffset>
                </wp:positionV>
                <wp:extent cx="180975" cy="314325"/>
                <wp:effectExtent l="23495" t="12700" r="24130" b="63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4325"/>
                        </a:xfrm>
                        <a:prstGeom prst="downArrow">
                          <a:avLst>
                            <a:gd name="adj1" fmla="val 50000"/>
                            <a:gd name="adj2" fmla="val 434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250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45.5pt;margin-top:2.2pt;width:14.25pt;height:24.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">
                <w10:wrap anchorx="margin"/>
              </v:shape>
            </w:pict>
          </mc:Fallback>
        </mc:AlternateContent>
      </w:r>
    </w:p>
    <w:p w14:paraId="5CD86EE1" w14:textId="77777777" w:rsidR="00C61C56" w:rsidRDefault="00C61C56" w:rsidP="00C61C56">
      <w:pPr>
        <w:spacing w:line="240" w:lineRule="auto"/>
        <w:jc w:val="center"/>
      </w:pPr>
      <w:r>
        <w:t>Bring all reagents to room temperature.</w:t>
      </w:r>
    </w:p>
    <w:p w14:paraId="76229E0E" w14:textId="77777777" w:rsidR="00C61C56" w:rsidRDefault="00A11B7D" w:rsidP="00C61C56">
      <w:pPr>
        <w:jc w:val="center"/>
        <w:rPr>
          <w:szCs w:val="20"/>
        </w:rPr>
      </w:pPr>
      <w:r>
        <w:rPr>
          <w:rFonts w:cs="Arial"/>
          <w:noProof/>
          <w:lang w:val="en-GB" w:eastAsia="en-GB"/>
        </w:rPr>
        <mc:AlternateContent>
          <mc:Choice Requires="wps">
            <w:drawing>
              <wp:anchor distT="0" distB="0" distL="114300" distR="114300" simplePos="0" relativeHeight="251661824" behindDoc="0" locked="0" layoutInCell="1" allowOverlap="1" wp14:anchorId="262769FB" wp14:editId="51197FC6">
                <wp:simplePos x="0" y="0"/>
                <wp:positionH relativeFrom="margin">
                  <wp:posOffset>1847850</wp:posOffset>
                </wp:positionH>
                <wp:positionV relativeFrom="paragraph">
                  <wp:posOffset>74930</wp:posOffset>
                </wp:positionV>
                <wp:extent cx="180975" cy="314325"/>
                <wp:effectExtent l="23495" t="8890" r="24130" b="1968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4325"/>
                        </a:xfrm>
                        <a:prstGeom prst="downArrow">
                          <a:avLst>
                            <a:gd name="adj1" fmla="val 50000"/>
                            <a:gd name="adj2" fmla="val 434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09CF3" id="AutoShape 9" o:spid="_x0000_s1026" type="#_x0000_t67" style="position:absolute;margin-left:145.5pt;margin-top:5.9pt;width:14.25pt;height:24.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">
                <w10:wrap anchorx="margin"/>
              </v:shape>
            </w:pict>
          </mc:Fallback>
        </mc:AlternateContent>
      </w:r>
    </w:p>
    <w:p w14:paraId="291663A4" w14:textId="77777777" w:rsidR="00C61C56" w:rsidRDefault="00C61C56" w:rsidP="00C61C56">
      <w:pPr>
        <w:jc w:val="center"/>
      </w:pPr>
      <w:r>
        <w:t>Dilute sample to desired protein concentration in incubation buffer.</w:t>
      </w:r>
    </w:p>
    <w:p w14:paraId="5AF95B6D" w14:textId="77777777" w:rsidR="00C61C56" w:rsidRDefault="00C61C56" w:rsidP="00C61C56">
      <w:pPr>
        <w:jc w:val="center"/>
      </w:pPr>
      <w:r>
        <w:t xml:space="preserve">Add 100 </w:t>
      </w:r>
      <w:r w:rsidRPr="00FF66F7">
        <w:rPr>
          <w:rFonts w:ascii="Symbol" w:hAnsi="Symbol"/>
        </w:rPr>
        <w:t></w:t>
      </w:r>
      <w:r>
        <w:t>L sample to each well used.  Incubate 3 hours at room temperature.</w:t>
      </w:r>
    </w:p>
    <w:p w14:paraId="2B353E10" w14:textId="77777777" w:rsidR="00C61C56" w:rsidRDefault="00A11B7D" w:rsidP="00C61C56">
      <w:pPr>
        <w:jc w:val="center"/>
      </w:pPr>
      <w:r>
        <w:rPr>
          <w:rFonts w:cs="Arial"/>
          <w:noProof/>
          <w:lang w:val="en-GB" w:eastAsia="en-GB"/>
        </w:rPr>
        <mc:AlternateContent>
          <mc:Choice Requires="wps">
            <w:drawing>
              <wp:anchor distT="0" distB="0" distL="114300" distR="114300" simplePos="0" relativeHeight="251663872" behindDoc="0" locked="0" layoutInCell="1" allowOverlap="1" wp14:anchorId="5A47B49B" wp14:editId="0BE88ACF">
                <wp:simplePos x="0" y="0"/>
                <wp:positionH relativeFrom="margin">
                  <wp:posOffset>1847850</wp:posOffset>
                </wp:positionH>
                <wp:positionV relativeFrom="paragraph">
                  <wp:posOffset>742950</wp:posOffset>
                </wp:positionV>
                <wp:extent cx="180975" cy="314325"/>
                <wp:effectExtent l="23495" t="5080" r="24130" b="1397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4325"/>
                        </a:xfrm>
                        <a:prstGeom prst="downArrow">
                          <a:avLst>
                            <a:gd name="adj1" fmla="val 50000"/>
                            <a:gd name="adj2" fmla="val 434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21271" id="AutoShape 11" o:spid="_x0000_s1026" type="#_x0000_t67" style="position:absolute;margin-left:145.5pt;margin-top:58.5pt;width:14.25pt;height:24.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">
                <w10:wrap anchorx="margin"/>
              </v:shape>
            </w:pict>
          </mc:Fallback>
        </mc:AlternateContent>
      </w:r>
      <w:r>
        <w:rPr>
          <w:rFonts w:cs="Arial"/>
          <w:noProof/>
          <w:lang w:val="en-GB" w:eastAsia="en-GB"/>
        </w:rPr>
        <mc:AlternateContent>
          <mc:Choice Requires="wps">
            <w:drawing>
              <wp:anchor distT="0" distB="0" distL="114300" distR="114300" simplePos="0" relativeHeight="251662848" behindDoc="0" locked="0" layoutInCell="1" allowOverlap="1" wp14:anchorId="7321DB46" wp14:editId="74E5EF7B">
                <wp:simplePos x="0" y="0"/>
                <wp:positionH relativeFrom="margin">
                  <wp:posOffset>1847850</wp:posOffset>
                </wp:positionH>
                <wp:positionV relativeFrom="paragraph">
                  <wp:posOffset>40640</wp:posOffset>
                </wp:positionV>
                <wp:extent cx="180975" cy="314325"/>
                <wp:effectExtent l="23495" t="7620" r="24130" b="1143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4325"/>
                        </a:xfrm>
                        <a:prstGeom prst="downArrow">
                          <a:avLst>
                            <a:gd name="adj1" fmla="val 50000"/>
                            <a:gd name="adj2" fmla="val 434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B6C5A" id="AutoShape 10" o:spid="_x0000_s1026" type="#_x0000_t67" style="position:absolute;margin-left:145.5pt;margin-top:3.2pt;width:14.25pt;height:24.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">
                <w10:wrap anchorx="margin"/>
              </v:shape>
            </w:pict>
          </mc:Fallback>
        </mc:AlternateContent>
      </w:r>
    </w:p>
    <w:p w14:paraId="349AC102" w14:textId="77777777" w:rsidR="00C61C56" w:rsidRDefault="00C61C56" w:rsidP="00C61C56">
      <w:pPr>
        <w:jc w:val="center"/>
      </w:pPr>
      <w:r>
        <w:t>Aspirate and wash each well twice.</w:t>
      </w:r>
    </w:p>
    <w:p w14:paraId="2FEB315C" w14:textId="77777777" w:rsidR="00C61C56" w:rsidRDefault="00C61C56" w:rsidP="00C61C56">
      <w:pPr>
        <w:jc w:val="center"/>
      </w:pPr>
    </w:p>
    <w:p w14:paraId="6CD162C5" w14:textId="77777777" w:rsidR="00C61C56" w:rsidRDefault="00C61C56" w:rsidP="00C61C56">
      <w:pPr>
        <w:jc w:val="center"/>
      </w:pPr>
      <w:r>
        <w:t xml:space="preserve">Freshly prepare 1X Activity Solution. Add 100 </w:t>
      </w:r>
      <w:r w:rsidRPr="00FF66F7">
        <w:rPr>
          <w:rFonts w:ascii="Symbol" w:hAnsi="Symbol"/>
        </w:rPr>
        <w:t></w:t>
      </w:r>
      <w:r>
        <w:t xml:space="preserve">L 1X Activity Solution to each well.  </w:t>
      </w:r>
    </w:p>
    <w:p w14:paraId="37C7234B" w14:textId="77777777" w:rsidR="00C61C56" w:rsidRDefault="00C61C56" w:rsidP="00C61C56">
      <w:pPr>
        <w:jc w:val="center"/>
      </w:pPr>
      <w:r>
        <w:t>Pop bubbles and record immediately the color development with time at 412 nm for 15 to 30 minutes.</w:t>
      </w:r>
    </w:p>
    <w:p w14:paraId="6DA1B44F" w14:textId="77777777" w:rsidR="00C61C56" w:rsidRDefault="00C61C56" w:rsidP="00C61C56">
      <w:pPr>
        <w:pStyle w:val="Heading1"/>
        <w:numPr>
          <w:ilvl w:val="0"/>
          <w:numId w:val="23"/>
        </w:numPr>
        <w:spacing w:before="0"/>
      </w:pPr>
      <w:r>
        <w:br w:type="page"/>
      </w:r>
      <w:bookmarkStart w:id="10" w:name="_Toc271554833"/>
      <w:bookmarkStart w:id="11" w:name="_Toc273532552"/>
      <w:bookmarkStart w:id="12" w:name="_Toc152929741"/>
      <w:r>
        <w:lastRenderedPageBreak/>
        <w:t>Kit Contents</w:t>
      </w:r>
      <w:bookmarkEnd w:id="10"/>
      <w:bookmarkEnd w:id="11"/>
      <w:bookmarkEnd w:id="12"/>
      <w:r>
        <w:t xml:space="preserve"> </w:t>
      </w:r>
    </w:p>
    <w:p w14:paraId="6F8F2026" w14:textId="77777777" w:rsidR="00C61C56" w:rsidRDefault="00C61C56" w:rsidP="00C61C56">
      <w:pPr>
        <w:spacing w:before="480"/>
        <w:rPr>
          <w:lang w:val="en-GB"/>
        </w:rPr>
      </w:pPr>
      <w:r w:rsidRPr="00FF2F56">
        <w:rPr>
          <w:lang w:val="en-GB"/>
        </w:rPr>
        <w:t>Sufficient materials are provided for 96 measurements in a microplate.</w:t>
      </w:r>
    </w:p>
    <w:tbl>
      <w:tblPr>
        <w:tblW w:w="0" w:type="auto"/>
        <w:tblInd w:w="675" w:type="dxa"/>
        <w:tblLook w:val="04A0" w:firstRow="1" w:lastRow="0" w:firstColumn="1" w:lastColumn="0" w:noHBand="0" w:noVBand="1"/>
      </w:tblPr>
      <w:tblGrid>
        <w:gridCol w:w="3827"/>
        <w:gridCol w:w="1539"/>
      </w:tblGrid>
      <w:tr w:rsidR="00C61C56" w:rsidRPr="00C61C56" w14:paraId="0D86B561" w14:textId="77777777" w:rsidTr="00C61C56">
        <w:trPr>
          <w:trHeight w:val="570"/>
        </w:trPr>
        <w:tc>
          <w:tcPr>
            <w:tcW w:w="3827" w:type="dxa"/>
            <w:tcBorders>
              <w:top w:val="single" w:sz="4" w:space="0" w:color="auto"/>
              <w:bottom w:val="single" w:sz="4" w:space="0" w:color="auto"/>
            </w:tcBorders>
          </w:tcPr>
          <w:p w14:paraId="60D14FE8" w14:textId="77777777" w:rsidR="00C61C56" w:rsidRPr="00C61C56" w:rsidRDefault="00C61C56" w:rsidP="00BB4C50">
            <w:pPr>
              <w:jc w:val="left"/>
              <w:rPr>
                <w:b/>
                <w:sz w:val="18"/>
                <w:lang w:val="en-GB"/>
              </w:rPr>
            </w:pPr>
            <w:r w:rsidRPr="00C61C56">
              <w:rPr>
                <w:b/>
                <w:sz w:val="18"/>
                <w:lang w:val="en-GB"/>
              </w:rPr>
              <w:t>Item</w:t>
            </w:r>
          </w:p>
        </w:tc>
        <w:tc>
          <w:tcPr>
            <w:tcW w:w="1539" w:type="dxa"/>
            <w:tcBorders>
              <w:top w:val="single" w:sz="4" w:space="0" w:color="auto"/>
              <w:bottom w:val="single" w:sz="4" w:space="0" w:color="auto"/>
            </w:tcBorders>
          </w:tcPr>
          <w:p w14:paraId="58F36C18" w14:textId="77777777" w:rsidR="00C61C56" w:rsidRPr="00C61C56" w:rsidRDefault="00C61C56" w:rsidP="00BB4C50">
            <w:pPr>
              <w:jc w:val="right"/>
              <w:rPr>
                <w:b/>
                <w:sz w:val="18"/>
                <w:lang w:val="en-GB"/>
              </w:rPr>
            </w:pPr>
            <w:r w:rsidRPr="00C61C56">
              <w:rPr>
                <w:b/>
                <w:sz w:val="18"/>
                <w:lang w:val="en-GB"/>
              </w:rPr>
              <w:t xml:space="preserve">Quantity </w:t>
            </w:r>
          </w:p>
        </w:tc>
      </w:tr>
      <w:tr w:rsidR="00C61C56" w:rsidRPr="00C61C56" w14:paraId="122BDED9" w14:textId="77777777" w:rsidTr="00C61C56">
        <w:trPr>
          <w:trHeight w:val="585"/>
        </w:trPr>
        <w:tc>
          <w:tcPr>
            <w:tcW w:w="3827" w:type="dxa"/>
            <w:tcBorders>
              <w:top w:val="single" w:sz="4" w:space="0" w:color="auto"/>
            </w:tcBorders>
          </w:tcPr>
          <w:p w14:paraId="03E909DB" w14:textId="77777777" w:rsidR="00C61C56" w:rsidRPr="00C61C56" w:rsidRDefault="00C61C56" w:rsidP="00BB4C50">
            <w:pPr>
              <w:jc w:val="left"/>
              <w:rPr>
                <w:sz w:val="18"/>
                <w:lang w:val="en-GB"/>
              </w:rPr>
            </w:pPr>
            <w:r w:rsidRPr="00C61C56">
              <w:rPr>
                <w:sz w:val="18"/>
              </w:rPr>
              <w:t>20X Buffer</w:t>
            </w:r>
          </w:p>
        </w:tc>
        <w:tc>
          <w:tcPr>
            <w:tcW w:w="1539" w:type="dxa"/>
            <w:tcBorders>
              <w:top w:val="single" w:sz="4" w:space="0" w:color="auto"/>
            </w:tcBorders>
          </w:tcPr>
          <w:p w14:paraId="1E2BD234" w14:textId="77777777" w:rsidR="00C61C56" w:rsidRPr="00C61C56" w:rsidRDefault="00C61C56" w:rsidP="00BB4C50">
            <w:pPr>
              <w:jc w:val="right"/>
              <w:rPr>
                <w:sz w:val="18"/>
                <w:lang w:val="en-GB"/>
              </w:rPr>
            </w:pPr>
            <w:r w:rsidRPr="00C61C56">
              <w:rPr>
                <w:sz w:val="18"/>
              </w:rPr>
              <w:t>20 ml</w:t>
            </w:r>
          </w:p>
        </w:tc>
      </w:tr>
      <w:tr w:rsidR="00C61C56" w:rsidRPr="00C61C56" w14:paraId="50799244" w14:textId="77777777" w:rsidTr="00C61C56">
        <w:trPr>
          <w:trHeight w:val="441"/>
        </w:trPr>
        <w:tc>
          <w:tcPr>
            <w:tcW w:w="3827" w:type="dxa"/>
          </w:tcPr>
          <w:p w14:paraId="3810E906" w14:textId="77777777" w:rsidR="00C61C56" w:rsidRPr="00C61C56" w:rsidRDefault="00C61C56" w:rsidP="00BB4C50">
            <w:pPr>
              <w:jc w:val="left"/>
              <w:rPr>
                <w:sz w:val="18"/>
                <w:lang w:val="en-GB"/>
              </w:rPr>
            </w:pPr>
            <w:r w:rsidRPr="00C61C56">
              <w:rPr>
                <w:sz w:val="18"/>
              </w:rPr>
              <w:t>Extraction Buffer</w:t>
            </w:r>
          </w:p>
        </w:tc>
        <w:tc>
          <w:tcPr>
            <w:tcW w:w="1539" w:type="dxa"/>
          </w:tcPr>
          <w:p w14:paraId="7BC85BE0" w14:textId="77777777" w:rsidR="00C61C56" w:rsidRPr="00C61C56" w:rsidRDefault="00C61C56" w:rsidP="00BB4C50">
            <w:pPr>
              <w:jc w:val="right"/>
              <w:rPr>
                <w:sz w:val="18"/>
                <w:lang w:val="en-GB"/>
              </w:rPr>
            </w:pPr>
            <w:r w:rsidRPr="00C61C56">
              <w:rPr>
                <w:sz w:val="18"/>
              </w:rPr>
              <w:t>15 ml</w:t>
            </w:r>
          </w:p>
        </w:tc>
      </w:tr>
      <w:tr w:rsidR="00C61C56" w:rsidRPr="00C61C56" w14:paraId="79C6013B" w14:textId="77777777" w:rsidTr="00C61C56">
        <w:trPr>
          <w:trHeight w:val="1755"/>
        </w:trPr>
        <w:tc>
          <w:tcPr>
            <w:tcW w:w="3827" w:type="dxa"/>
          </w:tcPr>
          <w:p w14:paraId="62ED1823" w14:textId="77777777" w:rsidR="00C61C56" w:rsidRPr="00C61C56" w:rsidRDefault="00C61C56" w:rsidP="00BB4C50">
            <w:pPr>
              <w:jc w:val="left"/>
              <w:rPr>
                <w:sz w:val="18"/>
              </w:rPr>
            </w:pPr>
            <w:r w:rsidRPr="00C61C56">
              <w:rPr>
                <w:rFonts w:cs="Arial"/>
                <w:sz w:val="18"/>
                <w:szCs w:val="20"/>
                <w:lang w:val="en-GB"/>
              </w:rPr>
              <w:t>10X Blocking Buffer</w:t>
            </w:r>
          </w:p>
          <w:p w14:paraId="3CC3E3F6" w14:textId="77777777" w:rsidR="00C61C56" w:rsidRPr="00C61C56" w:rsidRDefault="00C61C56" w:rsidP="00BB4C50">
            <w:pPr>
              <w:jc w:val="left"/>
              <w:rPr>
                <w:sz w:val="18"/>
              </w:rPr>
            </w:pPr>
            <w:r w:rsidRPr="00C61C56">
              <w:rPr>
                <w:sz w:val="18"/>
              </w:rPr>
              <w:t xml:space="preserve">Base Buffer </w:t>
            </w:r>
          </w:p>
          <w:p w14:paraId="420D27C3" w14:textId="77777777" w:rsidR="00C61C56" w:rsidRPr="00C61C56" w:rsidRDefault="00C61C56" w:rsidP="00BB4C50">
            <w:pPr>
              <w:jc w:val="left"/>
              <w:rPr>
                <w:sz w:val="18"/>
                <w:lang w:val="en-GB"/>
              </w:rPr>
            </w:pPr>
            <w:r w:rsidRPr="00C61C56">
              <w:rPr>
                <w:rFonts w:cs="Arial"/>
                <w:sz w:val="18"/>
                <w:szCs w:val="20"/>
                <w:lang w:val="en-GB"/>
              </w:rPr>
              <w:t>10X Reaction Reagent</w:t>
            </w:r>
          </w:p>
        </w:tc>
        <w:tc>
          <w:tcPr>
            <w:tcW w:w="1539" w:type="dxa"/>
          </w:tcPr>
          <w:p w14:paraId="0DBB440D" w14:textId="77777777" w:rsidR="00C61C56" w:rsidRPr="00C61C56" w:rsidRDefault="00C61C56" w:rsidP="00BB4C50">
            <w:pPr>
              <w:jc w:val="right"/>
              <w:rPr>
                <w:sz w:val="18"/>
              </w:rPr>
            </w:pPr>
            <w:r w:rsidRPr="00C61C56">
              <w:rPr>
                <w:sz w:val="18"/>
              </w:rPr>
              <w:t xml:space="preserve">6 </w:t>
            </w:r>
            <w:r w:rsidRPr="00C61C56">
              <w:rPr>
                <w:rFonts w:cs="Arial"/>
                <w:sz w:val="18"/>
              </w:rPr>
              <w:t>m</w:t>
            </w:r>
            <w:r w:rsidRPr="00C61C56">
              <w:rPr>
                <w:sz w:val="18"/>
              </w:rPr>
              <w:t>l</w:t>
            </w:r>
          </w:p>
          <w:p w14:paraId="642E62E3" w14:textId="77777777" w:rsidR="00C61C56" w:rsidRPr="00C61C56" w:rsidRDefault="00C61C56" w:rsidP="00BB4C50">
            <w:pPr>
              <w:jc w:val="right"/>
              <w:rPr>
                <w:sz w:val="18"/>
                <w:lang w:val="en-GB"/>
              </w:rPr>
            </w:pPr>
            <w:r w:rsidRPr="00C61C56">
              <w:rPr>
                <w:sz w:val="18"/>
                <w:lang w:val="en-GB"/>
              </w:rPr>
              <w:t xml:space="preserve">25 mL </w:t>
            </w:r>
          </w:p>
          <w:p w14:paraId="62949932" w14:textId="77777777" w:rsidR="00C61C56" w:rsidRPr="00C61C56" w:rsidRDefault="00C61C56" w:rsidP="00BB4C50">
            <w:pPr>
              <w:jc w:val="right"/>
              <w:rPr>
                <w:sz w:val="18"/>
                <w:lang w:val="en-GB"/>
              </w:rPr>
            </w:pPr>
            <w:r w:rsidRPr="00C61C56">
              <w:rPr>
                <w:sz w:val="18"/>
              </w:rPr>
              <w:t>1 Vial</w:t>
            </w:r>
            <w:r w:rsidRPr="00C61C56">
              <w:rPr>
                <w:sz w:val="18"/>
                <w:lang w:val="en-GB"/>
              </w:rPr>
              <w:t xml:space="preserve">  </w:t>
            </w:r>
          </w:p>
        </w:tc>
      </w:tr>
      <w:tr w:rsidR="00C61C56" w:rsidRPr="00C61C56" w14:paraId="63895924" w14:textId="77777777" w:rsidTr="00C61C56">
        <w:trPr>
          <w:trHeight w:val="600"/>
        </w:trPr>
        <w:tc>
          <w:tcPr>
            <w:tcW w:w="3827" w:type="dxa"/>
            <w:tcBorders>
              <w:bottom w:val="single" w:sz="4" w:space="0" w:color="auto"/>
            </w:tcBorders>
          </w:tcPr>
          <w:p w14:paraId="3C2A2E1E" w14:textId="77777777" w:rsidR="00C61C56" w:rsidRDefault="00C61C56" w:rsidP="00BB4C50">
            <w:pPr>
              <w:jc w:val="left"/>
              <w:rPr>
                <w:rFonts w:cs="Arial"/>
                <w:sz w:val="18"/>
                <w:szCs w:val="20"/>
                <w:lang w:val="en-GB"/>
              </w:rPr>
            </w:pPr>
            <w:r w:rsidRPr="00C61C56">
              <w:rPr>
                <w:rFonts w:cs="Arial"/>
                <w:sz w:val="18"/>
                <w:szCs w:val="20"/>
                <w:lang w:val="en-GB"/>
              </w:rPr>
              <w:t xml:space="preserve">CS Microplate </w:t>
            </w:r>
          </w:p>
          <w:p w14:paraId="39380E24" w14:textId="77777777" w:rsidR="00C61C56" w:rsidRPr="00C61C56" w:rsidRDefault="00C61C56" w:rsidP="00C61C56">
            <w:pPr>
              <w:spacing w:before="0"/>
              <w:jc w:val="left"/>
              <w:rPr>
                <w:rFonts w:cs="Arial"/>
                <w:sz w:val="18"/>
                <w:szCs w:val="20"/>
                <w:lang w:val="en-GB"/>
              </w:rPr>
            </w:pPr>
            <w:r w:rsidRPr="00C61C56">
              <w:rPr>
                <w:rFonts w:cs="Arial"/>
                <w:sz w:val="18"/>
                <w:szCs w:val="20"/>
                <w:lang w:val="en-GB"/>
              </w:rPr>
              <w:t>(12 x 8 antibody coated well strips)</w:t>
            </w:r>
          </w:p>
        </w:tc>
        <w:tc>
          <w:tcPr>
            <w:tcW w:w="1539" w:type="dxa"/>
            <w:tcBorders>
              <w:bottom w:val="single" w:sz="4" w:space="0" w:color="auto"/>
            </w:tcBorders>
          </w:tcPr>
          <w:p w14:paraId="36833B5E" w14:textId="77777777" w:rsidR="00C61C56" w:rsidRPr="00C61C56" w:rsidRDefault="00C61C56" w:rsidP="00BB4C50">
            <w:pPr>
              <w:jc w:val="right"/>
              <w:rPr>
                <w:sz w:val="18"/>
                <w:lang w:val="en-GB"/>
              </w:rPr>
            </w:pPr>
            <w:r w:rsidRPr="00C61C56">
              <w:rPr>
                <w:sz w:val="18"/>
              </w:rPr>
              <w:t>96 Wells</w:t>
            </w:r>
          </w:p>
        </w:tc>
      </w:tr>
    </w:tbl>
    <w:p w14:paraId="272DABAC" w14:textId="77777777" w:rsidR="00C61C56" w:rsidRPr="00614E34" w:rsidRDefault="00C61C56" w:rsidP="00C61C56">
      <w:bookmarkStart w:id="13" w:name="_Toc271554834"/>
      <w:bookmarkStart w:id="14" w:name="_Toc273532553"/>
    </w:p>
    <w:p w14:paraId="1E1FA70D" w14:textId="77777777" w:rsidR="00C61C56" w:rsidRPr="00FF2F56" w:rsidRDefault="00C61C56" w:rsidP="00C61C56">
      <w:pPr>
        <w:pStyle w:val="Heading1"/>
        <w:numPr>
          <w:ilvl w:val="0"/>
          <w:numId w:val="23"/>
        </w:numPr>
        <w:spacing w:before="0"/>
      </w:pPr>
      <w:r>
        <w:br w:type="page"/>
      </w:r>
      <w:bookmarkStart w:id="15" w:name="_Toc152929742"/>
      <w:r>
        <w:lastRenderedPageBreak/>
        <w:t>Storage and Handling</w:t>
      </w:r>
      <w:bookmarkEnd w:id="15"/>
    </w:p>
    <w:bookmarkEnd w:id="13"/>
    <w:bookmarkEnd w:id="14"/>
    <w:p w14:paraId="3F584EBA" w14:textId="77777777" w:rsidR="00831CEC" w:rsidRDefault="00831CEC" w:rsidP="00C61C56">
      <w:pPr>
        <w:rPr>
          <w:rFonts w:cs="Arial"/>
        </w:rPr>
      </w:pPr>
      <w:r>
        <w:rPr>
          <w:rFonts w:cs="Arial"/>
        </w:rPr>
        <w:t xml:space="preserve">The 10X Reaction Reagent should be stored at -20ºC before resuspension. </w:t>
      </w:r>
      <w:r w:rsidR="00C61C56">
        <w:rPr>
          <w:rFonts w:cs="Arial"/>
        </w:rPr>
        <w:t xml:space="preserve">All </w:t>
      </w:r>
      <w:r w:rsidR="005C715C">
        <w:rPr>
          <w:rFonts w:cs="Arial"/>
        </w:rPr>
        <w:t xml:space="preserve">other </w:t>
      </w:r>
      <w:r w:rsidR="00C61C56">
        <w:rPr>
          <w:rFonts w:cs="Arial"/>
        </w:rPr>
        <w:t xml:space="preserve">components </w:t>
      </w:r>
      <w:r>
        <w:rPr>
          <w:rFonts w:cs="Arial"/>
        </w:rPr>
        <w:t>should be stored at +2-8</w:t>
      </w:r>
      <w:r w:rsidRPr="00831CEC">
        <w:rPr>
          <w:rFonts w:cs="Arial"/>
        </w:rPr>
        <w:t xml:space="preserve"> </w:t>
      </w:r>
      <w:r>
        <w:rPr>
          <w:rFonts w:cs="Arial"/>
        </w:rPr>
        <w:t>ºC</w:t>
      </w:r>
      <w:r w:rsidR="00C61C56">
        <w:rPr>
          <w:rFonts w:cs="Arial"/>
        </w:rPr>
        <w:t xml:space="preserve">.   </w:t>
      </w:r>
    </w:p>
    <w:p w14:paraId="39D10778" w14:textId="77777777" w:rsidR="00D5667C" w:rsidRDefault="00D5667C" w:rsidP="00C61C56">
      <w:pPr>
        <w:rPr>
          <w:rFonts w:cs="Arial"/>
        </w:rPr>
      </w:pPr>
      <w:r>
        <w:rPr>
          <w:rFonts w:ascii="Helvetica" w:eastAsia="Times New Roman" w:hAnsi="Helvetica"/>
          <w:sz w:val="18"/>
          <w:szCs w:val="18"/>
        </w:rPr>
        <w:t>10X Reaction Reagent mixture is shipped lyophilized. Before use, rehydrate the reaction mixture by adding 0.1mL base buffer. Vortex the tube thoroughly to dissolve the lyophilized powder. Then add 0.9mL base buffer to make up the volume to 1 mL, this will be the 10X Reaction solution. Unused amounts of the 10X Reaction solution should be stored at -80°C for 6 months. This kit is stable for 6 months from receipt.</w:t>
      </w:r>
    </w:p>
    <w:p w14:paraId="23184E87" w14:textId="77777777" w:rsidR="00C61C56" w:rsidRPr="00FF2F56" w:rsidRDefault="00C61C56" w:rsidP="00C61C56">
      <w:pPr>
        <w:pStyle w:val="Heading1"/>
        <w:numPr>
          <w:ilvl w:val="0"/>
          <w:numId w:val="23"/>
        </w:numPr>
      </w:pPr>
      <w:bookmarkStart w:id="16" w:name="_Toc271554835"/>
      <w:bookmarkStart w:id="17" w:name="_Toc273532554"/>
      <w:bookmarkStart w:id="18" w:name="_Toc271554837"/>
      <w:bookmarkStart w:id="19" w:name="_Toc273532556"/>
      <w:bookmarkStart w:id="20" w:name="_Toc152929743"/>
      <w:r>
        <w:t>Additional Materials Required</w:t>
      </w:r>
      <w:bookmarkEnd w:id="16"/>
      <w:bookmarkEnd w:id="17"/>
      <w:bookmarkEnd w:id="20"/>
    </w:p>
    <w:p w14:paraId="768952E7" w14:textId="77777777" w:rsidR="00C61C56" w:rsidRDefault="00C61C56" w:rsidP="00C61C56">
      <w:pPr>
        <w:spacing w:before="0" w:line="240" w:lineRule="auto"/>
        <w:ind w:left="720"/>
        <w:jc w:val="left"/>
      </w:pPr>
    </w:p>
    <w:p w14:paraId="0D3E5B29" w14:textId="77777777" w:rsidR="00C61C56" w:rsidRPr="009C5F86" w:rsidRDefault="00C61C56" w:rsidP="00C61C56">
      <w:pPr>
        <w:numPr>
          <w:ilvl w:val="0"/>
          <w:numId w:val="34"/>
        </w:numPr>
        <w:spacing w:before="0"/>
        <w:jc w:val="left"/>
      </w:pPr>
      <w:r>
        <w:t xml:space="preserve">Standard absorbance microplate reader </w:t>
      </w:r>
      <w:r>
        <w:tab/>
        <w:t>capable of  kinetic reading at 412nm</w:t>
      </w:r>
    </w:p>
    <w:p w14:paraId="2C3BF575" w14:textId="77777777" w:rsidR="00C61C56" w:rsidRDefault="00C61C56" w:rsidP="00C61C56">
      <w:pPr>
        <w:numPr>
          <w:ilvl w:val="0"/>
          <w:numId w:val="34"/>
        </w:numPr>
        <w:spacing w:before="120" w:line="240" w:lineRule="auto"/>
        <w:jc w:val="left"/>
      </w:pPr>
      <w:r>
        <w:t xml:space="preserve">Multichannel pipette (50 - 300 </w:t>
      </w:r>
      <w:r w:rsidRPr="00BB1EEC">
        <w:t>µ</w:t>
      </w:r>
      <w:r>
        <w:t>L) and tips</w:t>
      </w:r>
    </w:p>
    <w:p w14:paraId="134460E0" w14:textId="77777777" w:rsidR="00C61C56" w:rsidRDefault="00C61C56" w:rsidP="00C61C56">
      <w:pPr>
        <w:numPr>
          <w:ilvl w:val="0"/>
          <w:numId w:val="34"/>
        </w:numPr>
        <w:spacing w:before="120" w:line="240" w:lineRule="auto"/>
        <w:jc w:val="left"/>
      </w:pPr>
      <w:r>
        <w:t>1.5-mL microtubes</w:t>
      </w:r>
    </w:p>
    <w:p w14:paraId="41451CE9" w14:textId="77777777" w:rsidR="00C61C56" w:rsidRPr="006A300D" w:rsidRDefault="00C61C56" w:rsidP="00C61C56">
      <w:pPr>
        <w:pStyle w:val="ListParagraph"/>
        <w:numPr>
          <w:ilvl w:val="0"/>
          <w:numId w:val="34"/>
        </w:numPr>
        <w:autoSpaceDE w:val="0"/>
        <w:autoSpaceDN w:val="0"/>
        <w:adjustRightInd w:val="0"/>
        <w:jc w:val="left"/>
        <w:rPr>
          <w:rFonts w:cs="Arial"/>
          <w:color w:val="000000"/>
          <w:szCs w:val="20"/>
          <w:lang w:val="en-GB"/>
        </w:rPr>
      </w:pPr>
      <w:r>
        <w:rPr>
          <w:rFonts w:cs="Arial"/>
          <w:szCs w:val="20"/>
          <w:lang w:val="en-GB"/>
        </w:rPr>
        <w:t>Paper towels</w:t>
      </w:r>
    </w:p>
    <w:p w14:paraId="1372DE94" w14:textId="77777777" w:rsidR="00C61C56" w:rsidRDefault="00C61C56" w:rsidP="00C61C56">
      <w:pPr>
        <w:numPr>
          <w:ilvl w:val="0"/>
          <w:numId w:val="34"/>
        </w:numPr>
        <w:spacing w:before="120" w:line="240" w:lineRule="auto"/>
        <w:jc w:val="left"/>
      </w:pPr>
      <w:r>
        <w:t>Deionized water</w:t>
      </w:r>
    </w:p>
    <w:p w14:paraId="38D195A1" w14:textId="77777777" w:rsidR="00C61C56" w:rsidRDefault="00C61C56" w:rsidP="00C61C56">
      <w:pPr>
        <w:pStyle w:val="ListParagraph"/>
        <w:numPr>
          <w:ilvl w:val="0"/>
          <w:numId w:val="33"/>
        </w:numPr>
        <w:ind w:left="714" w:hanging="357"/>
        <w:contextualSpacing w:val="0"/>
      </w:pPr>
      <w:r>
        <w:t>Optional plate shaker for all incubation steps</w:t>
      </w:r>
    </w:p>
    <w:p w14:paraId="5B660E5D" w14:textId="77777777" w:rsidR="00C61C56" w:rsidRPr="00A83B31" w:rsidRDefault="00C61C56" w:rsidP="00C61C56">
      <w:pPr>
        <w:pStyle w:val="Heading1"/>
        <w:numPr>
          <w:ilvl w:val="0"/>
          <w:numId w:val="23"/>
        </w:numPr>
        <w:spacing w:before="0"/>
      </w:pPr>
      <w:r>
        <w:br w:type="page"/>
      </w:r>
      <w:bookmarkStart w:id="21" w:name="_Toc152929744"/>
      <w:bookmarkEnd w:id="18"/>
      <w:bookmarkEnd w:id="19"/>
      <w:r w:rsidRPr="00A83B31">
        <w:lastRenderedPageBreak/>
        <w:t>Reagent Preparation</w:t>
      </w:r>
      <w:bookmarkEnd w:id="21"/>
    </w:p>
    <w:p w14:paraId="7541ED8F" w14:textId="77777777" w:rsidR="00C61C56" w:rsidRDefault="00C61C56" w:rsidP="00C61C56">
      <w:pPr>
        <w:pStyle w:val="ListParagraph"/>
        <w:numPr>
          <w:ilvl w:val="0"/>
          <w:numId w:val="40"/>
        </w:numPr>
        <w:ind w:left="1077" w:hanging="720"/>
        <w:contextualSpacing w:val="0"/>
      </w:pPr>
      <w:bookmarkStart w:id="22" w:name="OLE_LINK1"/>
      <w:r>
        <w:t>Prepare 1X Wash Buffer by adding 20 mL 20X Buffer to 380 mL nanopure water.</w:t>
      </w:r>
    </w:p>
    <w:p w14:paraId="7D4376BD" w14:textId="77777777" w:rsidR="00C61C56" w:rsidRDefault="00C61C56" w:rsidP="00C61C56">
      <w:pPr>
        <w:pStyle w:val="ListParagraph"/>
        <w:numPr>
          <w:ilvl w:val="0"/>
          <w:numId w:val="40"/>
        </w:numPr>
        <w:ind w:left="1077" w:hanging="720"/>
        <w:contextualSpacing w:val="0"/>
      </w:pPr>
      <w:r>
        <w:t>Prepare 1X Incubation Buffer by adding 6 mL 10X Blocking Solution to 54 mL 1X Wash Buffer.</w:t>
      </w:r>
    </w:p>
    <w:p w14:paraId="202F312A" w14:textId="77777777" w:rsidR="00C61C56" w:rsidRDefault="00C61C56" w:rsidP="00C61C56">
      <w:pPr>
        <w:pStyle w:val="ListParagraph"/>
        <w:numPr>
          <w:ilvl w:val="0"/>
          <w:numId w:val="40"/>
        </w:numPr>
        <w:ind w:left="1077" w:hanging="720"/>
        <w:contextualSpacing w:val="0"/>
      </w:pPr>
      <w:r w:rsidRPr="0076444D">
        <w:t xml:space="preserve">Prepare </w:t>
      </w:r>
      <w:r>
        <w:t>10X Reaction Solution</w:t>
      </w:r>
      <w:r w:rsidRPr="0076444D">
        <w:t xml:space="preserve">, </w:t>
      </w:r>
      <w:r>
        <w:t xml:space="preserve">as described above (4. storage and handling). </w:t>
      </w:r>
    </w:p>
    <w:p w14:paraId="4D7DDF84" w14:textId="77777777" w:rsidR="00C61C56" w:rsidRPr="00C61C56" w:rsidRDefault="00826A60" w:rsidP="00C61C56">
      <w:pPr>
        <w:pStyle w:val="ListParagraph"/>
        <w:numPr>
          <w:ilvl w:val="0"/>
          <w:numId w:val="40"/>
        </w:numPr>
        <w:ind w:left="1077" w:hanging="720"/>
        <w:contextualSpacing w:val="0"/>
        <w:rPr>
          <w:i/>
        </w:rPr>
      </w:pPr>
      <w:r>
        <w:t xml:space="preserve">Immediately prior to </w:t>
      </w:r>
      <w:r w:rsidR="00C61C56" w:rsidRPr="002B2E18">
        <w:t>use (in Step 8.6) prepare 1X Activity Solution.</w:t>
      </w:r>
      <w:r w:rsidR="00A52E13">
        <w:t xml:space="preserve"> To prepare 10 mL of 1X Activity Solution (enough for 96 wells) </w:t>
      </w:r>
      <w:r w:rsidR="00C61C56" w:rsidRPr="002B2E18">
        <w:t>add 9</w:t>
      </w:r>
      <w:r w:rsidR="001B2046">
        <w:t xml:space="preserve"> </w:t>
      </w:r>
      <w:r w:rsidR="00C61C56" w:rsidRPr="002B2E18">
        <w:t>mL Base Buffer to 1</w:t>
      </w:r>
      <w:r w:rsidR="001B2046">
        <w:t xml:space="preserve"> </w:t>
      </w:r>
      <w:r>
        <w:t>mL 10X </w:t>
      </w:r>
      <w:r w:rsidR="00C61C56" w:rsidRPr="002B2E18">
        <w:t xml:space="preserve">Reaction Solution. </w:t>
      </w:r>
      <w:r w:rsidR="00FD6DBD">
        <w:t xml:space="preserve"> </w:t>
      </w:r>
      <w:r w:rsidR="00FD6DBD" w:rsidRPr="00C7472D">
        <w:rPr>
          <w:szCs w:val="20"/>
        </w:rPr>
        <w:t>Mix thoroughly and gently.</w:t>
      </w:r>
    </w:p>
    <w:p w14:paraId="70F49AD3" w14:textId="77777777" w:rsidR="00C61C56" w:rsidRDefault="00C61C56" w:rsidP="00C61C56">
      <w:pPr>
        <w:rPr>
          <w:rFonts w:cs="Arial"/>
          <w:i/>
        </w:rPr>
      </w:pPr>
      <w:r w:rsidRPr="002D6D1F">
        <w:rPr>
          <w:rFonts w:cs="Arial"/>
          <w:i/>
        </w:rPr>
        <w:t xml:space="preserve">Note – the final concentration of substrate is now 1mM oxaloacetate, 0.06mM Acetyl CoA, and 0.1mM DTNB. </w:t>
      </w:r>
    </w:p>
    <w:p w14:paraId="72E4829E" w14:textId="77777777" w:rsidR="00C61C56" w:rsidRPr="002D6D1F" w:rsidRDefault="00C61C56" w:rsidP="00C61C56">
      <w:pPr>
        <w:rPr>
          <w:rFonts w:cs="Arial"/>
          <w:i/>
        </w:rPr>
      </w:pPr>
    </w:p>
    <w:p w14:paraId="4373CBE1" w14:textId="77777777" w:rsidR="00C61C56" w:rsidRDefault="00C61C56" w:rsidP="00C61C56">
      <w:pPr>
        <w:pStyle w:val="Heading1"/>
        <w:numPr>
          <w:ilvl w:val="0"/>
          <w:numId w:val="23"/>
        </w:numPr>
        <w:spacing w:before="0"/>
      </w:pPr>
      <w:bookmarkStart w:id="23" w:name="_Toc152929745"/>
      <w:bookmarkEnd w:id="22"/>
      <w:r>
        <w:t>Test sample Preparation</w:t>
      </w:r>
      <w:bookmarkEnd w:id="23"/>
    </w:p>
    <w:p w14:paraId="4C61408B" w14:textId="77777777" w:rsidR="00C61C56" w:rsidRDefault="00C61C56" w:rsidP="00C61C56">
      <w:pPr>
        <w:tabs>
          <w:tab w:val="left" w:pos="360"/>
        </w:tabs>
        <w:spacing w:before="480" w:after="240"/>
        <w:ind w:left="360"/>
        <w:rPr>
          <w:rFonts w:cs="Arial"/>
          <w:b/>
        </w:rPr>
      </w:pPr>
      <w:r w:rsidRPr="00AC31BA">
        <w:rPr>
          <w:rFonts w:cs="Arial"/>
          <w:b/>
        </w:rPr>
        <w:t xml:space="preserve">Note: Extraction buffer </w:t>
      </w:r>
      <w:r w:rsidRPr="009D1600">
        <w:rPr>
          <w:rFonts w:cs="Arial"/>
          <w:b/>
          <w:u w:val="single"/>
        </w:rPr>
        <w:t>DO</w:t>
      </w:r>
      <w:r>
        <w:rPr>
          <w:rFonts w:cs="Arial"/>
          <w:b/>
          <w:u w:val="single"/>
        </w:rPr>
        <w:t>ES</w:t>
      </w:r>
      <w:r w:rsidRPr="009D1600">
        <w:rPr>
          <w:rFonts w:cs="Arial"/>
          <w:b/>
          <w:u w:val="single"/>
        </w:rPr>
        <w:t xml:space="preserve"> NOT CONTAIN PROTEASE INHIBITORS.</w:t>
      </w:r>
      <w:r>
        <w:rPr>
          <w:rFonts w:cs="Arial"/>
          <w:b/>
        </w:rPr>
        <w:t xml:space="preserve"> It </w:t>
      </w:r>
      <w:r w:rsidRPr="00AC31BA">
        <w:rPr>
          <w:rFonts w:cs="Arial"/>
          <w:b/>
        </w:rPr>
        <w:t xml:space="preserve">can be supplemented with phosphatase inhibitors, PMSF and protease inhibitor cocktail prior to use.  </w:t>
      </w:r>
      <w:r w:rsidRPr="00AC31BA">
        <w:rPr>
          <w:rFonts w:cs="Arial"/>
          <w:b/>
        </w:rPr>
        <w:lastRenderedPageBreak/>
        <w:t>Supplements should be used according to manufacturer’s instructions.</w:t>
      </w:r>
    </w:p>
    <w:p w14:paraId="49F5EB1D" w14:textId="77777777" w:rsidR="00C61C56" w:rsidRDefault="00C61C56" w:rsidP="00C61C56">
      <w:pPr>
        <w:tabs>
          <w:tab w:val="left" w:pos="360"/>
        </w:tabs>
        <w:spacing w:before="480" w:after="240"/>
        <w:ind w:left="360"/>
        <w:rPr>
          <w:b/>
        </w:rPr>
      </w:pPr>
      <w:r>
        <w:rPr>
          <w:rFonts w:cs="Arial"/>
          <w:b/>
        </w:rPr>
        <w:t>7.1</w:t>
      </w:r>
      <w:r>
        <w:rPr>
          <w:rFonts w:cs="Arial"/>
          <w:b/>
        </w:rPr>
        <w:tab/>
        <w:t>Cell lysates or extracts</w:t>
      </w:r>
    </w:p>
    <w:p w14:paraId="7A499079" w14:textId="77777777" w:rsidR="00C61C56" w:rsidRDefault="00C61C56" w:rsidP="00C61C56">
      <w:pPr>
        <w:numPr>
          <w:ilvl w:val="2"/>
          <w:numId w:val="37"/>
        </w:numPr>
        <w:tabs>
          <w:tab w:val="left" w:pos="360"/>
        </w:tabs>
        <w:spacing w:before="0" w:after="240"/>
        <w:ind w:left="1440" w:hanging="720"/>
      </w:pPr>
      <w:r w:rsidRPr="00F6547C">
        <w:t xml:space="preserve">Collect non adherent cells by centrifugation or scrape to collect adherent cells from the culture flask. </w:t>
      </w:r>
      <w:r>
        <w:t xml:space="preserve">Typical centrifugation conditions for cells are </w:t>
      </w:r>
      <w:r>
        <w:rPr>
          <w:rFonts w:cs="Arial"/>
        </w:rPr>
        <w:t>500 x g for 10 min</w:t>
      </w:r>
      <w:r w:rsidRPr="0032797B">
        <w:rPr>
          <w:rFonts w:cs="Arial"/>
        </w:rPr>
        <w:t xml:space="preserve"> </w:t>
      </w:r>
      <w:r>
        <w:rPr>
          <w:rFonts w:cs="Arial"/>
        </w:rPr>
        <w:t>at 4</w:t>
      </w:r>
      <w:r w:rsidRPr="0032797B">
        <w:rPr>
          <w:rFonts w:cs="Arial"/>
          <w:vertAlign w:val="superscript"/>
        </w:rPr>
        <w:t>o</w:t>
      </w:r>
      <w:r>
        <w:rPr>
          <w:rFonts w:cs="Arial"/>
        </w:rPr>
        <w:t>C.</w:t>
      </w:r>
    </w:p>
    <w:p w14:paraId="73386319" w14:textId="77777777" w:rsidR="00C61C56" w:rsidRDefault="00C61C56" w:rsidP="00C61C56">
      <w:pPr>
        <w:numPr>
          <w:ilvl w:val="2"/>
          <w:numId w:val="37"/>
        </w:numPr>
        <w:tabs>
          <w:tab w:val="left" w:pos="360"/>
        </w:tabs>
        <w:spacing w:before="0" w:after="240"/>
        <w:ind w:left="1440" w:hanging="720"/>
      </w:pPr>
      <w:r w:rsidRPr="00F6547C">
        <w:t>Rinse cells twice with PBS</w:t>
      </w:r>
      <w:r>
        <w:t>.</w:t>
      </w:r>
    </w:p>
    <w:p w14:paraId="553E9AB6" w14:textId="77777777" w:rsidR="00C61C56" w:rsidRDefault="00C61C56" w:rsidP="00C61C56">
      <w:pPr>
        <w:numPr>
          <w:ilvl w:val="2"/>
          <w:numId w:val="37"/>
        </w:numPr>
        <w:tabs>
          <w:tab w:val="left" w:pos="360"/>
        </w:tabs>
        <w:spacing w:before="0" w:after="240"/>
        <w:ind w:left="1440" w:hanging="720"/>
      </w:pPr>
      <w:r w:rsidRPr="00F6547C">
        <w:t>Solubilize cell</w:t>
      </w:r>
      <w:r>
        <w:t xml:space="preserve"> pellet</w:t>
      </w:r>
      <w:r w:rsidRPr="00F6547C">
        <w:t xml:space="preserve"> at 2x10</w:t>
      </w:r>
      <w:r w:rsidRPr="00F6547C">
        <w:rPr>
          <w:vertAlign w:val="superscript"/>
        </w:rPr>
        <w:t>7</w:t>
      </w:r>
      <w:r w:rsidRPr="00F6547C">
        <w:t xml:space="preserve">/mL in </w:t>
      </w:r>
      <w:r>
        <w:t>E</w:t>
      </w:r>
      <w:r w:rsidRPr="00F6547C">
        <w:t xml:space="preserve">xtraction </w:t>
      </w:r>
      <w:r>
        <w:t>B</w:t>
      </w:r>
      <w:r w:rsidRPr="00F6547C">
        <w:t>uffer.</w:t>
      </w:r>
    </w:p>
    <w:p w14:paraId="5DC20FDB" w14:textId="77777777" w:rsidR="00C61C56" w:rsidRDefault="00C61C56" w:rsidP="00C61C56">
      <w:pPr>
        <w:numPr>
          <w:ilvl w:val="2"/>
          <w:numId w:val="37"/>
        </w:numPr>
        <w:tabs>
          <w:tab w:val="left" w:pos="360"/>
        </w:tabs>
        <w:spacing w:before="0" w:after="240"/>
        <w:ind w:left="1440" w:hanging="720"/>
      </w:pPr>
      <w:r>
        <w:t xml:space="preserve">Incubate on ice for 20 minutes.  Centrifuge at </w:t>
      </w:r>
      <w:r>
        <w:rPr>
          <w:rFonts w:cs="Arial"/>
        </w:rPr>
        <w:t>16000 x g 4°C for 20 minutes.  Transfer the supernatants into clean tubes and discard the pellets.  Assay samples immediately or aliquot and store at -80°C for 6 months.  The sample protein concentration in the extract may be quantified using a protein assay.</w:t>
      </w:r>
    </w:p>
    <w:p w14:paraId="78E7394B" w14:textId="77777777" w:rsidR="00C61C56" w:rsidRDefault="00C61C56" w:rsidP="00C61C56">
      <w:pPr>
        <w:tabs>
          <w:tab w:val="left" w:pos="360"/>
        </w:tabs>
        <w:spacing w:after="240"/>
        <w:ind w:left="360"/>
        <w:rPr>
          <w:b/>
        </w:rPr>
      </w:pPr>
      <w:r>
        <w:rPr>
          <w:b/>
        </w:rPr>
        <w:t>7.2</w:t>
      </w:r>
      <w:r>
        <w:rPr>
          <w:b/>
        </w:rPr>
        <w:tab/>
        <w:t>Tissue lysates</w:t>
      </w:r>
    </w:p>
    <w:p w14:paraId="598DF24C" w14:textId="77777777" w:rsidR="00C61C56" w:rsidRDefault="00C61C56" w:rsidP="00777BC4">
      <w:pPr>
        <w:numPr>
          <w:ilvl w:val="2"/>
          <w:numId w:val="42"/>
        </w:numPr>
        <w:tabs>
          <w:tab w:val="left" w:pos="360"/>
        </w:tabs>
        <w:spacing w:before="0" w:after="240"/>
        <w:ind w:left="1440" w:hanging="720"/>
      </w:pPr>
      <w:r>
        <w:t>Tissue lysates are typically prepared by homogenization of tissue that is first minced and thoroughly rinsed in PBS to remove blood (dounce homogenizer recommended).</w:t>
      </w:r>
    </w:p>
    <w:p w14:paraId="359537C9" w14:textId="77777777" w:rsidR="00C61C56" w:rsidRDefault="00C61C56" w:rsidP="00C61C56">
      <w:pPr>
        <w:numPr>
          <w:ilvl w:val="2"/>
          <w:numId w:val="42"/>
        </w:numPr>
        <w:tabs>
          <w:tab w:val="left" w:pos="360"/>
        </w:tabs>
        <w:spacing w:before="0" w:after="240"/>
        <w:ind w:left="1440" w:hanging="720"/>
      </w:pPr>
      <w:r>
        <w:lastRenderedPageBreak/>
        <w:t>Suspend the homogenate to 25 mg/mL in PBS.</w:t>
      </w:r>
    </w:p>
    <w:p w14:paraId="3889DC42" w14:textId="77777777" w:rsidR="00C61C56" w:rsidRDefault="00C61C56" w:rsidP="00C61C56">
      <w:pPr>
        <w:numPr>
          <w:ilvl w:val="2"/>
          <w:numId w:val="42"/>
        </w:numPr>
        <w:tabs>
          <w:tab w:val="left" w:pos="360"/>
        </w:tabs>
        <w:spacing w:before="0" w:after="240"/>
        <w:ind w:left="1440" w:hanging="720"/>
      </w:pPr>
      <w:r w:rsidRPr="00F6547C">
        <w:t xml:space="preserve">Solubilize </w:t>
      </w:r>
      <w:r>
        <w:t>the homogenate by adding 4 volumes of E</w:t>
      </w:r>
      <w:r w:rsidRPr="00F6547C">
        <w:t xml:space="preserve">xtraction </w:t>
      </w:r>
      <w:r>
        <w:t>Buffer to a sample protein concentration of 5 mg/mL.</w:t>
      </w:r>
    </w:p>
    <w:p w14:paraId="1BD39955" w14:textId="77777777" w:rsidR="00C61C56" w:rsidRDefault="00C61C56" w:rsidP="00C61C56">
      <w:pPr>
        <w:numPr>
          <w:ilvl w:val="2"/>
          <w:numId w:val="42"/>
        </w:numPr>
        <w:tabs>
          <w:tab w:val="left" w:pos="360"/>
        </w:tabs>
        <w:spacing w:before="0" w:after="240"/>
        <w:ind w:left="1440" w:hanging="720"/>
      </w:pPr>
      <w:r>
        <w:t xml:space="preserve">Incubate on ice for 20 minutes.  Centrifuge at </w:t>
      </w:r>
      <w:r w:rsidRPr="007D7E61">
        <w:rPr>
          <w:rFonts w:cs="Arial"/>
        </w:rPr>
        <w:t>1</w:t>
      </w:r>
      <w:r>
        <w:rPr>
          <w:rFonts w:cs="Arial"/>
        </w:rPr>
        <w:t>6,</w:t>
      </w:r>
      <w:r w:rsidR="00BD5D3F">
        <w:rPr>
          <w:rFonts w:cs="Arial"/>
        </w:rPr>
        <w:t>000 </w:t>
      </w:r>
      <w:r w:rsidRPr="007D7E61">
        <w:rPr>
          <w:rFonts w:cs="Arial"/>
        </w:rPr>
        <w:t>x g for 20 minutes</w:t>
      </w:r>
      <w:r>
        <w:rPr>
          <w:rFonts w:cs="Arial"/>
        </w:rPr>
        <w:t xml:space="preserve"> at </w:t>
      </w:r>
      <w:r w:rsidRPr="007D7E61">
        <w:rPr>
          <w:rFonts w:cs="Arial"/>
        </w:rPr>
        <w:t>4°C.  Transfer the supernatants into clean tubes and discard the pellets.  Assay samples immediately or aliquot and store at -80°C</w:t>
      </w:r>
      <w:r>
        <w:rPr>
          <w:rFonts w:cs="Arial"/>
        </w:rPr>
        <w:t xml:space="preserve"> for 6 months</w:t>
      </w:r>
      <w:r w:rsidRPr="007D7E61">
        <w:rPr>
          <w:rFonts w:cs="Arial"/>
        </w:rPr>
        <w:t>.  The sample protein concentration in the extract may be quantified using a protein assay</w:t>
      </w:r>
      <w:r>
        <w:rPr>
          <w:rFonts w:cs="Arial"/>
        </w:rPr>
        <w:t>.</w:t>
      </w:r>
    </w:p>
    <w:p w14:paraId="1FAE250D" w14:textId="77777777" w:rsidR="00C61C56" w:rsidRDefault="00C61C56" w:rsidP="00C61C56">
      <w:pPr>
        <w:tabs>
          <w:tab w:val="left" w:pos="360"/>
        </w:tabs>
        <w:spacing w:after="240"/>
        <w:ind w:left="360"/>
        <w:rPr>
          <w:b/>
        </w:rPr>
      </w:pPr>
      <w:r>
        <w:rPr>
          <w:b/>
        </w:rPr>
        <w:t>7.3</w:t>
      </w:r>
      <w:r>
        <w:rPr>
          <w:b/>
        </w:rPr>
        <w:tab/>
        <w:t>Sub-cellular organelle lysates e.g. mitochondria:</w:t>
      </w:r>
    </w:p>
    <w:p w14:paraId="76D02F06" w14:textId="77777777" w:rsidR="00C61C56" w:rsidRDefault="00C61C56" w:rsidP="00C61C56">
      <w:pPr>
        <w:numPr>
          <w:ilvl w:val="2"/>
          <w:numId w:val="38"/>
        </w:numPr>
        <w:tabs>
          <w:tab w:val="left" w:pos="360"/>
        </w:tabs>
        <w:spacing w:before="0" w:after="240"/>
        <w:ind w:left="1440" w:hanging="720"/>
      </w:pPr>
      <w:r>
        <w:t>Prepare the organelle sample by, for example, sub-cellular fractionation.</w:t>
      </w:r>
    </w:p>
    <w:p w14:paraId="2BA8E813" w14:textId="77777777" w:rsidR="00C61C56" w:rsidRDefault="00C61C56" w:rsidP="00C61C56">
      <w:pPr>
        <w:numPr>
          <w:ilvl w:val="2"/>
          <w:numId w:val="38"/>
        </w:numPr>
        <w:tabs>
          <w:tab w:val="left" w:pos="360"/>
        </w:tabs>
        <w:spacing w:before="0" w:after="240"/>
        <w:ind w:left="1440" w:hanging="720"/>
      </w:pPr>
      <w:r>
        <w:t>Pellet the sample.</w:t>
      </w:r>
    </w:p>
    <w:p w14:paraId="09DBF427" w14:textId="77777777" w:rsidR="00C61C56" w:rsidRDefault="00C61C56" w:rsidP="00C61C56">
      <w:pPr>
        <w:numPr>
          <w:ilvl w:val="2"/>
          <w:numId w:val="38"/>
        </w:numPr>
        <w:tabs>
          <w:tab w:val="left" w:pos="360"/>
        </w:tabs>
        <w:spacing w:before="0" w:after="240"/>
        <w:ind w:left="1440" w:hanging="720"/>
      </w:pPr>
      <w:r>
        <w:t>Solubilize the pellet by adding 9 volumes E</w:t>
      </w:r>
      <w:r w:rsidRPr="00F6547C">
        <w:t xml:space="preserve">xtraction </w:t>
      </w:r>
      <w:r>
        <w:t>B</w:t>
      </w:r>
      <w:r w:rsidRPr="00F6547C">
        <w:t>uffer.</w:t>
      </w:r>
    </w:p>
    <w:p w14:paraId="56322813" w14:textId="77777777" w:rsidR="00C61C56" w:rsidRDefault="00C61C56" w:rsidP="00C61C56">
      <w:pPr>
        <w:numPr>
          <w:ilvl w:val="2"/>
          <w:numId w:val="38"/>
        </w:numPr>
        <w:tabs>
          <w:tab w:val="left" w:pos="360"/>
        </w:tabs>
        <w:spacing w:before="0" w:after="240"/>
        <w:ind w:left="1440" w:hanging="720"/>
      </w:pPr>
      <w:r>
        <w:t xml:space="preserve">Incubate on ice for 20 minutes.  Centrifuge at </w:t>
      </w:r>
      <w:r>
        <w:rPr>
          <w:rFonts w:cs="Arial"/>
        </w:rPr>
        <w:t xml:space="preserve">16,000 x g for 20 minutes at 4°C.  Transfer the supernatants into clean tubes and discard the pellets.  Assay samples immediately or aliquot and store at -80°C for </w:t>
      </w:r>
      <w:r>
        <w:rPr>
          <w:rFonts w:cs="Arial"/>
        </w:rPr>
        <w:lastRenderedPageBreak/>
        <w:t>6 months.  The sample protein concentration in the extract may be quantified using a protein assay.</w:t>
      </w:r>
    </w:p>
    <w:p w14:paraId="5D384BAC" w14:textId="77777777" w:rsidR="00C61C56" w:rsidRPr="0098283B" w:rsidRDefault="00C61C56" w:rsidP="00C61C56">
      <w:pPr>
        <w:spacing w:after="240"/>
        <w:rPr>
          <w:rFonts w:cs="Arial"/>
        </w:rPr>
      </w:pPr>
      <w:r w:rsidRPr="0098283B">
        <w:rPr>
          <w:rFonts w:cs="Arial"/>
        </w:rPr>
        <w:t xml:space="preserve">These test samples should be diluted to within the working range of the assay in 1X Incubation Buffer.  </w:t>
      </w:r>
    </w:p>
    <w:p w14:paraId="53BBFF77" w14:textId="77777777" w:rsidR="00C61C56" w:rsidRDefault="00C61C56" w:rsidP="00C61C56">
      <w:pPr>
        <w:pStyle w:val="Heading1"/>
        <w:numPr>
          <w:ilvl w:val="0"/>
          <w:numId w:val="23"/>
        </w:numPr>
        <w:spacing w:before="0"/>
      </w:pPr>
      <w:bookmarkStart w:id="24" w:name="_Toc152929746"/>
      <w:r>
        <w:t>Assay Procedure</w:t>
      </w:r>
      <w:bookmarkEnd w:id="24"/>
    </w:p>
    <w:p w14:paraId="6E446D57" w14:textId="77777777" w:rsidR="00C61C56" w:rsidRDefault="00C61C56" w:rsidP="00C61C56">
      <w:pPr>
        <w:spacing w:before="480"/>
        <w:rPr>
          <w:b/>
        </w:rPr>
      </w:pPr>
      <w:r>
        <w:rPr>
          <w:b/>
        </w:rPr>
        <w:t>Equilibrate</w:t>
      </w:r>
      <w:r w:rsidRPr="00871182">
        <w:rPr>
          <w:b/>
        </w:rPr>
        <w:t xml:space="preserve"> all reagents and samples to room temperature before use.  It is recommended all samples and standards be assayed in duplicate.</w:t>
      </w:r>
    </w:p>
    <w:p w14:paraId="52239F23" w14:textId="77777777" w:rsidR="00C61C56" w:rsidRDefault="00C61C56" w:rsidP="00C61C56">
      <w:pPr>
        <w:pStyle w:val="ListParagraph"/>
        <w:numPr>
          <w:ilvl w:val="1"/>
          <w:numId w:val="39"/>
        </w:numPr>
        <w:spacing w:before="120"/>
        <w:ind w:left="708" w:hanging="629"/>
        <w:contextualSpacing w:val="0"/>
      </w:pPr>
      <w:r>
        <w:t>Prepare all reagents, and samples as directed in the previous sections.</w:t>
      </w:r>
    </w:p>
    <w:p w14:paraId="3B9CD75C" w14:textId="77777777" w:rsidR="00C61C56" w:rsidRDefault="00C61C56" w:rsidP="00C61C56">
      <w:pPr>
        <w:pStyle w:val="ListParagraph"/>
        <w:numPr>
          <w:ilvl w:val="1"/>
          <w:numId w:val="39"/>
        </w:numPr>
        <w:spacing w:before="120"/>
        <w:ind w:left="709" w:hanging="630"/>
        <w:contextualSpacing w:val="0"/>
      </w:pPr>
      <w:r>
        <w:t>Remove excess microplate strips from the plate frame, return them to the foil pouch containing the desiccant pack, and re-seal.</w:t>
      </w:r>
    </w:p>
    <w:p w14:paraId="0AFEAF81" w14:textId="77777777" w:rsidR="00C61C56" w:rsidRDefault="00C61C56" w:rsidP="00C61C56">
      <w:pPr>
        <w:pStyle w:val="ListParagraph"/>
        <w:numPr>
          <w:ilvl w:val="1"/>
          <w:numId w:val="39"/>
        </w:numPr>
        <w:spacing w:before="120"/>
        <w:ind w:left="709" w:hanging="630"/>
        <w:contextualSpacing w:val="0"/>
      </w:pPr>
      <w:r>
        <w:t xml:space="preserve">Add 100 µL of each diluted sample per well.  It is recommended to include a dilution series of a control (normal) sample as a reference.  Also include a 1X Incubation Buffer as a zero standard. </w:t>
      </w:r>
    </w:p>
    <w:p w14:paraId="679F9B7D" w14:textId="77777777" w:rsidR="00C61C56" w:rsidRDefault="00C61C56" w:rsidP="00C61C56">
      <w:pPr>
        <w:pStyle w:val="ListParagraph"/>
        <w:numPr>
          <w:ilvl w:val="1"/>
          <w:numId w:val="39"/>
        </w:numPr>
        <w:spacing w:before="120"/>
        <w:ind w:left="709" w:hanging="630"/>
        <w:contextualSpacing w:val="0"/>
      </w:pPr>
      <w:r>
        <w:t>Cover/seal the plate and incubate for 3 hours at room temperature.  If available use a plate shaker for all incubation steps at 300 rpm.</w:t>
      </w:r>
    </w:p>
    <w:p w14:paraId="711CEA04" w14:textId="77777777" w:rsidR="00C61C56" w:rsidRDefault="00C61C56" w:rsidP="00C61C56">
      <w:pPr>
        <w:pStyle w:val="ListParagraph"/>
        <w:numPr>
          <w:ilvl w:val="1"/>
          <w:numId w:val="39"/>
        </w:numPr>
        <w:spacing w:before="120"/>
        <w:ind w:left="709" w:hanging="630"/>
        <w:contextualSpacing w:val="0"/>
      </w:pPr>
      <w:r>
        <w:lastRenderedPageBreak/>
        <w:t xml:space="preserve">Aspirate each well and wash, repeat this once more for a total of two washes.  Wash by aspirating or decanting from wells then dispensing 300 </w:t>
      </w:r>
      <w:r w:rsidRPr="0098283B">
        <w:rPr>
          <w:rFonts w:ascii="Symbol" w:hAnsi="Symbol"/>
        </w:rPr>
        <w:t></w:t>
      </w:r>
      <w:r>
        <w:t>L 1X Wash buffer into each well as described above.  Complete removal of liquid at each step is essential to good performance.  After the last wash, remove the remaining buffer by aspiration or decanting.  Invert the plate and blot it against clean paper towels to remove excess liquid.</w:t>
      </w:r>
    </w:p>
    <w:p w14:paraId="7D4A92F6" w14:textId="77777777" w:rsidR="00C61C56" w:rsidRDefault="00C61C56" w:rsidP="00C61C56">
      <w:pPr>
        <w:pStyle w:val="ListParagraph"/>
        <w:numPr>
          <w:ilvl w:val="1"/>
          <w:numId w:val="39"/>
        </w:numPr>
        <w:spacing w:before="120"/>
        <w:ind w:left="709" w:hanging="630"/>
        <w:contextualSpacing w:val="0"/>
      </w:pPr>
      <w:r>
        <w:t xml:space="preserve">Gently add 100 </w:t>
      </w:r>
      <w:r w:rsidRPr="0098283B">
        <w:rPr>
          <w:rFonts w:ascii="Symbol" w:hAnsi="Symbol"/>
        </w:rPr>
        <w:t></w:t>
      </w:r>
      <w:r>
        <w:t xml:space="preserve">L </w:t>
      </w:r>
      <w:r w:rsidR="009E1A75">
        <w:t>freshly prepared</w:t>
      </w:r>
      <w:r>
        <w:t xml:space="preserve"> 1X Ac</w:t>
      </w:r>
      <w:r w:rsidR="009E1A75">
        <w:t xml:space="preserve">tivity Solution (step 6.4) </w:t>
      </w:r>
      <w:r>
        <w:t>to each well minimizing the production of bubbles.</w:t>
      </w:r>
    </w:p>
    <w:p w14:paraId="30F4DCC8" w14:textId="77777777" w:rsidR="00C61C56" w:rsidRDefault="00C61C56" w:rsidP="00C61C56">
      <w:pPr>
        <w:pStyle w:val="ListParagraph"/>
        <w:numPr>
          <w:ilvl w:val="1"/>
          <w:numId w:val="39"/>
        </w:numPr>
        <w:spacing w:before="120"/>
        <w:ind w:left="709" w:hanging="630"/>
        <w:contextualSpacing w:val="0"/>
      </w:pPr>
      <w:r>
        <w:t>Pop any bubbles immediately and record absorbance in the microplate reader prepared as follows:</w:t>
      </w:r>
    </w:p>
    <w:tbl>
      <w:tblPr>
        <w:tblpPr w:leftFromText="180" w:rightFromText="180" w:vertAnchor="text" w:horzAnchor="margin" w:tblpXSpec="center" w:tblpY="236"/>
        <w:tblW w:w="4644" w:type="dxa"/>
        <w:tblLook w:val="04A0" w:firstRow="1" w:lastRow="0" w:firstColumn="1" w:lastColumn="0" w:noHBand="0" w:noVBand="1"/>
      </w:tblPr>
      <w:tblGrid>
        <w:gridCol w:w="2185"/>
        <w:gridCol w:w="2459"/>
      </w:tblGrid>
      <w:tr w:rsidR="00C61C56" w:rsidRPr="00C61C56" w14:paraId="688F1E24" w14:textId="77777777" w:rsidTr="00BB4C50">
        <w:trPr>
          <w:trHeight w:val="73"/>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6B069" w14:textId="77777777" w:rsidR="00C61C56" w:rsidRPr="00C61C56" w:rsidRDefault="00C61C56" w:rsidP="00BB4C50">
            <w:pPr>
              <w:spacing w:before="0" w:line="240" w:lineRule="auto"/>
              <w:ind w:left="709"/>
              <w:jc w:val="center"/>
              <w:rPr>
                <w:rFonts w:eastAsia="Times New Roman" w:cs="Arial"/>
                <w:b/>
                <w:bCs/>
                <w:color w:val="000000"/>
                <w:szCs w:val="22"/>
              </w:rPr>
            </w:pPr>
            <w:r w:rsidRPr="00C61C56">
              <w:rPr>
                <w:rFonts w:eastAsia="Times New Roman" w:cs="Arial"/>
                <w:b/>
                <w:bCs/>
                <w:color w:val="000000"/>
                <w:szCs w:val="22"/>
              </w:rPr>
              <w:t>Mode:</w:t>
            </w:r>
          </w:p>
        </w:tc>
        <w:tc>
          <w:tcPr>
            <w:tcW w:w="2459" w:type="dxa"/>
            <w:tcBorders>
              <w:top w:val="single" w:sz="4" w:space="0" w:color="auto"/>
              <w:left w:val="nil"/>
              <w:bottom w:val="single" w:sz="4" w:space="0" w:color="auto"/>
              <w:right w:val="single" w:sz="4" w:space="0" w:color="auto"/>
            </w:tcBorders>
            <w:shd w:val="clear" w:color="auto" w:fill="auto"/>
            <w:vAlign w:val="center"/>
            <w:hideMark/>
          </w:tcPr>
          <w:p w14:paraId="2D6A7820" w14:textId="77777777" w:rsidR="00C61C56" w:rsidRPr="00C61C56" w:rsidRDefault="00C61C56" w:rsidP="00BB4C50">
            <w:pPr>
              <w:spacing w:before="0" w:line="240" w:lineRule="auto"/>
              <w:ind w:left="709"/>
              <w:jc w:val="left"/>
              <w:rPr>
                <w:rFonts w:eastAsia="Times New Roman" w:cs="Arial"/>
                <w:b/>
                <w:bCs/>
                <w:color w:val="000000"/>
                <w:szCs w:val="22"/>
              </w:rPr>
            </w:pPr>
            <w:r w:rsidRPr="00C61C56">
              <w:rPr>
                <w:rFonts w:eastAsia="Times New Roman" w:cs="Arial"/>
                <w:b/>
                <w:bCs/>
                <w:color w:val="000000"/>
                <w:szCs w:val="22"/>
              </w:rPr>
              <w:t>Kinetic</w:t>
            </w:r>
          </w:p>
        </w:tc>
      </w:tr>
      <w:tr w:rsidR="00C61C56" w:rsidRPr="00C61C56" w14:paraId="2378722C" w14:textId="77777777" w:rsidTr="00BB4C50">
        <w:trPr>
          <w:trHeight w:val="218"/>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558445F6"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Wavelength:</w:t>
            </w:r>
          </w:p>
        </w:tc>
        <w:tc>
          <w:tcPr>
            <w:tcW w:w="2459" w:type="dxa"/>
            <w:tcBorders>
              <w:top w:val="nil"/>
              <w:left w:val="nil"/>
              <w:bottom w:val="single" w:sz="4" w:space="0" w:color="auto"/>
              <w:right w:val="single" w:sz="4" w:space="0" w:color="auto"/>
            </w:tcBorders>
            <w:shd w:val="clear" w:color="auto" w:fill="auto"/>
            <w:vAlign w:val="center"/>
            <w:hideMark/>
          </w:tcPr>
          <w:p w14:paraId="4E7CC402"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412 nM</w:t>
            </w:r>
          </w:p>
        </w:tc>
      </w:tr>
      <w:tr w:rsidR="00C61C56" w:rsidRPr="00C61C56" w14:paraId="0EB1F84F" w14:textId="77777777" w:rsidTr="00BB4C50">
        <w:trPr>
          <w:trHeight w:val="273"/>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5EC0B59C"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Time:</w:t>
            </w:r>
          </w:p>
        </w:tc>
        <w:tc>
          <w:tcPr>
            <w:tcW w:w="2459" w:type="dxa"/>
            <w:tcBorders>
              <w:top w:val="nil"/>
              <w:left w:val="nil"/>
              <w:bottom w:val="single" w:sz="4" w:space="0" w:color="auto"/>
              <w:right w:val="single" w:sz="4" w:space="0" w:color="auto"/>
            </w:tcBorders>
            <w:shd w:val="clear" w:color="auto" w:fill="auto"/>
            <w:vAlign w:val="center"/>
            <w:hideMark/>
          </w:tcPr>
          <w:p w14:paraId="22040148"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5 - 30 min.</w:t>
            </w:r>
          </w:p>
        </w:tc>
      </w:tr>
      <w:tr w:rsidR="00C61C56" w:rsidRPr="00C61C56" w14:paraId="7807210E" w14:textId="77777777" w:rsidTr="00BB4C50">
        <w:trPr>
          <w:trHeight w:val="289"/>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5C8F974F"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Temperature</w:t>
            </w:r>
          </w:p>
        </w:tc>
        <w:tc>
          <w:tcPr>
            <w:tcW w:w="2459" w:type="dxa"/>
            <w:tcBorders>
              <w:top w:val="nil"/>
              <w:left w:val="nil"/>
              <w:bottom w:val="single" w:sz="4" w:space="0" w:color="auto"/>
              <w:right w:val="single" w:sz="4" w:space="0" w:color="auto"/>
            </w:tcBorders>
            <w:shd w:val="clear" w:color="auto" w:fill="auto"/>
            <w:vAlign w:val="center"/>
            <w:hideMark/>
          </w:tcPr>
          <w:p w14:paraId="0BAC9CC6"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Ambient</w:t>
            </w:r>
          </w:p>
        </w:tc>
      </w:tr>
      <w:tr w:rsidR="00C61C56" w:rsidRPr="00C61C56" w14:paraId="2F1B1F1A" w14:textId="77777777" w:rsidTr="00BB4C50">
        <w:trPr>
          <w:trHeight w:val="262"/>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448C2114"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Interval:</w:t>
            </w:r>
          </w:p>
        </w:tc>
        <w:tc>
          <w:tcPr>
            <w:tcW w:w="2459" w:type="dxa"/>
            <w:tcBorders>
              <w:top w:val="nil"/>
              <w:left w:val="nil"/>
              <w:bottom w:val="single" w:sz="4" w:space="0" w:color="auto"/>
              <w:right w:val="single" w:sz="4" w:space="0" w:color="auto"/>
            </w:tcBorders>
            <w:shd w:val="clear" w:color="auto" w:fill="auto"/>
            <w:vAlign w:val="center"/>
            <w:hideMark/>
          </w:tcPr>
          <w:p w14:paraId="4EDDD402"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20 sec.</w:t>
            </w:r>
          </w:p>
        </w:tc>
      </w:tr>
      <w:tr w:rsidR="00C61C56" w:rsidRPr="00C61C56" w14:paraId="63DD6968" w14:textId="77777777" w:rsidTr="00BB4C50">
        <w:trPr>
          <w:trHeight w:val="371"/>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3E850223"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Shaking:</w:t>
            </w:r>
          </w:p>
        </w:tc>
        <w:tc>
          <w:tcPr>
            <w:tcW w:w="2459" w:type="dxa"/>
            <w:tcBorders>
              <w:top w:val="nil"/>
              <w:left w:val="nil"/>
              <w:bottom w:val="single" w:sz="4" w:space="0" w:color="auto"/>
              <w:right w:val="single" w:sz="4" w:space="0" w:color="auto"/>
            </w:tcBorders>
            <w:shd w:val="clear" w:color="auto" w:fill="auto"/>
            <w:vAlign w:val="center"/>
            <w:hideMark/>
          </w:tcPr>
          <w:p w14:paraId="0FAFBC74" w14:textId="77777777" w:rsidR="00C61C56" w:rsidRPr="00C61C56" w:rsidRDefault="00C61C56" w:rsidP="00BB4C50">
            <w:pPr>
              <w:spacing w:before="0" w:line="240" w:lineRule="auto"/>
              <w:ind w:left="709"/>
              <w:jc w:val="left"/>
              <w:rPr>
                <w:rFonts w:eastAsia="Times New Roman" w:cs="Arial"/>
                <w:color w:val="000000"/>
                <w:szCs w:val="22"/>
              </w:rPr>
            </w:pPr>
            <w:r w:rsidRPr="00C61C56">
              <w:rPr>
                <w:rFonts w:eastAsia="Times New Roman" w:cs="Arial"/>
                <w:color w:val="000000"/>
                <w:szCs w:val="22"/>
              </w:rPr>
              <w:t>Shake between readings</w:t>
            </w:r>
          </w:p>
        </w:tc>
      </w:tr>
    </w:tbl>
    <w:p w14:paraId="4021AE9F" w14:textId="77777777" w:rsidR="00C61C56" w:rsidRDefault="00C61C56" w:rsidP="00C61C56">
      <w:pPr>
        <w:pStyle w:val="ListParagraph"/>
        <w:numPr>
          <w:ilvl w:val="1"/>
          <w:numId w:val="39"/>
        </w:numPr>
        <w:spacing w:line="240" w:lineRule="auto"/>
        <w:ind w:left="709" w:hanging="630"/>
        <w:contextualSpacing w:val="0"/>
      </w:pPr>
      <w:r>
        <w:t xml:space="preserve">*Assay reactions occur faster as ambient temperatures are increased. </w:t>
      </w:r>
    </w:p>
    <w:p w14:paraId="6734DC8E" w14:textId="77777777" w:rsidR="00C61C56" w:rsidRDefault="00C61C56" w:rsidP="00C61C56">
      <w:pPr>
        <w:pStyle w:val="ListParagraph"/>
        <w:numPr>
          <w:ilvl w:val="1"/>
          <w:numId w:val="39"/>
        </w:numPr>
        <w:spacing w:line="240" w:lineRule="auto"/>
        <w:ind w:left="709" w:hanging="630"/>
        <w:contextualSpacing w:val="0"/>
      </w:pPr>
      <w:r>
        <w:t>Analyze the data as described below.</w:t>
      </w:r>
    </w:p>
    <w:p w14:paraId="71FE28C5" w14:textId="77777777" w:rsidR="00C61C56" w:rsidRDefault="00C61C56" w:rsidP="00C61C56">
      <w:pPr>
        <w:spacing w:line="240" w:lineRule="auto"/>
      </w:pPr>
    </w:p>
    <w:p w14:paraId="3E6F1111" w14:textId="77777777" w:rsidR="00C61C56" w:rsidRDefault="00C61C56" w:rsidP="00C61C56">
      <w:pPr>
        <w:spacing w:line="240" w:lineRule="auto"/>
      </w:pPr>
    </w:p>
    <w:p w14:paraId="45EE8A9F" w14:textId="77777777" w:rsidR="00C61C56" w:rsidRDefault="00C61C56" w:rsidP="00C61C56">
      <w:pPr>
        <w:pStyle w:val="Heading1"/>
        <w:numPr>
          <w:ilvl w:val="0"/>
          <w:numId w:val="23"/>
        </w:numPr>
        <w:spacing w:before="0"/>
      </w:pPr>
      <w:bookmarkStart w:id="25" w:name="_Toc152929747"/>
      <w:r>
        <w:lastRenderedPageBreak/>
        <w:t>Data Analysis</w:t>
      </w:r>
      <w:bookmarkEnd w:id="25"/>
    </w:p>
    <w:p w14:paraId="6B48E09B" w14:textId="77777777" w:rsidR="00C61C56" w:rsidRDefault="00C61C56" w:rsidP="00C61C56">
      <w:pPr>
        <w:spacing w:before="120"/>
      </w:pPr>
      <w:r>
        <w:t xml:space="preserve">Example data sets are shown below illustrating data analysis of CS activity measurements in HepG2 cells (as an example human cell line derived from liver), and homogenate samples from human, rat and mouse liver tissues.  </w:t>
      </w:r>
    </w:p>
    <w:p w14:paraId="65DD9B42" w14:textId="77777777" w:rsidR="00C61C56" w:rsidRDefault="00C61C56" w:rsidP="00C61C56">
      <w:pPr>
        <w:spacing w:before="120"/>
      </w:pPr>
      <w:r>
        <w:t xml:space="preserve">The starting concentration of Oxaloacetate and Acetyl CoA in the assay is 1mM and 0.06mM respectively. DTNB is added to the citrate synthase reaction to produce TNB, which can be measured at 412nm.  For simplicity the activity can be expressed as the change in absorbance per minute per amount of sample loaded into the well.  Activity was collected as described in this protocol using a Molecular Dynamics microplate reader.  Standard curves of reference sample data were exported to graphing software capable of a 4-parameter data analysis (shown below).  Activity is clearly measurable in the 1.56-100 </w:t>
      </w:r>
      <w:r w:rsidRPr="00AC31BA">
        <w:rPr>
          <w:rFonts w:ascii="Symbol" w:hAnsi="Symbol"/>
        </w:rPr>
        <w:t></w:t>
      </w:r>
      <w:r>
        <w:t xml:space="preserve">g/ mL range when such a fit is applied for HepG2, and human tissue extracts. </w:t>
      </w:r>
    </w:p>
    <w:tbl>
      <w:tblPr>
        <w:tblpPr w:leftFromText="180" w:rightFromText="180" w:vertAnchor="text" w:horzAnchor="margin" w:tblpY="235"/>
        <w:tblW w:w="6678" w:type="dxa"/>
        <w:tblLayout w:type="fixed"/>
        <w:tblLook w:val="04A0" w:firstRow="1" w:lastRow="0" w:firstColumn="1" w:lastColumn="0" w:noHBand="0" w:noVBand="1"/>
      </w:tblPr>
      <w:tblGrid>
        <w:gridCol w:w="3708"/>
        <w:gridCol w:w="2970"/>
      </w:tblGrid>
      <w:tr w:rsidR="00C61C56" w:rsidRPr="00F22EA1" w14:paraId="18766ACB" w14:textId="77777777" w:rsidTr="00BB4C50">
        <w:tc>
          <w:tcPr>
            <w:tcW w:w="3708" w:type="dxa"/>
            <w:hideMark/>
          </w:tcPr>
          <w:p w14:paraId="019A240C" w14:textId="77777777" w:rsidR="00C61C56" w:rsidRPr="00F22EA1" w:rsidRDefault="00C61C56" w:rsidP="00BB4C50">
            <w:pPr>
              <w:spacing w:before="120"/>
              <w:rPr>
                <w:rFonts w:eastAsia="MS Mincho"/>
              </w:rPr>
            </w:pPr>
            <w:r>
              <w:rPr>
                <w:rFonts w:eastAsia="MS Mincho"/>
                <w:noProof/>
                <w:lang w:val="en-GB" w:eastAsia="en-GB"/>
              </w:rPr>
              <w:lastRenderedPageBreak/>
              <w:drawing>
                <wp:inline distT="0" distB="0" distL="0" distR="0" wp14:anchorId="342146FB" wp14:editId="7BACEA6A">
                  <wp:extent cx="2067560" cy="1590040"/>
                  <wp:effectExtent l="19050" t="0" r="8890" b="0"/>
                  <wp:docPr id="2" name="Picture 2" descr="C:\Users\jxie\Desktop\jing-project\results\assay development\CS activity assay\immune based CS activity assay\images\CS activity _standard curve_He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xie\Desktop\jing-project\results\assay development\CS activity assay\immune based CS activity assay\images\CS activity _standard curve_HepG2.jpg"/>
                          <pic:cNvPicPr>
                            <a:picLocks noChangeAspect="1" noChangeArrowheads="1"/>
                          </pic:cNvPicPr>
                        </pic:nvPicPr>
                        <pic:blipFill>
                          <a:blip r:embed="rId8" cstate="print"/>
                          <a:srcRect/>
                          <a:stretch>
                            <a:fillRect/>
                          </a:stretch>
                        </pic:blipFill>
                        <pic:spPr bwMode="auto">
                          <a:xfrm>
                            <a:off x="0" y="0"/>
                            <a:ext cx="2067560" cy="1590040"/>
                          </a:xfrm>
                          <a:prstGeom prst="rect">
                            <a:avLst/>
                          </a:prstGeom>
                          <a:noFill/>
                          <a:ln w="9525">
                            <a:noFill/>
                            <a:miter lim="800000"/>
                            <a:headEnd/>
                            <a:tailEnd/>
                          </a:ln>
                        </pic:spPr>
                      </pic:pic>
                    </a:graphicData>
                  </a:graphic>
                </wp:inline>
              </w:drawing>
            </w:r>
          </w:p>
          <w:p w14:paraId="11659783" w14:textId="77777777" w:rsidR="00C61C56" w:rsidRPr="00F22EA1" w:rsidRDefault="00C61C56" w:rsidP="00BB4C50">
            <w:pPr>
              <w:spacing w:before="120"/>
              <w:ind w:left="180"/>
              <w:rPr>
                <w:rFonts w:eastAsia="MS Mincho"/>
              </w:rPr>
            </w:pPr>
            <w:r>
              <w:rPr>
                <w:rFonts w:eastAsia="MS Mincho"/>
                <w:noProof/>
                <w:lang w:val="en-GB" w:eastAsia="en-GB"/>
              </w:rPr>
              <w:drawing>
                <wp:inline distT="0" distB="0" distL="0" distR="0" wp14:anchorId="33A9DF8B" wp14:editId="16F194DD">
                  <wp:extent cx="1997710" cy="1779270"/>
                  <wp:effectExtent l="19050" t="0" r="2540" b="0"/>
                  <wp:docPr id="3" name="Picture 4" descr="C:\Users\jxie\Desktop\jing-project\results\assay development\CS activity assay\immune based CS activity assay\images\CS activity _standard curve_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xie\Desktop\jing-project\results\assay development\CS activity assay\immune based CS activity assay\images\CS activity _standard curve_HHH.jpg"/>
                          <pic:cNvPicPr>
                            <a:picLocks noChangeAspect="1" noChangeArrowheads="1"/>
                          </pic:cNvPicPr>
                        </pic:nvPicPr>
                        <pic:blipFill>
                          <a:blip r:embed="rId9" cstate="print"/>
                          <a:srcRect/>
                          <a:stretch>
                            <a:fillRect/>
                          </a:stretch>
                        </pic:blipFill>
                        <pic:spPr bwMode="auto">
                          <a:xfrm>
                            <a:off x="0" y="0"/>
                            <a:ext cx="1997710" cy="1779270"/>
                          </a:xfrm>
                          <a:prstGeom prst="rect">
                            <a:avLst/>
                          </a:prstGeom>
                          <a:noFill/>
                          <a:ln w="9525">
                            <a:noFill/>
                            <a:miter lim="800000"/>
                            <a:headEnd/>
                            <a:tailEnd/>
                          </a:ln>
                        </pic:spPr>
                      </pic:pic>
                    </a:graphicData>
                  </a:graphic>
                </wp:inline>
              </w:drawing>
            </w:r>
          </w:p>
        </w:tc>
        <w:tc>
          <w:tcPr>
            <w:tcW w:w="2970" w:type="dxa"/>
            <w:hideMark/>
          </w:tcPr>
          <w:p w14:paraId="01722415" w14:textId="77777777" w:rsidR="00C61C56" w:rsidRPr="00F22EA1" w:rsidRDefault="00C61C56" w:rsidP="00BB4C50">
            <w:pPr>
              <w:spacing w:before="120"/>
              <w:rPr>
                <w:rFonts w:eastAsia="MS Mincho"/>
              </w:rPr>
            </w:pPr>
          </w:p>
          <w:p w14:paraId="12DEEE0B" w14:textId="77777777" w:rsidR="00C61C56" w:rsidRPr="00F22EA1" w:rsidRDefault="00C61C56" w:rsidP="00BB4C50">
            <w:pPr>
              <w:spacing w:before="120"/>
              <w:rPr>
                <w:rFonts w:eastAsia="MS Mincho"/>
                <w:i/>
              </w:rPr>
            </w:pPr>
            <w:r w:rsidRPr="00F22EA1">
              <w:rPr>
                <w:rFonts w:eastAsia="MS Mincho"/>
                <w:i/>
              </w:rPr>
              <w:t>Figure 1.  Example activity measurements from titrated HepG2 cells.</w:t>
            </w:r>
          </w:p>
          <w:p w14:paraId="0D5EE4DE" w14:textId="77777777" w:rsidR="00C61C56" w:rsidRPr="00F22EA1" w:rsidRDefault="00C61C56" w:rsidP="00BB4C50">
            <w:pPr>
              <w:spacing w:before="120"/>
              <w:rPr>
                <w:rFonts w:eastAsia="MS Mincho"/>
              </w:rPr>
            </w:pPr>
          </w:p>
          <w:p w14:paraId="0C7EDD36" w14:textId="77777777" w:rsidR="00C61C56" w:rsidRPr="00F22EA1" w:rsidRDefault="00C61C56" w:rsidP="00BB4C50">
            <w:pPr>
              <w:spacing w:before="120"/>
              <w:rPr>
                <w:rFonts w:eastAsia="MS Mincho"/>
              </w:rPr>
            </w:pPr>
          </w:p>
          <w:p w14:paraId="79F91BCF" w14:textId="77777777" w:rsidR="00C61C56" w:rsidRPr="00F22EA1" w:rsidRDefault="00C61C56" w:rsidP="00BB4C50">
            <w:pPr>
              <w:spacing w:before="120"/>
              <w:rPr>
                <w:rFonts w:eastAsia="MS Mincho"/>
              </w:rPr>
            </w:pPr>
          </w:p>
          <w:p w14:paraId="64ACC111" w14:textId="77777777" w:rsidR="00C61C56" w:rsidRPr="00F22EA1" w:rsidRDefault="00C61C56" w:rsidP="00BB4C50">
            <w:pPr>
              <w:spacing w:before="120"/>
              <w:rPr>
                <w:rFonts w:eastAsia="MS Mincho"/>
              </w:rPr>
            </w:pPr>
          </w:p>
          <w:p w14:paraId="5277A688" w14:textId="77777777" w:rsidR="00C61C56" w:rsidRPr="00F22EA1" w:rsidRDefault="00C61C56" w:rsidP="00BB4C50">
            <w:pPr>
              <w:spacing w:before="120"/>
              <w:rPr>
                <w:rFonts w:eastAsia="MS Mincho"/>
              </w:rPr>
            </w:pPr>
          </w:p>
          <w:p w14:paraId="533C84D3" w14:textId="77777777" w:rsidR="00C61C56" w:rsidRPr="00F22EA1" w:rsidRDefault="00C61C56" w:rsidP="00BB4C50">
            <w:pPr>
              <w:spacing w:before="120"/>
              <w:rPr>
                <w:rFonts w:eastAsia="MS Mincho"/>
                <w:i/>
              </w:rPr>
            </w:pPr>
            <w:r w:rsidRPr="00F22EA1">
              <w:rPr>
                <w:rFonts w:eastAsia="MS Mincho"/>
                <w:i/>
              </w:rPr>
              <w:t>Figure 2.  Example activity measurements from titrated of Human heart homogenate.</w:t>
            </w:r>
          </w:p>
          <w:p w14:paraId="53C06F30" w14:textId="77777777" w:rsidR="00C61C56" w:rsidRPr="00F22EA1" w:rsidRDefault="00C61C56" w:rsidP="00BB4C50">
            <w:pPr>
              <w:spacing w:before="120"/>
              <w:rPr>
                <w:rFonts w:eastAsia="MS Mincho"/>
              </w:rPr>
            </w:pPr>
          </w:p>
        </w:tc>
      </w:tr>
    </w:tbl>
    <w:p w14:paraId="2032564A" w14:textId="7E01CBAB" w:rsidR="00C61C56" w:rsidRDefault="00C61C56" w:rsidP="00C61C56">
      <w:pPr>
        <w:spacing w:before="120"/>
      </w:pPr>
      <w:r>
        <w:t>Unknown samples should be interpolated from these reference sample graphs.  This determined relative activity is the amount of reference sample required to generate the same amount of activity as the unknown sample and usually expressed as a percent value.</w:t>
      </w:r>
    </w:p>
    <w:p w14:paraId="46250643" w14:textId="77777777" w:rsidR="00C61C56" w:rsidRPr="00AC31BA" w:rsidRDefault="00C61C56" w:rsidP="00C61C56">
      <w:pPr>
        <w:spacing w:before="120"/>
        <w:rPr>
          <w:b/>
        </w:rPr>
      </w:pPr>
      <w:r w:rsidRPr="00AC31BA">
        <w:rPr>
          <w:b/>
        </w:rPr>
        <w:t>WORKING RANGE</w:t>
      </w:r>
    </w:p>
    <w:p w14:paraId="156E06B8" w14:textId="77777777" w:rsidR="00C61C56" w:rsidRDefault="00C61C56" w:rsidP="00C61C56">
      <w:pPr>
        <w:spacing w:before="120"/>
      </w:pPr>
      <w:r>
        <w:t xml:space="preserve">This assay has been demonstrated with human, rat, and mouse liver and heart tissue homogenate samples as well as HepG2 whole cell lysate, a liver derived human cultured cell line. Typical ranges for several sample types are described below. It is highly recommended </w:t>
      </w:r>
      <w:r>
        <w:lastRenderedPageBreak/>
        <w:t>to prepare multiple dilutions for each sample to ensure that each is in the working range of the assay (see Data Analysis section).</w:t>
      </w:r>
    </w:p>
    <w:p w14:paraId="3904742C" w14:textId="77777777" w:rsidR="00C61C56" w:rsidRDefault="00C61C56" w:rsidP="00C61C56">
      <w:pPr>
        <w:spacing w:before="120"/>
      </w:pPr>
    </w:p>
    <w:tbl>
      <w:tblPr>
        <w:tblW w:w="5773" w:type="dxa"/>
        <w:jc w:val="center"/>
        <w:tblLook w:val="04A0" w:firstRow="1" w:lastRow="0" w:firstColumn="1" w:lastColumn="0" w:noHBand="0" w:noVBand="1"/>
      </w:tblPr>
      <w:tblGrid>
        <w:gridCol w:w="3265"/>
        <w:gridCol w:w="2508"/>
      </w:tblGrid>
      <w:tr w:rsidR="00C61C56" w:rsidRPr="00C61C56" w14:paraId="1F20F0E0" w14:textId="77777777" w:rsidTr="00BB4C50">
        <w:trPr>
          <w:trHeight w:val="379"/>
          <w:jc w:val="center"/>
        </w:trPr>
        <w:tc>
          <w:tcPr>
            <w:tcW w:w="3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97FB7" w14:textId="77777777" w:rsidR="00C61C56" w:rsidRPr="00C61C56" w:rsidRDefault="00C61C56" w:rsidP="00BB4C50">
            <w:pPr>
              <w:spacing w:before="0" w:line="240" w:lineRule="auto"/>
              <w:jc w:val="center"/>
              <w:rPr>
                <w:rFonts w:eastAsia="Times New Roman" w:cs="Arial"/>
                <w:b/>
                <w:bCs/>
                <w:color w:val="000000"/>
                <w:szCs w:val="22"/>
              </w:rPr>
            </w:pPr>
            <w:r w:rsidRPr="00C61C56">
              <w:rPr>
                <w:rFonts w:eastAsia="Times New Roman" w:cs="Arial"/>
                <w:b/>
                <w:bCs/>
                <w:color w:val="000000"/>
                <w:szCs w:val="22"/>
              </w:rPr>
              <w:t>Sample Type</w:t>
            </w:r>
          </w:p>
        </w:tc>
        <w:tc>
          <w:tcPr>
            <w:tcW w:w="2508" w:type="dxa"/>
            <w:tcBorders>
              <w:top w:val="single" w:sz="4" w:space="0" w:color="auto"/>
              <w:left w:val="nil"/>
              <w:bottom w:val="single" w:sz="4" w:space="0" w:color="auto"/>
              <w:right w:val="single" w:sz="4" w:space="0" w:color="auto"/>
            </w:tcBorders>
            <w:shd w:val="clear" w:color="auto" w:fill="auto"/>
            <w:vAlign w:val="center"/>
            <w:hideMark/>
          </w:tcPr>
          <w:p w14:paraId="6AD59779" w14:textId="6A768CEA" w:rsidR="00C61C56" w:rsidRPr="00C61C56" w:rsidRDefault="00C61C56" w:rsidP="00BB4C50">
            <w:pPr>
              <w:spacing w:before="0" w:line="240" w:lineRule="auto"/>
              <w:jc w:val="center"/>
              <w:rPr>
                <w:rFonts w:eastAsia="Times New Roman" w:cs="Arial"/>
                <w:b/>
                <w:bCs/>
                <w:color w:val="000000"/>
                <w:szCs w:val="22"/>
              </w:rPr>
            </w:pPr>
            <w:r w:rsidRPr="00C61C56">
              <w:rPr>
                <w:rFonts w:eastAsia="Times New Roman" w:cs="Arial"/>
                <w:b/>
                <w:bCs/>
                <w:color w:val="000000"/>
                <w:szCs w:val="22"/>
              </w:rPr>
              <w:t>Range</w:t>
            </w:r>
          </w:p>
        </w:tc>
      </w:tr>
      <w:tr w:rsidR="00C61C56" w:rsidRPr="00C61C56" w14:paraId="1DC83E0A" w14:textId="77777777" w:rsidTr="00BB4C50">
        <w:trPr>
          <w:trHeight w:val="360"/>
          <w:jc w:val="center"/>
        </w:trPr>
        <w:tc>
          <w:tcPr>
            <w:tcW w:w="3265" w:type="dxa"/>
            <w:tcBorders>
              <w:top w:val="nil"/>
              <w:left w:val="single" w:sz="4" w:space="0" w:color="auto"/>
              <w:bottom w:val="single" w:sz="4" w:space="0" w:color="auto"/>
              <w:right w:val="single" w:sz="4" w:space="0" w:color="auto"/>
            </w:tcBorders>
            <w:shd w:val="clear" w:color="auto" w:fill="auto"/>
            <w:vAlign w:val="center"/>
            <w:hideMark/>
          </w:tcPr>
          <w:p w14:paraId="4DC574DA" w14:textId="77777777" w:rsidR="00C61C56" w:rsidRPr="00C61C56" w:rsidRDefault="00C61C56" w:rsidP="00BB4C50">
            <w:pPr>
              <w:spacing w:before="0" w:line="240" w:lineRule="auto"/>
              <w:jc w:val="center"/>
              <w:rPr>
                <w:rFonts w:eastAsia="Times New Roman" w:cs="Arial"/>
                <w:color w:val="000000"/>
                <w:szCs w:val="22"/>
              </w:rPr>
            </w:pPr>
            <w:r w:rsidRPr="00C61C56">
              <w:rPr>
                <w:rFonts w:eastAsia="Times New Roman" w:cs="Arial"/>
                <w:color w:val="000000"/>
                <w:szCs w:val="22"/>
              </w:rPr>
              <w:t>Cultured whole cell extracts (type dependant) e.g.  HepG2</w:t>
            </w:r>
          </w:p>
        </w:tc>
        <w:tc>
          <w:tcPr>
            <w:tcW w:w="2508" w:type="dxa"/>
            <w:tcBorders>
              <w:top w:val="nil"/>
              <w:left w:val="nil"/>
              <w:bottom w:val="single" w:sz="4" w:space="0" w:color="auto"/>
              <w:right w:val="single" w:sz="4" w:space="0" w:color="auto"/>
            </w:tcBorders>
            <w:shd w:val="clear" w:color="auto" w:fill="auto"/>
            <w:vAlign w:val="center"/>
            <w:hideMark/>
          </w:tcPr>
          <w:p w14:paraId="2B20A0DE" w14:textId="77777777" w:rsidR="00C61C56" w:rsidRPr="00C61C56" w:rsidRDefault="00C61C56" w:rsidP="00BB4C50">
            <w:pPr>
              <w:spacing w:before="0" w:line="240" w:lineRule="auto"/>
              <w:jc w:val="center"/>
              <w:rPr>
                <w:rFonts w:eastAsia="Times New Roman" w:cs="Arial"/>
                <w:color w:val="000000"/>
                <w:szCs w:val="22"/>
              </w:rPr>
            </w:pPr>
            <w:r w:rsidRPr="00C61C56">
              <w:rPr>
                <w:rFonts w:eastAsia="Times New Roman" w:cs="Arial"/>
                <w:color w:val="000000"/>
                <w:szCs w:val="22"/>
              </w:rPr>
              <w:t xml:space="preserve">1.56 - 100 </w:t>
            </w:r>
            <w:r w:rsidRPr="00C61C56">
              <w:rPr>
                <w:rFonts w:ascii="Calibri" w:eastAsia="Times New Roman" w:hAnsi="Calibri" w:cs="Calibri"/>
                <w:color w:val="000000"/>
                <w:szCs w:val="22"/>
              </w:rPr>
              <w:t>µ</w:t>
            </w:r>
            <w:r w:rsidRPr="00C61C56">
              <w:rPr>
                <w:rFonts w:eastAsia="Times New Roman" w:cs="Arial"/>
                <w:color w:val="000000"/>
                <w:szCs w:val="22"/>
              </w:rPr>
              <w:t>g/mL</w:t>
            </w:r>
          </w:p>
        </w:tc>
      </w:tr>
      <w:tr w:rsidR="00C61C56" w:rsidRPr="00C61C56" w14:paraId="25253AD4" w14:textId="77777777" w:rsidTr="00BB4C50">
        <w:trPr>
          <w:trHeight w:val="360"/>
          <w:jc w:val="center"/>
        </w:trPr>
        <w:tc>
          <w:tcPr>
            <w:tcW w:w="3265" w:type="dxa"/>
            <w:tcBorders>
              <w:top w:val="nil"/>
              <w:left w:val="single" w:sz="4" w:space="0" w:color="auto"/>
              <w:bottom w:val="single" w:sz="4" w:space="0" w:color="auto"/>
              <w:right w:val="single" w:sz="4" w:space="0" w:color="auto"/>
            </w:tcBorders>
            <w:shd w:val="clear" w:color="auto" w:fill="auto"/>
            <w:vAlign w:val="center"/>
            <w:hideMark/>
          </w:tcPr>
          <w:p w14:paraId="2600D3DC" w14:textId="77777777" w:rsidR="00C61C56" w:rsidRPr="00C61C56" w:rsidRDefault="00C61C56" w:rsidP="00BB4C50">
            <w:pPr>
              <w:spacing w:before="0" w:line="240" w:lineRule="auto"/>
              <w:jc w:val="center"/>
              <w:rPr>
                <w:rFonts w:eastAsia="Times New Roman" w:cs="Arial"/>
                <w:color w:val="000000"/>
                <w:szCs w:val="22"/>
              </w:rPr>
            </w:pPr>
            <w:r w:rsidRPr="00C61C56">
              <w:rPr>
                <w:rFonts w:eastAsia="Times New Roman" w:cs="Arial"/>
                <w:color w:val="000000"/>
                <w:szCs w:val="22"/>
              </w:rPr>
              <w:t>Tissue extract</w:t>
            </w:r>
            <w:r w:rsidRPr="00C61C56">
              <w:rPr>
                <w:rFonts w:eastAsia="Times New Roman" w:cs="Arial"/>
                <w:color w:val="000000"/>
                <w:szCs w:val="22"/>
              </w:rPr>
              <w:br/>
              <w:t xml:space="preserve"> e.g. heart homogenate</w:t>
            </w:r>
          </w:p>
        </w:tc>
        <w:tc>
          <w:tcPr>
            <w:tcW w:w="2508" w:type="dxa"/>
            <w:tcBorders>
              <w:top w:val="nil"/>
              <w:left w:val="nil"/>
              <w:bottom w:val="single" w:sz="4" w:space="0" w:color="auto"/>
              <w:right w:val="single" w:sz="4" w:space="0" w:color="auto"/>
            </w:tcBorders>
            <w:shd w:val="clear" w:color="auto" w:fill="auto"/>
            <w:vAlign w:val="center"/>
            <w:hideMark/>
          </w:tcPr>
          <w:p w14:paraId="08CC6AAE" w14:textId="77777777" w:rsidR="00C61C56" w:rsidRPr="00C61C56" w:rsidRDefault="00C61C56" w:rsidP="00BB4C50">
            <w:pPr>
              <w:spacing w:before="0" w:line="240" w:lineRule="auto"/>
              <w:jc w:val="center"/>
              <w:rPr>
                <w:rFonts w:eastAsia="Times New Roman" w:cs="Arial"/>
                <w:color w:val="000000"/>
                <w:szCs w:val="22"/>
              </w:rPr>
            </w:pPr>
            <w:r w:rsidRPr="00C61C56">
              <w:rPr>
                <w:rFonts w:eastAsia="Times New Roman" w:cs="Arial"/>
                <w:color w:val="000000"/>
                <w:szCs w:val="22"/>
              </w:rPr>
              <w:t xml:space="preserve">1.56 - 100 </w:t>
            </w:r>
            <w:r w:rsidRPr="00C61C56">
              <w:rPr>
                <w:rFonts w:ascii="Calibri" w:eastAsia="Times New Roman" w:hAnsi="Calibri" w:cs="Calibri"/>
                <w:color w:val="000000"/>
                <w:szCs w:val="22"/>
              </w:rPr>
              <w:t>µ</w:t>
            </w:r>
            <w:r w:rsidRPr="00C61C56">
              <w:rPr>
                <w:rFonts w:eastAsia="Times New Roman" w:cs="Arial"/>
                <w:color w:val="000000"/>
                <w:szCs w:val="22"/>
              </w:rPr>
              <w:t>g/mL</w:t>
            </w:r>
          </w:p>
        </w:tc>
      </w:tr>
    </w:tbl>
    <w:p w14:paraId="204E9189" w14:textId="77777777" w:rsidR="00C61C56" w:rsidRDefault="00C61C56" w:rsidP="00C61C56">
      <w:pPr>
        <w:spacing w:before="120"/>
      </w:pPr>
    </w:p>
    <w:p w14:paraId="0132094B" w14:textId="77777777" w:rsidR="00C61C56" w:rsidRPr="00AC31BA" w:rsidRDefault="00C61C56" w:rsidP="00C61C56">
      <w:pPr>
        <w:spacing w:before="120"/>
        <w:rPr>
          <w:b/>
        </w:rPr>
      </w:pPr>
      <w:r w:rsidRPr="00AC31BA">
        <w:rPr>
          <w:b/>
        </w:rPr>
        <w:t>REPRODUCIBILITY</w:t>
      </w:r>
      <w:r>
        <w:rPr>
          <w:b/>
        </w:rPr>
        <w:t xml:space="preserve"> </w:t>
      </w:r>
    </w:p>
    <w:tbl>
      <w:tblPr>
        <w:tblW w:w="5480" w:type="dxa"/>
        <w:jc w:val="center"/>
        <w:tblLook w:val="04A0" w:firstRow="1" w:lastRow="0" w:firstColumn="1" w:lastColumn="0" w:noHBand="0" w:noVBand="1"/>
      </w:tblPr>
      <w:tblGrid>
        <w:gridCol w:w="3557"/>
        <w:gridCol w:w="1923"/>
      </w:tblGrid>
      <w:tr w:rsidR="00C61C56" w:rsidRPr="00C61C56" w14:paraId="67FB31CA" w14:textId="77777777" w:rsidTr="00BB4C50">
        <w:trPr>
          <w:trHeight w:val="446"/>
          <w:jc w:val="center"/>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B3186" w14:textId="77777777" w:rsidR="00C61C56" w:rsidRPr="00C61C56" w:rsidRDefault="00C61C56" w:rsidP="00BB4C50">
            <w:pPr>
              <w:spacing w:before="0" w:line="240" w:lineRule="auto"/>
              <w:jc w:val="center"/>
              <w:rPr>
                <w:rFonts w:eastAsia="Times New Roman" w:cs="Arial"/>
                <w:b/>
                <w:bCs/>
                <w:color w:val="000000"/>
                <w:szCs w:val="22"/>
              </w:rPr>
            </w:pPr>
            <w:r w:rsidRPr="00C61C56">
              <w:rPr>
                <w:rFonts w:eastAsia="Times New Roman" w:cs="Arial"/>
                <w:b/>
                <w:bCs/>
                <w:color w:val="000000"/>
                <w:szCs w:val="22"/>
              </w:rPr>
              <w:t>Parameter</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14:paraId="17C7D320" w14:textId="77777777" w:rsidR="00C61C56" w:rsidRPr="00C61C56" w:rsidRDefault="00C61C56" w:rsidP="00BB4C50">
            <w:pPr>
              <w:spacing w:before="0" w:line="240" w:lineRule="auto"/>
              <w:jc w:val="center"/>
              <w:rPr>
                <w:rFonts w:eastAsia="Times New Roman" w:cs="Arial"/>
                <w:b/>
                <w:bCs/>
                <w:color w:val="000000"/>
                <w:szCs w:val="22"/>
              </w:rPr>
            </w:pPr>
            <w:r w:rsidRPr="00C61C56">
              <w:rPr>
                <w:rFonts w:eastAsia="Times New Roman" w:cs="Arial"/>
                <w:b/>
                <w:bCs/>
                <w:color w:val="000000"/>
                <w:szCs w:val="22"/>
              </w:rPr>
              <w:t>%CV</w:t>
            </w:r>
          </w:p>
        </w:tc>
      </w:tr>
      <w:tr w:rsidR="00C61C56" w:rsidRPr="00C61C56" w14:paraId="35C829BE" w14:textId="77777777" w:rsidTr="00BB4C50">
        <w:trPr>
          <w:trHeight w:val="379"/>
          <w:jc w:val="center"/>
        </w:trPr>
        <w:tc>
          <w:tcPr>
            <w:tcW w:w="3557" w:type="dxa"/>
            <w:tcBorders>
              <w:top w:val="nil"/>
              <w:left w:val="single" w:sz="4" w:space="0" w:color="auto"/>
              <w:bottom w:val="single" w:sz="4" w:space="0" w:color="auto"/>
              <w:right w:val="single" w:sz="4" w:space="0" w:color="auto"/>
            </w:tcBorders>
            <w:shd w:val="clear" w:color="auto" w:fill="auto"/>
            <w:vAlign w:val="center"/>
            <w:hideMark/>
          </w:tcPr>
          <w:p w14:paraId="2AB1F0F2" w14:textId="77777777" w:rsidR="00C61C56" w:rsidRPr="00C61C56" w:rsidRDefault="00C61C56" w:rsidP="00BB4C50">
            <w:pPr>
              <w:spacing w:before="0" w:line="240" w:lineRule="auto"/>
              <w:jc w:val="center"/>
              <w:rPr>
                <w:rFonts w:eastAsia="Times New Roman" w:cs="Arial"/>
                <w:color w:val="000000"/>
                <w:szCs w:val="20"/>
              </w:rPr>
            </w:pPr>
            <w:r w:rsidRPr="00C61C56">
              <w:rPr>
                <w:rFonts w:eastAsia="Times New Roman" w:cs="Arial"/>
                <w:color w:val="000000"/>
                <w:szCs w:val="20"/>
              </w:rPr>
              <w:t>Intra (n=3,</w:t>
            </w:r>
            <w:r w:rsidRPr="00C61C56">
              <w:rPr>
                <w:rFonts w:eastAsia="Times New Roman" w:cs="Arial"/>
                <w:color w:val="000000"/>
                <w:szCs w:val="20"/>
              </w:rPr>
              <w:br/>
              <w:t xml:space="preserve">3 assays at 2,525 </w:t>
            </w:r>
            <w:r w:rsidRPr="00C61C56">
              <w:rPr>
                <w:rFonts w:ascii="Calibri" w:eastAsia="Times New Roman" w:hAnsi="Calibri" w:cs="Calibri"/>
                <w:color w:val="000000"/>
                <w:szCs w:val="20"/>
              </w:rPr>
              <w:t>µ</w:t>
            </w:r>
            <w:r w:rsidRPr="00C61C56">
              <w:rPr>
                <w:rFonts w:eastAsia="Times New Roman" w:cs="Arial"/>
                <w:color w:val="000000"/>
                <w:szCs w:val="20"/>
              </w:rPr>
              <w:t>g/mL)</w:t>
            </w:r>
          </w:p>
        </w:tc>
        <w:tc>
          <w:tcPr>
            <w:tcW w:w="1923" w:type="dxa"/>
            <w:tcBorders>
              <w:top w:val="nil"/>
              <w:left w:val="nil"/>
              <w:bottom w:val="single" w:sz="4" w:space="0" w:color="auto"/>
              <w:right w:val="single" w:sz="4" w:space="0" w:color="auto"/>
            </w:tcBorders>
            <w:shd w:val="clear" w:color="auto" w:fill="auto"/>
            <w:vAlign w:val="center"/>
            <w:hideMark/>
          </w:tcPr>
          <w:p w14:paraId="0775303C" w14:textId="77777777" w:rsidR="00C61C56" w:rsidRPr="00C61C56" w:rsidRDefault="00C61C56" w:rsidP="00BB4C50">
            <w:pPr>
              <w:spacing w:before="0" w:line="240" w:lineRule="auto"/>
              <w:jc w:val="center"/>
              <w:rPr>
                <w:rFonts w:eastAsia="Times New Roman" w:cs="Arial"/>
                <w:color w:val="000000"/>
                <w:szCs w:val="22"/>
              </w:rPr>
            </w:pPr>
            <w:r w:rsidRPr="00C61C56">
              <w:rPr>
                <w:rFonts w:eastAsia="Times New Roman" w:cs="Arial"/>
                <w:color w:val="000000"/>
                <w:szCs w:val="22"/>
              </w:rPr>
              <w:t>4.35-6.55</w:t>
            </w:r>
          </w:p>
        </w:tc>
      </w:tr>
      <w:tr w:rsidR="00C61C56" w:rsidRPr="00C61C56" w14:paraId="6675F8E1" w14:textId="77777777" w:rsidTr="00BB4C50">
        <w:trPr>
          <w:trHeight w:val="379"/>
          <w:jc w:val="center"/>
        </w:trPr>
        <w:tc>
          <w:tcPr>
            <w:tcW w:w="3557" w:type="dxa"/>
            <w:tcBorders>
              <w:top w:val="nil"/>
              <w:left w:val="single" w:sz="4" w:space="0" w:color="auto"/>
              <w:bottom w:val="single" w:sz="4" w:space="0" w:color="auto"/>
              <w:right w:val="single" w:sz="4" w:space="0" w:color="auto"/>
            </w:tcBorders>
            <w:shd w:val="clear" w:color="auto" w:fill="auto"/>
            <w:vAlign w:val="center"/>
            <w:hideMark/>
          </w:tcPr>
          <w:p w14:paraId="5AF61D7D" w14:textId="77777777" w:rsidR="00C61C56" w:rsidRPr="00C61C56" w:rsidRDefault="00C61C56" w:rsidP="00BB4C50">
            <w:pPr>
              <w:spacing w:before="0" w:line="240" w:lineRule="auto"/>
              <w:jc w:val="center"/>
              <w:rPr>
                <w:rFonts w:eastAsia="Times New Roman" w:cs="Arial"/>
                <w:color w:val="000000"/>
                <w:szCs w:val="20"/>
              </w:rPr>
            </w:pPr>
            <w:r w:rsidRPr="00C61C56">
              <w:rPr>
                <w:rFonts w:eastAsia="Times New Roman" w:cs="Arial"/>
                <w:color w:val="000000"/>
                <w:szCs w:val="20"/>
              </w:rPr>
              <w:t>Inter (n=3 days,</w:t>
            </w:r>
            <w:r w:rsidRPr="00C61C56">
              <w:rPr>
                <w:rFonts w:eastAsia="Times New Roman" w:cs="Arial"/>
                <w:color w:val="000000"/>
                <w:szCs w:val="20"/>
              </w:rPr>
              <w:br/>
              <w:t xml:space="preserve">at 25 </w:t>
            </w:r>
            <w:r w:rsidRPr="00C61C56">
              <w:rPr>
                <w:rFonts w:ascii="Calibri" w:eastAsia="Times New Roman" w:hAnsi="Calibri" w:cs="Calibri"/>
                <w:color w:val="000000"/>
                <w:szCs w:val="20"/>
              </w:rPr>
              <w:t>µ</w:t>
            </w:r>
            <w:r w:rsidRPr="00C61C56">
              <w:rPr>
                <w:rFonts w:eastAsia="Times New Roman" w:cs="Arial"/>
                <w:color w:val="000000"/>
                <w:szCs w:val="20"/>
              </w:rPr>
              <w:t>g/mL))</w:t>
            </w:r>
          </w:p>
        </w:tc>
        <w:tc>
          <w:tcPr>
            <w:tcW w:w="1923" w:type="dxa"/>
            <w:tcBorders>
              <w:top w:val="nil"/>
              <w:left w:val="nil"/>
              <w:bottom w:val="single" w:sz="4" w:space="0" w:color="auto"/>
              <w:right w:val="single" w:sz="4" w:space="0" w:color="auto"/>
            </w:tcBorders>
            <w:shd w:val="clear" w:color="auto" w:fill="auto"/>
            <w:vAlign w:val="center"/>
            <w:hideMark/>
          </w:tcPr>
          <w:p w14:paraId="2ED6187B" w14:textId="77777777" w:rsidR="00C61C56" w:rsidRPr="00C61C56" w:rsidRDefault="00C61C56" w:rsidP="00BB4C50">
            <w:pPr>
              <w:spacing w:before="0" w:line="240" w:lineRule="auto"/>
              <w:jc w:val="center"/>
              <w:rPr>
                <w:rFonts w:eastAsia="Times New Roman" w:cs="Arial"/>
                <w:color w:val="000000"/>
                <w:szCs w:val="22"/>
              </w:rPr>
            </w:pPr>
            <w:r w:rsidRPr="00C61C56">
              <w:rPr>
                <w:rFonts w:eastAsia="Times New Roman" w:cs="Arial"/>
                <w:color w:val="000000"/>
                <w:szCs w:val="22"/>
              </w:rPr>
              <w:t>8.3</w:t>
            </w:r>
          </w:p>
        </w:tc>
      </w:tr>
    </w:tbl>
    <w:p w14:paraId="6957F06B" w14:textId="23E73E6C" w:rsidR="009E3EF5" w:rsidRDefault="009E3EF5" w:rsidP="00C61C56">
      <w:pPr>
        <w:spacing w:before="120"/>
        <w:rPr>
          <w:b/>
        </w:rPr>
      </w:pPr>
    </w:p>
    <w:p w14:paraId="4318A7B9" w14:textId="6D8731BF" w:rsidR="00C61C56" w:rsidRDefault="009E3EF5" w:rsidP="009E3EF5">
      <w:pPr>
        <w:spacing w:before="0" w:line="240" w:lineRule="auto"/>
        <w:jc w:val="left"/>
        <w:rPr>
          <w:b/>
        </w:rPr>
      </w:pPr>
      <w:r>
        <w:rPr>
          <w:b/>
        </w:rPr>
        <w:br w:type="page"/>
      </w:r>
    </w:p>
    <w:p w14:paraId="6DAF193A" w14:textId="77777777" w:rsidR="00C61C56" w:rsidRPr="00AC31BA" w:rsidRDefault="00C61C56" w:rsidP="00C61C56">
      <w:pPr>
        <w:spacing w:before="0"/>
        <w:rPr>
          <w:b/>
        </w:rPr>
      </w:pPr>
      <w:r w:rsidRPr="00AC31BA">
        <w:rPr>
          <w:b/>
        </w:rPr>
        <w:lastRenderedPageBreak/>
        <w:t>SPECIFICITY</w:t>
      </w:r>
    </w:p>
    <w:p w14:paraId="7167C200" w14:textId="77777777" w:rsidR="00C61C56" w:rsidRDefault="00C61C56" w:rsidP="00C61C56">
      <w:pPr>
        <w:pStyle w:val="ListParagraph"/>
        <w:numPr>
          <w:ilvl w:val="0"/>
          <w:numId w:val="35"/>
        </w:numPr>
        <w:spacing w:before="0"/>
      </w:pPr>
      <w:r>
        <w:t>Species– human. Does not react with rat and mouse.  Others not tested.</w:t>
      </w:r>
    </w:p>
    <w:p w14:paraId="348A64A0" w14:textId="77777777" w:rsidR="00C61C56" w:rsidRDefault="00C61C56" w:rsidP="00C61C56">
      <w:pPr>
        <w:pStyle w:val="ListParagraph"/>
        <w:numPr>
          <w:ilvl w:val="0"/>
          <w:numId w:val="35"/>
        </w:numPr>
        <w:spacing w:before="120"/>
        <w:ind w:left="714" w:hanging="357"/>
        <w:contextualSpacing w:val="0"/>
      </w:pPr>
      <w:r>
        <w:t xml:space="preserve">The antibody used to isolate CS in this kit was generated by immunization of bovine heart mitochondrial matrix.  The resulting monoclonal mouse antibody specifically immunoprecipitates a single CS band to purity from human samples.  The immunoprecipitate was confirmed to be CS by mass spectrometry with no other contamination. The specificity of the immunocapture based activity assay is confirmed by replacing the capture antibody with another unrelated capture antibody.  </w:t>
      </w:r>
    </w:p>
    <w:p w14:paraId="3C4313E2" w14:textId="77777777" w:rsidR="00C61C56" w:rsidRDefault="00C61C56" w:rsidP="00C61C56">
      <w:pPr>
        <w:spacing w:before="120"/>
        <w:jc w:val="center"/>
      </w:pPr>
      <w:r>
        <w:rPr>
          <w:noProof/>
          <w:lang w:val="en-GB" w:eastAsia="en-GB"/>
        </w:rPr>
        <w:drawing>
          <wp:inline distT="0" distB="0" distL="0" distR="0" wp14:anchorId="4CE8B30F" wp14:editId="162A18F3">
            <wp:extent cx="795020" cy="1411605"/>
            <wp:effectExtent l="19050" t="0" r="5080" b="0"/>
            <wp:docPr id="4" name="Picture 9" descr="\\MITOSTORAGE\Shared\Antibody Development\New antibodies characterization\CS\MS#42-2H8BB6\CS_MS#42-2H8BB6_HLM-IP_09-12-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TOSTORAGE\Shared\Antibody Development\New antibodies characterization\CS\MS#42-2H8BB6\CS_MS#42-2H8BB6_HLM-IP_09-12-2011.jpg"/>
                    <pic:cNvPicPr>
                      <a:picLocks noChangeAspect="1" noChangeArrowheads="1"/>
                    </pic:cNvPicPr>
                  </pic:nvPicPr>
                  <pic:blipFill>
                    <a:blip r:embed="rId10" cstate="print"/>
                    <a:srcRect/>
                    <a:stretch>
                      <a:fillRect/>
                    </a:stretch>
                  </pic:blipFill>
                  <pic:spPr bwMode="auto">
                    <a:xfrm>
                      <a:off x="0" y="0"/>
                      <a:ext cx="795020" cy="1411605"/>
                    </a:xfrm>
                    <a:prstGeom prst="rect">
                      <a:avLst/>
                    </a:prstGeom>
                    <a:noFill/>
                    <a:ln w="9525">
                      <a:noFill/>
                      <a:miter lim="800000"/>
                      <a:headEnd/>
                      <a:tailEnd/>
                    </a:ln>
                  </pic:spPr>
                </pic:pic>
              </a:graphicData>
            </a:graphic>
          </wp:inline>
        </w:drawing>
      </w:r>
    </w:p>
    <w:p w14:paraId="745EA30F" w14:textId="5CA0C3BE" w:rsidR="00C61C56" w:rsidRPr="00C672E4" w:rsidRDefault="00C61C56" w:rsidP="009E3EF5">
      <w:pPr>
        <w:spacing w:before="120" w:line="276" w:lineRule="auto"/>
        <w:jc w:val="center"/>
        <w:rPr>
          <w:i/>
        </w:rPr>
      </w:pPr>
      <w:r w:rsidRPr="00C672E4">
        <w:rPr>
          <w:i/>
        </w:rPr>
        <w:t>Figure 3.  Monoclonal mouse antibody from this kit immunoprecipitated with human liver mitochondria exhibiting a single CS band.</w:t>
      </w:r>
    </w:p>
    <w:p w14:paraId="7FAF5199" w14:textId="77777777" w:rsidR="009E3EF5" w:rsidRDefault="00C61C56" w:rsidP="009E3EF5">
      <w:pPr>
        <w:tabs>
          <w:tab w:val="left" w:pos="426"/>
        </w:tabs>
        <w:ind w:left="450"/>
        <w:jc w:val="center"/>
        <w:rPr>
          <w:i/>
        </w:rPr>
      </w:pPr>
      <w:r>
        <w:rPr>
          <w:noProof/>
          <w:lang w:val="en-GB" w:eastAsia="en-GB"/>
        </w:rPr>
        <w:lastRenderedPageBreak/>
        <w:drawing>
          <wp:inline distT="0" distB="0" distL="0" distR="0" wp14:anchorId="680BD53A" wp14:editId="199FA89C">
            <wp:extent cx="2609772" cy="2581275"/>
            <wp:effectExtent l="0" t="0" r="635" b="0"/>
            <wp:docPr id="5" name="Picture 10" descr="C:\Users\jxie\Desktop\jing-project\results\assay development\CS activity assay\immune based CS activity assay\images\ CS activity _specificity_HepG2_H3@25UG_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xie\Desktop\jing-project\results\assay development\CS activity assay\immune based CS activity assay\images\ CS activity _specificity_HepG2_H3@25UG_ML.jpg"/>
                    <pic:cNvPicPr>
                      <a:picLocks noChangeAspect="1" noChangeArrowheads="1"/>
                    </pic:cNvPicPr>
                  </pic:nvPicPr>
                  <pic:blipFill>
                    <a:blip r:embed="rId11" cstate="print"/>
                    <a:srcRect/>
                    <a:stretch>
                      <a:fillRect/>
                    </a:stretch>
                  </pic:blipFill>
                  <pic:spPr bwMode="auto">
                    <a:xfrm>
                      <a:off x="0" y="0"/>
                      <a:ext cx="2639773" cy="2610949"/>
                    </a:xfrm>
                    <a:prstGeom prst="rect">
                      <a:avLst/>
                    </a:prstGeom>
                    <a:noFill/>
                    <a:ln w="9525">
                      <a:noFill/>
                      <a:miter lim="800000"/>
                      <a:headEnd/>
                      <a:tailEnd/>
                    </a:ln>
                  </pic:spPr>
                </pic:pic>
              </a:graphicData>
            </a:graphic>
          </wp:inline>
        </w:drawing>
      </w:r>
    </w:p>
    <w:p w14:paraId="0B670529" w14:textId="1634B924" w:rsidR="00C61C56" w:rsidRPr="00784B32" w:rsidRDefault="00C61C56" w:rsidP="009E3EF5">
      <w:pPr>
        <w:tabs>
          <w:tab w:val="left" w:pos="426"/>
        </w:tabs>
        <w:ind w:left="450"/>
        <w:jc w:val="center"/>
        <w:rPr>
          <w:i/>
        </w:rPr>
      </w:pPr>
      <w:r w:rsidRPr="00784B32">
        <w:rPr>
          <w:i/>
        </w:rPr>
        <w:t xml:space="preserve">Figure 4.  </w:t>
      </w:r>
      <w:r>
        <w:rPr>
          <w:i/>
        </w:rPr>
        <w:t>I</w:t>
      </w:r>
      <w:r w:rsidRPr="00784B32">
        <w:rPr>
          <w:i/>
        </w:rPr>
        <w:t>mmunocapture based activity assay</w:t>
      </w:r>
      <w:r>
        <w:rPr>
          <w:i/>
        </w:rPr>
        <w:t xml:space="preserve"> specificity</w:t>
      </w:r>
      <w:r w:rsidRPr="00784B32">
        <w:rPr>
          <w:i/>
        </w:rPr>
        <w:t xml:space="preserve"> is confirmed by replacing the capture antibody with another unrelated capture antibody.  </w:t>
      </w:r>
    </w:p>
    <w:p w14:paraId="4E073011" w14:textId="77777777" w:rsidR="00C61C56" w:rsidRDefault="00C61C56" w:rsidP="00C61C56">
      <w:pPr>
        <w:pStyle w:val="Heading1"/>
        <w:numPr>
          <w:ilvl w:val="0"/>
          <w:numId w:val="23"/>
        </w:numPr>
        <w:spacing w:before="0"/>
        <w:rPr>
          <w:lang w:val="en-GB"/>
        </w:rPr>
      </w:pPr>
      <w:r>
        <w:br w:type="page"/>
      </w:r>
      <w:bookmarkStart w:id="26" w:name="_Toc152929748"/>
      <w:r w:rsidRPr="00C61C56">
        <w:lastRenderedPageBreak/>
        <w:t>Troubleshooting</w:t>
      </w:r>
      <w:bookmarkEnd w:id="26"/>
    </w:p>
    <w:tbl>
      <w:tblPr>
        <w:tblpPr w:leftFromText="180" w:rightFromText="180" w:vertAnchor="text" w:horzAnchor="margin" w:tblpY="465"/>
        <w:tblW w:w="6231" w:type="dxa"/>
        <w:tblLook w:val="04A0" w:firstRow="1" w:lastRow="0" w:firstColumn="1" w:lastColumn="0" w:noHBand="0" w:noVBand="1"/>
      </w:tblPr>
      <w:tblGrid>
        <w:gridCol w:w="1715"/>
        <w:gridCol w:w="1936"/>
        <w:gridCol w:w="2580"/>
      </w:tblGrid>
      <w:tr w:rsidR="00C61C56" w:rsidRPr="00F22EA1" w14:paraId="5E75B3C7" w14:textId="77777777" w:rsidTr="00BB4C50">
        <w:trPr>
          <w:trHeight w:val="231"/>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BCDED" w14:textId="77777777" w:rsidR="00C61C56" w:rsidRPr="001B463D" w:rsidRDefault="00C61C56" w:rsidP="00BB4C50">
            <w:pPr>
              <w:spacing w:before="0" w:line="240" w:lineRule="auto"/>
              <w:jc w:val="center"/>
              <w:rPr>
                <w:rFonts w:eastAsia="Times New Roman" w:cs="Arial"/>
                <w:b/>
                <w:bCs/>
                <w:color w:val="000000"/>
                <w:sz w:val="18"/>
                <w:szCs w:val="18"/>
              </w:rPr>
            </w:pPr>
            <w:r w:rsidRPr="001B463D">
              <w:rPr>
                <w:rFonts w:eastAsia="Times New Roman" w:cs="Arial"/>
                <w:b/>
                <w:bCs/>
                <w:color w:val="000000"/>
                <w:sz w:val="18"/>
                <w:szCs w:val="18"/>
              </w:rPr>
              <w:t>Problem</w:t>
            </w:r>
          </w:p>
        </w:tc>
        <w:tc>
          <w:tcPr>
            <w:tcW w:w="1936" w:type="dxa"/>
            <w:tcBorders>
              <w:top w:val="single" w:sz="4" w:space="0" w:color="auto"/>
              <w:left w:val="nil"/>
              <w:bottom w:val="single" w:sz="4" w:space="0" w:color="auto"/>
              <w:right w:val="single" w:sz="4" w:space="0" w:color="auto"/>
            </w:tcBorders>
            <w:shd w:val="clear" w:color="auto" w:fill="auto"/>
            <w:vAlign w:val="center"/>
            <w:hideMark/>
          </w:tcPr>
          <w:p w14:paraId="19A7B718" w14:textId="77777777" w:rsidR="00C61C56" w:rsidRPr="001B463D" w:rsidRDefault="00C61C56" w:rsidP="00BB4C50">
            <w:pPr>
              <w:spacing w:before="0" w:line="240" w:lineRule="auto"/>
              <w:jc w:val="center"/>
              <w:rPr>
                <w:rFonts w:eastAsia="Times New Roman" w:cs="Arial"/>
                <w:b/>
                <w:bCs/>
                <w:color w:val="000000"/>
                <w:sz w:val="18"/>
                <w:szCs w:val="18"/>
              </w:rPr>
            </w:pPr>
            <w:r w:rsidRPr="001B463D">
              <w:rPr>
                <w:rFonts w:eastAsia="Times New Roman" w:cs="Arial"/>
                <w:b/>
                <w:bCs/>
                <w:color w:val="000000"/>
                <w:sz w:val="18"/>
                <w:szCs w:val="18"/>
              </w:rPr>
              <w:t>Cause</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5227DDD2" w14:textId="77777777" w:rsidR="00C61C56" w:rsidRPr="001B463D" w:rsidRDefault="00C61C56" w:rsidP="00BB4C50">
            <w:pPr>
              <w:spacing w:before="0" w:line="240" w:lineRule="auto"/>
              <w:jc w:val="center"/>
              <w:rPr>
                <w:rFonts w:eastAsia="Times New Roman" w:cs="Arial"/>
                <w:b/>
                <w:bCs/>
                <w:color w:val="000000"/>
                <w:sz w:val="18"/>
                <w:szCs w:val="18"/>
              </w:rPr>
            </w:pPr>
            <w:r w:rsidRPr="001B463D">
              <w:rPr>
                <w:rFonts w:eastAsia="Times New Roman" w:cs="Arial"/>
                <w:b/>
                <w:bCs/>
                <w:color w:val="000000"/>
                <w:sz w:val="18"/>
                <w:szCs w:val="18"/>
              </w:rPr>
              <w:t>Solution</w:t>
            </w:r>
          </w:p>
        </w:tc>
      </w:tr>
      <w:tr w:rsidR="00C61C56" w:rsidRPr="00F22EA1" w14:paraId="2117041E" w14:textId="77777777" w:rsidTr="00BB4C50">
        <w:trPr>
          <w:trHeight w:val="461"/>
        </w:trPr>
        <w:tc>
          <w:tcPr>
            <w:tcW w:w="1715" w:type="dxa"/>
            <w:vMerge w:val="restart"/>
            <w:tcBorders>
              <w:top w:val="nil"/>
              <w:left w:val="single" w:sz="4" w:space="0" w:color="auto"/>
              <w:bottom w:val="single" w:sz="4" w:space="0" w:color="000000"/>
              <w:right w:val="single" w:sz="4" w:space="0" w:color="auto"/>
            </w:tcBorders>
            <w:shd w:val="clear" w:color="auto" w:fill="auto"/>
            <w:vAlign w:val="center"/>
            <w:hideMark/>
          </w:tcPr>
          <w:p w14:paraId="647EC81C"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Poor standard</w:t>
            </w:r>
            <w:r w:rsidRPr="004150DF">
              <w:rPr>
                <w:rFonts w:eastAsia="Times New Roman" w:cs="Arial"/>
                <w:bCs/>
                <w:color w:val="000000"/>
                <w:sz w:val="18"/>
                <w:szCs w:val="18"/>
              </w:rPr>
              <w:br/>
              <w:t>curve</w:t>
            </w:r>
          </w:p>
        </w:tc>
        <w:tc>
          <w:tcPr>
            <w:tcW w:w="1936" w:type="dxa"/>
            <w:tcBorders>
              <w:top w:val="nil"/>
              <w:left w:val="nil"/>
              <w:bottom w:val="single" w:sz="4" w:space="0" w:color="auto"/>
              <w:right w:val="single" w:sz="4" w:space="0" w:color="auto"/>
            </w:tcBorders>
            <w:shd w:val="clear" w:color="auto" w:fill="auto"/>
            <w:vAlign w:val="center"/>
            <w:hideMark/>
          </w:tcPr>
          <w:p w14:paraId="6ECFCCCF"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Inaccurate Pipetting</w:t>
            </w:r>
          </w:p>
        </w:tc>
        <w:tc>
          <w:tcPr>
            <w:tcW w:w="2580" w:type="dxa"/>
            <w:tcBorders>
              <w:top w:val="nil"/>
              <w:left w:val="nil"/>
              <w:bottom w:val="single" w:sz="4" w:space="0" w:color="auto"/>
              <w:right w:val="single" w:sz="4" w:space="0" w:color="auto"/>
            </w:tcBorders>
            <w:shd w:val="clear" w:color="auto" w:fill="auto"/>
            <w:vAlign w:val="center"/>
            <w:hideMark/>
          </w:tcPr>
          <w:p w14:paraId="34F11DF5"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Check pipets</w:t>
            </w:r>
          </w:p>
        </w:tc>
      </w:tr>
      <w:tr w:rsidR="00C61C56" w:rsidRPr="00F22EA1" w14:paraId="5462572F" w14:textId="77777777" w:rsidTr="00BB4C50">
        <w:trPr>
          <w:trHeight w:val="922"/>
        </w:trPr>
        <w:tc>
          <w:tcPr>
            <w:tcW w:w="1715" w:type="dxa"/>
            <w:vMerge/>
            <w:tcBorders>
              <w:top w:val="nil"/>
              <w:left w:val="single" w:sz="4" w:space="0" w:color="auto"/>
              <w:bottom w:val="single" w:sz="4" w:space="0" w:color="000000"/>
              <w:right w:val="single" w:sz="4" w:space="0" w:color="auto"/>
            </w:tcBorders>
            <w:vAlign w:val="center"/>
            <w:hideMark/>
          </w:tcPr>
          <w:p w14:paraId="0B05AAA6" w14:textId="77777777" w:rsidR="00C61C56" w:rsidRPr="004150DF" w:rsidRDefault="00C61C56" w:rsidP="00BB4C50">
            <w:pPr>
              <w:spacing w:before="0" w:line="240" w:lineRule="auto"/>
              <w:jc w:val="left"/>
              <w:rPr>
                <w:rFonts w:eastAsia="Times New Roman" w:cs="Arial"/>
                <w:bCs/>
                <w:color w:val="000000"/>
                <w:sz w:val="18"/>
                <w:szCs w:val="18"/>
              </w:rPr>
            </w:pPr>
          </w:p>
        </w:tc>
        <w:tc>
          <w:tcPr>
            <w:tcW w:w="1936" w:type="dxa"/>
            <w:tcBorders>
              <w:top w:val="nil"/>
              <w:left w:val="nil"/>
              <w:bottom w:val="single" w:sz="4" w:space="0" w:color="auto"/>
              <w:right w:val="single" w:sz="4" w:space="0" w:color="auto"/>
            </w:tcBorders>
            <w:shd w:val="clear" w:color="auto" w:fill="auto"/>
            <w:vAlign w:val="center"/>
            <w:hideMark/>
          </w:tcPr>
          <w:p w14:paraId="73705B2C"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Improper standard</w:t>
            </w:r>
            <w:r w:rsidRPr="004150DF">
              <w:rPr>
                <w:rFonts w:eastAsia="Times New Roman" w:cs="Arial"/>
                <w:bCs/>
                <w:color w:val="000000"/>
                <w:sz w:val="18"/>
                <w:szCs w:val="18"/>
              </w:rPr>
              <w:br/>
              <w:t>dilution</w:t>
            </w:r>
          </w:p>
        </w:tc>
        <w:tc>
          <w:tcPr>
            <w:tcW w:w="2580" w:type="dxa"/>
            <w:tcBorders>
              <w:top w:val="nil"/>
              <w:left w:val="nil"/>
              <w:bottom w:val="single" w:sz="4" w:space="0" w:color="auto"/>
              <w:right w:val="single" w:sz="4" w:space="0" w:color="auto"/>
            </w:tcBorders>
            <w:shd w:val="clear" w:color="auto" w:fill="auto"/>
            <w:vAlign w:val="center"/>
            <w:hideMark/>
          </w:tcPr>
          <w:p w14:paraId="3866A204"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Prior to opening, briefly spin the stock standard tube and dissolve the powder thoroughly by gentle mixing</w:t>
            </w:r>
          </w:p>
        </w:tc>
      </w:tr>
      <w:tr w:rsidR="00C61C56" w:rsidRPr="00F22EA1" w14:paraId="537DA2A3" w14:textId="77777777" w:rsidTr="00BB4C50">
        <w:trPr>
          <w:trHeight w:val="691"/>
        </w:trPr>
        <w:tc>
          <w:tcPr>
            <w:tcW w:w="1715" w:type="dxa"/>
            <w:tcBorders>
              <w:top w:val="nil"/>
              <w:left w:val="single" w:sz="4" w:space="0" w:color="auto"/>
              <w:bottom w:val="nil"/>
              <w:right w:val="single" w:sz="4" w:space="0" w:color="auto"/>
            </w:tcBorders>
            <w:shd w:val="clear" w:color="auto" w:fill="auto"/>
            <w:noWrap/>
            <w:vAlign w:val="center"/>
            <w:hideMark/>
          </w:tcPr>
          <w:p w14:paraId="5BB776D8" w14:textId="77777777" w:rsidR="00C61C56" w:rsidRPr="004150DF" w:rsidRDefault="00C61C56" w:rsidP="00BB4C50">
            <w:pPr>
              <w:spacing w:before="0" w:line="240" w:lineRule="auto"/>
              <w:jc w:val="center"/>
              <w:rPr>
                <w:rFonts w:eastAsia="Times New Roman" w:cs="Arial"/>
                <w:bCs/>
                <w:color w:val="000000"/>
                <w:sz w:val="18"/>
                <w:szCs w:val="18"/>
              </w:rPr>
            </w:pPr>
          </w:p>
        </w:tc>
        <w:tc>
          <w:tcPr>
            <w:tcW w:w="1936" w:type="dxa"/>
            <w:tcBorders>
              <w:top w:val="nil"/>
              <w:left w:val="nil"/>
              <w:bottom w:val="single" w:sz="4" w:space="0" w:color="auto"/>
              <w:right w:val="single" w:sz="4" w:space="0" w:color="auto"/>
            </w:tcBorders>
            <w:shd w:val="clear" w:color="auto" w:fill="auto"/>
            <w:vAlign w:val="center"/>
            <w:hideMark/>
          </w:tcPr>
          <w:p w14:paraId="28573554" w14:textId="77777777" w:rsidR="00C61C56" w:rsidRPr="004150DF" w:rsidRDefault="00C61C56" w:rsidP="00BB4C50">
            <w:pPr>
              <w:spacing w:before="0" w:line="240" w:lineRule="auto"/>
              <w:jc w:val="center"/>
              <w:rPr>
                <w:rFonts w:eastAsia="Times New Roman" w:cs="Arial"/>
                <w:bCs/>
                <w:color w:val="000000"/>
                <w:sz w:val="18"/>
                <w:szCs w:val="18"/>
              </w:rPr>
            </w:pPr>
            <w:r>
              <w:rPr>
                <w:rFonts w:eastAsia="Times New Roman" w:cs="Arial"/>
                <w:bCs/>
                <w:color w:val="000000"/>
                <w:sz w:val="18"/>
                <w:szCs w:val="18"/>
              </w:rPr>
              <w:t>Low cleaved PARP concentration in sample</w:t>
            </w:r>
          </w:p>
        </w:tc>
        <w:tc>
          <w:tcPr>
            <w:tcW w:w="2580" w:type="dxa"/>
            <w:tcBorders>
              <w:top w:val="nil"/>
              <w:left w:val="nil"/>
              <w:bottom w:val="single" w:sz="4" w:space="0" w:color="auto"/>
              <w:right w:val="single" w:sz="4" w:space="0" w:color="auto"/>
            </w:tcBorders>
            <w:shd w:val="clear" w:color="auto" w:fill="auto"/>
            <w:vAlign w:val="center"/>
            <w:hideMark/>
          </w:tcPr>
          <w:p w14:paraId="34A5B0D5" w14:textId="77777777" w:rsidR="00C61C56" w:rsidRPr="004150DF" w:rsidRDefault="00C61C56" w:rsidP="00BB4C50">
            <w:pPr>
              <w:spacing w:before="0" w:line="240" w:lineRule="auto"/>
              <w:jc w:val="center"/>
              <w:rPr>
                <w:rFonts w:eastAsia="Times New Roman" w:cs="Arial"/>
                <w:bCs/>
                <w:color w:val="000000"/>
                <w:sz w:val="18"/>
                <w:szCs w:val="18"/>
              </w:rPr>
            </w:pPr>
            <w:r>
              <w:rPr>
                <w:rFonts w:eastAsia="Times New Roman" w:cs="Arial"/>
                <w:bCs/>
                <w:color w:val="000000"/>
                <w:sz w:val="18"/>
                <w:szCs w:val="18"/>
              </w:rPr>
              <w:t xml:space="preserve">Use appropriate positive control/treatment to induce apoptosis/PARP cleavage  </w:t>
            </w:r>
          </w:p>
        </w:tc>
      </w:tr>
      <w:tr w:rsidR="00C61C56" w:rsidRPr="00F22EA1" w14:paraId="750E25E7" w14:textId="77777777" w:rsidTr="00BB4C50">
        <w:trPr>
          <w:trHeight w:val="691"/>
        </w:trPr>
        <w:tc>
          <w:tcPr>
            <w:tcW w:w="1715" w:type="dxa"/>
            <w:vMerge w:val="restart"/>
            <w:tcBorders>
              <w:top w:val="nil"/>
              <w:left w:val="single" w:sz="4" w:space="0" w:color="auto"/>
              <w:bottom w:val="nil"/>
              <w:right w:val="single" w:sz="4" w:space="0" w:color="auto"/>
            </w:tcBorders>
            <w:shd w:val="clear" w:color="auto" w:fill="auto"/>
            <w:noWrap/>
            <w:vAlign w:val="center"/>
            <w:hideMark/>
          </w:tcPr>
          <w:p w14:paraId="15D51717"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Low Signal</w:t>
            </w:r>
          </w:p>
        </w:tc>
        <w:tc>
          <w:tcPr>
            <w:tcW w:w="1936" w:type="dxa"/>
            <w:tcBorders>
              <w:top w:val="nil"/>
              <w:left w:val="nil"/>
              <w:bottom w:val="single" w:sz="4" w:space="0" w:color="auto"/>
              <w:right w:val="single" w:sz="4" w:space="0" w:color="auto"/>
            </w:tcBorders>
            <w:shd w:val="clear" w:color="auto" w:fill="auto"/>
            <w:vAlign w:val="center"/>
            <w:hideMark/>
          </w:tcPr>
          <w:p w14:paraId="2AE398F6"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Incubation times too brief</w:t>
            </w:r>
          </w:p>
        </w:tc>
        <w:tc>
          <w:tcPr>
            <w:tcW w:w="2580" w:type="dxa"/>
            <w:tcBorders>
              <w:top w:val="nil"/>
              <w:left w:val="nil"/>
              <w:bottom w:val="single" w:sz="4" w:space="0" w:color="auto"/>
              <w:right w:val="single" w:sz="4" w:space="0" w:color="auto"/>
            </w:tcBorders>
            <w:shd w:val="clear" w:color="auto" w:fill="auto"/>
            <w:vAlign w:val="center"/>
            <w:hideMark/>
          </w:tcPr>
          <w:p w14:paraId="786FD368"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Ensure sufficient incubation times; change to overnight standard/sample incubation</w:t>
            </w:r>
          </w:p>
        </w:tc>
      </w:tr>
      <w:tr w:rsidR="00C61C56" w:rsidRPr="00F22EA1" w14:paraId="210D18E1" w14:textId="77777777" w:rsidTr="00BB4C50">
        <w:trPr>
          <w:trHeight w:val="691"/>
        </w:trPr>
        <w:tc>
          <w:tcPr>
            <w:tcW w:w="1715" w:type="dxa"/>
            <w:vMerge/>
            <w:tcBorders>
              <w:top w:val="nil"/>
              <w:left w:val="single" w:sz="4" w:space="0" w:color="auto"/>
              <w:bottom w:val="nil"/>
              <w:right w:val="single" w:sz="4" w:space="0" w:color="auto"/>
            </w:tcBorders>
            <w:vAlign w:val="center"/>
            <w:hideMark/>
          </w:tcPr>
          <w:p w14:paraId="3AD10920" w14:textId="77777777" w:rsidR="00C61C56" w:rsidRPr="004150DF" w:rsidRDefault="00C61C56" w:rsidP="00BB4C50">
            <w:pPr>
              <w:spacing w:before="0" w:line="240" w:lineRule="auto"/>
              <w:jc w:val="left"/>
              <w:rPr>
                <w:rFonts w:eastAsia="Times New Roman" w:cs="Arial"/>
                <w:bCs/>
                <w:color w:val="000000"/>
                <w:sz w:val="18"/>
                <w:szCs w:val="18"/>
              </w:rPr>
            </w:pPr>
          </w:p>
        </w:tc>
        <w:tc>
          <w:tcPr>
            <w:tcW w:w="1936" w:type="dxa"/>
            <w:tcBorders>
              <w:top w:val="nil"/>
              <w:left w:val="nil"/>
              <w:bottom w:val="single" w:sz="4" w:space="0" w:color="auto"/>
              <w:right w:val="single" w:sz="4" w:space="0" w:color="auto"/>
            </w:tcBorders>
            <w:shd w:val="clear" w:color="auto" w:fill="auto"/>
            <w:vAlign w:val="center"/>
            <w:hideMark/>
          </w:tcPr>
          <w:p w14:paraId="0057F45C"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Inadequate reagent volumes or improper dilution</w:t>
            </w:r>
          </w:p>
        </w:tc>
        <w:tc>
          <w:tcPr>
            <w:tcW w:w="2580" w:type="dxa"/>
            <w:tcBorders>
              <w:top w:val="nil"/>
              <w:left w:val="nil"/>
              <w:bottom w:val="single" w:sz="4" w:space="0" w:color="auto"/>
              <w:right w:val="single" w:sz="4" w:space="0" w:color="auto"/>
            </w:tcBorders>
            <w:shd w:val="clear" w:color="auto" w:fill="auto"/>
            <w:vAlign w:val="center"/>
            <w:hideMark/>
          </w:tcPr>
          <w:p w14:paraId="494617D5"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Check pipettes and ensure correct preparation</w:t>
            </w:r>
          </w:p>
        </w:tc>
      </w:tr>
      <w:tr w:rsidR="00C61C56" w:rsidRPr="00F22EA1" w14:paraId="36ABD930" w14:textId="77777777" w:rsidTr="00BB4C50">
        <w:trPr>
          <w:trHeight w:val="691"/>
        </w:trPr>
        <w:tc>
          <w:tcPr>
            <w:tcW w:w="17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803114"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Large CV</w:t>
            </w:r>
          </w:p>
        </w:tc>
        <w:tc>
          <w:tcPr>
            <w:tcW w:w="1936" w:type="dxa"/>
            <w:tcBorders>
              <w:top w:val="nil"/>
              <w:left w:val="nil"/>
              <w:bottom w:val="single" w:sz="4" w:space="0" w:color="auto"/>
              <w:right w:val="single" w:sz="4" w:space="0" w:color="auto"/>
            </w:tcBorders>
            <w:shd w:val="clear" w:color="auto" w:fill="auto"/>
            <w:vAlign w:val="center"/>
            <w:hideMark/>
          </w:tcPr>
          <w:p w14:paraId="66E78EBA"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Plate is insufficiently washed</w:t>
            </w:r>
          </w:p>
        </w:tc>
        <w:tc>
          <w:tcPr>
            <w:tcW w:w="2580" w:type="dxa"/>
            <w:tcBorders>
              <w:top w:val="nil"/>
              <w:left w:val="nil"/>
              <w:bottom w:val="single" w:sz="4" w:space="0" w:color="auto"/>
              <w:right w:val="single" w:sz="4" w:space="0" w:color="auto"/>
            </w:tcBorders>
            <w:shd w:val="clear" w:color="auto" w:fill="auto"/>
            <w:vAlign w:val="center"/>
            <w:hideMark/>
          </w:tcPr>
          <w:p w14:paraId="5C5B53D4"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Review manual for proper wash technique.  If using a plate washer, check all ports for obstructions</w:t>
            </w:r>
          </w:p>
        </w:tc>
      </w:tr>
      <w:tr w:rsidR="00C61C56" w:rsidRPr="00F22EA1" w14:paraId="3E27E090" w14:textId="77777777" w:rsidTr="00BB4C50">
        <w:trPr>
          <w:trHeight w:val="461"/>
        </w:trPr>
        <w:tc>
          <w:tcPr>
            <w:tcW w:w="1715" w:type="dxa"/>
            <w:vMerge/>
            <w:tcBorders>
              <w:top w:val="single" w:sz="4" w:space="0" w:color="auto"/>
              <w:left w:val="single" w:sz="4" w:space="0" w:color="auto"/>
              <w:bottom w:val="single" w:sz="4" w:space="0" w:color="000000"/>
              <w:right w:val="single" w:sz="4" w:space="0" w:color="auto"/>
            </w:tcBorders>
            <w:vAlign w:val="center"/>
            <w:hideMark/>
          </w:tcPr>
          <w:p w14:paraId="79B7D2DC" w14:textId="77777777" w:rsidR="00C61C56" w:rsidRPr="004150DF" w:rsidRDefault="00C61C56" w:rsidP="00BB4C50">
            <w:pPr>
              <w:spacing w:before="0" w:line="240" w:lineRule="auto"/>
              <w:jc w:val="left"/>
              <w:rPr>
                <w:rFonts w:eastAsia="Times New Roman" w:cs="Arial"/>
                <w:bCs/>
                <w:color w:val="000000"/>
                <w:sz w:val="18"/>
                <w:szCs w:val="18"/>
              </w:rPr>
            </w:pPr>
          </w:p>
        </w:tc>
        <w:tc>
          <w:tcPr>
            <w:tcW w:w="1936" w:type="dxa"/>
            <w:tcBorders>
              <w:top w:val="nil"/>
              <w:left w:val="nil"/>
              <w:bottom w:val="single" w:sz="4" w:space="0" w:color="auto"/>
              <w:right w:val="single" w:sz="4" w:space="0" w:color="auto"/>
            </w:tcBorders>
            <w:shd w:val="clear" w:color="auto" w:fill="auto"/>
            <w:vAlign w:val="center"/>
            <w:hideMark/>
          </w:tcPr>
          <w:p w14:paraId="1C214C9E"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Contaminated wash buffer</w:t>
            </w:r>
          </w:p>
        </w:tc>
        <w:tc>
          <w:tcPr>
            <w:tcW w:w="2580" w:type="dxa"/>
            <w:tcBorders>
              <w:top w:val="nil"/>
              <w:left w:val="nil"/>
              <w:bottom w:val="single" w:sz="4" w:space="0" w:color="auto"/>
              <w:right w:val="single" w:sz="4" w:space="0" w:color="auto"/>
            </w:tcBorders>
            <w:shd w:val="clear" w:color="auto" w:fill="auto"/>
            <w:vAlign w:val="center"/>
            <w:hideMark/>
          </w:tcPr>
          <w:p w14:paraId="44850544"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Make fresh wash buffer</w:t>
            </w:r>
          </w:p>
        </w:tc>
      </w:tr>
      <w:tr w:rsidR="00C61C56" w:rsidRPr="00F22EA1" w14:paraId="632BD5F9" w14:textId="77777777" w:rsidTr="00BB4C50">
        <w:trPr>
          <w:trHeight w:val="922"/>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1ADECC81"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Low sensitivity</w:t>
            </w:r>
          </w:p>
        </w:tc>
        <w:tc>
          <w:tcPr>
            <w:tcW w:w="1936" w:type="dxa"/>
            <w:tcBorders>
              <w:top w:val="nil"/>
              <w:left w:val="nil"/>
              <w:bottom w:val="single" w:sz="4" w:space="0" w:color="auto"/>
              <w:right w:val="single" w:sz="4" w:space="0" w:color="auto"/>
            </w:tcBorders>
            <w:shd w:val="clear" w:color="auto" w:fill="auto"/>
            <w:vAlign w:val="center"/>
            <w:hideMark/>
          </w:tcPr>
          <w:p w14:paraId="705842AF"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Improper storage of the ELISA kit</w:t>
            </w:r>
          </w:p>
        </w:tc>
        <w:tc>
          <w:tcPr>
            <w:tcW w:w="2580" w:type="dxa"/>
            <w:tcBorders>
              <w:top w:val="nil"/>
              <w:left w:val="nil"/>
              <w:bottom w:val="single" w:sz="4" w:space="0" w:color="auto"/>
              <w:right w:val="single" w:sz="4" w:space="0" w:color="auto"/>
            </w:tcBorders>
            <w:shd w:val="clear" w:color="auto" w:fill="auto"/>
            <w:vAlign w:val="center"/>
            <w:hideMark/>
          </w:tcPr>
          <w:p w14:paraId="05031AE7" w14:textId="77777777" w:rsidR="00C61C56" w:rsidRPr="004150DF" w:rsidRDefault="00C61C56" w:rsidP="00BB4C50">
            <w:pPr>
              <w:spacing w:before="0" w:line="240" w:lineRule="auto"/>
              <w:jc w:val="center"/>
              <w:rPr>
                <w:rFonts w:eastAsia="Times New Roman" w:cs="Arial"/>
                <w:bCs/>
                <w:color w:val="000000"/>
                <w:sz w:val="18"/>
                <w:szCs w:val="18"/>
              </w:rPr>
            </w:pPr>
            <w:r w:rsidRPr="004150DF">
              <w:rPr>
                <w:rFonts w:eastAsia="Times New Roman" w:cs="Arial"/>
                <w:bCs/>
                <w:color w:val="000000"/>
                <w:sz w:val="18"/>
                <w:szCs w:val="18"/>
              </w:rPr>
              <w:t>Store your reconstituted standards at -80°C, all other assay components 4°C.  Keep substrate solution protected from light</w:t>
            </w:r>
          </w:p>
        </w:tc>
      </w:tr>
    </w:tbl>
    <w:p w14:paraId="23BCAB4B" w14:textId="77777777" w:rsidR="00C61C56" w:rsidRDefault="00C61C56" w:rsidP="00C61C56">
      <w:pPr>
        <w:rPr>
          <w:lang w:val="en-GB"/>
        </w:rPr>
      </w:pPr>
    </w:p>
    <w:p w14:paraId="18041D10" w14:textId="77777777" w:rsidR="00AB4F8B" w:rsidRDefault="00AB4F8B" w:rsidP="00E840A9">
      <w:pPr>
        <w:spacing w:before="120" w:line="276" w:lineRule="auto"/>
        <w:rPr>
          <w:b/>
        </w:rPr>
      </w:pPr>
    </w:p>
    <w:p w14:paraId="70DBA6DB" w14:textId="77777777" w:rsidR="00AB4F8B" w:rsidRDefault="00AB4F8B" w:rsidP="00E840A9">
      <w:pPr>
        <w:spacing w:before="120" w:line="276" w:lineRule="auto"/>
        <w:rPr>
          <w:b/>
        </w:rPr>
      </w:pPr>
    </w:p>
    <w:p w14:paraId="359D1AAB" w14:textId="77777777" w:rsidR="00AB4F8B" w:rsidRDefault="00AB4F8B" w:rsidP="00E840A9">
      <w:pPr>
        <w:spacing w:before="120" w:line="276" w:lineRule="auto"/>
        <w:rPr>
          <w:b/>
        </w:rPr>
      </w:pPr>
    </w:p>
    <w:p w14:paraId="67DB8440" w14:textId="5A92D223" w:rsidR="009E3EF5" w:rsidRPr="00291DE0" w:rsidRDefault="00C61C56" w:rsidP="009E3EF5">
      <w:pPr>
        <w:spacing w:before="0" w:line="240" w:lineRule="auto"/>
        <w:jc w:val="left"/>
        <w:rPr>
          <w:rFonts w:eastAsia="Times New Roman"/>
          <w:b/>
          <w:bCs/>
          <w:sz w:val="24"/>
          <w:szCs w:val="28"/>
        </w:rPr>
      </w:pPr>
      <w:r>
        <w:rPr>
          <w:b/>
        </w:rPr>
        <w:br w:type="page"/>
      </w:r>
      <w:r w:rsidR="001326E7">
        <w:rPr>
          <w:rFonts w:cs="Arial"/>
          <w:b/>
          <w:noProof/>
          <w:lang w:val="en-GB" w:eastAsia="en-GB"/>
        </w:rPr>
        <w:lastRenderedPageBreak/>
        <w:drawing>
          <wp:anchor distT="0" distB="0" distL="114300" distR="114300" simplePos="0" relativeHeight="251658752" behindDoc="1" locked="0" layoutInCell="1" allowOverlap="1" wp14:anchorId="0000F92E" wp14:editId="72093587">
            <wp:simplePos x="0" y="0"/>
            <wp:positionH relativeFrom="column">
              <wp:posOffset>2262505</wp:posOffset>
            </wp:positionH>
            <wp:positionV relativeFrom="page">
              <wp:posOffset>247650</wp:posOffset>
            </wp:positionV>
            <wp:extent cx="2186305" cy="742950"/>
            <wp:effectExtent l="0" t="0" r="4445" b="0"/>
            <wp:wrapTight wrapText="bothSides">
              <wp:wrapPolygon edited="0">
                <wp:start x="0" y="0"/>
                <wp:lineTo x="0" y="21046"/>
                <wp:lineTo x="21456" y="21046"/>
                <wp:lineTo x="21456" y="0"/>
                <wp:lineTo x="0" y="0"/>
              </wp:wrapPolygon>
            </wp:wrapTight>
            <wp:docPr id="16" name="Picture 16"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cam_Logo_35mm.jpg"/>
                    <pic:cNvPicPr>
                      <a:picLocks noChangeAspect="1" noChangeArrowheads="1"/>
                    </pic:cNvPicPr>
                  </pic:nvPicPr>
                  <pic:blipFill rotWithShape="1">
                    <a:blip r:embed="rId7" cstate="print"/>
                    <a:srcRect t="11349" b="54606"/>
                    <a:stretch/>
                  </pic:blipFill>
                  <pic:spPr bwMode="auto">
                    <a:xfrm>
                      <a:off x="0" y="0"/>
                      <a:ext cx="2186305" cy="7429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bookmarkStart w:id="27" w:name="_Toc453674396"/>
      <w:bookmarkStart w:id="28" w:name="_Toc482275733"/>
      <w:bookmarkStart w:id="29" w:name="_Toc505592379"/>
      <w:r w:rsidR="009E3EF5" w:rsidRPr="00291DE0">
        <w:rPr>
          <w:rFonts w:eastAsia="Times New Roman"/>
          <w:b/>
          <w:bCs/>
          <w:sz w:val="24"/>
          <w:szCs w:val="28"/>
        </w:rPr>
        <w:t>Technical Support</w:t>
      </w:r>
      <w:bookmarkEnd w:id="27"/>
      <w:bookmarkEnd w:id="28"/>
      <w:bookmarkEnd w:id="29"/>
    </w:p>
    <w:p w14:paraId="6B6D7F9C" w14:textId="1563DB05" w:rsidR="009E3EF5" w:rsidRDefault="009E3EF5" w:rsidP="009E3EF5">
      <w:pPr>
        <w:pStyle w:val="NormalWeb"/>
        <w:spacing w:before="0" w:beforeAutospacing="0" w:after="0" w:afterAutospacing="0"/>
        <w:jc w:val="both"/>
        <w:rPr>
          <w:rFonts w:ascii="Century Gothic" w:hAnsi="Century Gothic" w:cs="Calibri"/>
          <w:sz w:val="18"/>
          <w:szCs w:val="18"/>
          <w:lang w:val="en-US"/>
        </w:rPr>
      </w:pPr>
      <w:r>
        <w:rPr>
          <w:rFonts w:ascii="Century Gothic" w:hAnsi="Century Gothic" w:cs="Calibri"/>
          <w:sz w:val="18"/>
          <w:szCs w:val="18"/>
          <w:lang w:val="en-US"/>
        </w:rPr>
        <w:t xml:space="preserve">Copyright © 2023 Abcam. All Rights </w:t>
      </w:r>
      <w:r>
        <w:rPr>
          <w:rFonts w:ascii="Century Gothic" w:hAnsi="Century Gothic" w:cs="Calibri"/>
          <w:sz w:val="18"/>
          <w:szCs w:val="18"/>
          <w:lang w:val="en-US"/>
        </w:rPr>
        <w:t>r</w:t>
      </w:r>
      <w:r>
        <w:rPr>
          <w:rFonts w:ascii="Century Gothic" w:hAnsi="Century Gothic" w:cs="Calibri"/>
          <w:sz w:val="18"/>
          <w:szCs w:val="18"/>
          <w:lang w:val="en-US"/>
        </w:rPr>
        <w:t>eserved. The Abcam logo is a registered trademark. All information / detail is correct at time of going to print.</w:t>
      </w:r>
    </w:p>
    <w:p w14:paraId="62C5873F" w14:textId="77777777" w:rsidR="009E3EF5" w:rsidRDefault="009E3EF5" w:rsidP="009E3EF5">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4EE2543A" w14:textId="77777777" w:rsidR="009E3EF5" w:rsidRPr="00392DF8" w:rsidRDefault="009E3EF5" w:rsidP="009E3EF5">
      <w:pPr>
        <w:pStyle w:val="NormalWeb"/>
        <w:spacing w:before="240" w:beforeAutospacing="0" w:after="0" w:afterAutospacing="0"/>
        <w:rPr>
          <w:rFonts w:ascii="Calibri" w:hAnsi="Calibri" w:cs="Calibri"/>
          <w:color w:val="000000"/>
          <w:sz w:val="18"/>
          <w:szCs w:val="18"/>
          <w:lang w:val="it-IT"/>
        </w:rPr>
      </w:pPr>
      <w:hyperlink r:id="rId12" w:history="1">
        <w:r w:rsidRPr="00392DF8">
          <w:rPr>
            <w:rStyle w:val="Hyperlink"/>
            <w:rFonts w:ascii="Century Gothic" w:hAnsi="Century Gothic" w:cs="Calibri"/>
            <w:sz w:val="18"/>
            <w:szCs w:val="18"/>
            <w:lang w:val="it-IT"/>
          </w:rPr>
          <w:t>www.abcam.com/contactus</w:t>
        </w:r>
      </w:hyperlink>
    </w:p>
    <w:p w14:paraId="5BC614D4" w14:textId="77777777" w:rsidR="009E3EF5" w:rsidRPr="00392DF8" w:rsidRDefault="009E3EF5" w:rsidP="009E3EF5">
      <w:pPr>
        <w:pStyle w:val="NormalWeb"/>
        <w:spacing w:before="240" w:beforeAutospacing="0" w:after="0" w:afterAutospacing="0"/>
        <w:rPr>
          <w:rFonts w:ascii="Calibri" w:hAnsi="Calibri" w:cs="Calibri"/>
          <w:color w:val="000000"/>
          <w:sz w:val="18"/>
          <w:szCs w:val="18"/>
          <w:lang w:val="it-IT"/>
        </w:rPr>
      </w:pPr>
      <w:hyperlink r:id="rId13" w:history="1">
        <w:r w:rsidRPr="00392DF8">
          <w:rPr>
            <w:rStyle w:val="Hyperlink"/>
            <w:rFonts w:ascii="Century Gothic" w:hAnsi="Century Gothic" w:cs="Calibri"/>
            <w:sz w:val="18"/>
            <w:szCs w:val="18"/>
            <w:lang w:val="it-IT"/>
          </w:rPr>
          <w:t>www.abcam.cn/contactus</w:t>
        </w:r>
      </w:hyperlink>
      <w:r w:rsidRPr="00392DF8">
        <w:rPr>
          <w:rFonts w:ascii="Century Gothic" w:hAnsi="Century Gothic" w:cs="Calibri"/>
          <w:color w:val="000000"/>
          <w:sz w:val="18"/>
          <w:szCs w:val="18"/>
          <w:lang w:val="it-IT"/>
        </w:rPr>
        <w:t xml:space="preserve"> (China)</w:t>
      </w:r>
    </w:p>
    <w:p w14:paraId="5919E819" w14:textId="77777777" w:rsidR="009E3EF5" w:rsidRPr="00392DF8" w:rsidRDefault="009E3EF5" w:rsidP="009E3EF5">
      <w:pPr>
        <w:pStyle w:val="NormalWeb"/>
        <w:spacing w:before="240" w:beforeAutospacing="0" w:after="0" w:afterAutospacing="0"/>
        <w:rPr>
          <w:rFonts w:ascii="Calibri" w:hAnsi="Calibri" w:cs="Calibri"/>
          <w:color w:val="000000"/>
          <w:sz w:val="18"/>
          <w:szCs w:val="18"/>
          <w:lang w:val="fr-FR"/>
        </w:rPr>
      </w:pPr>
      <w:hyperlink r:id="rId14" w:history="1">
        <w:r w:rsidRPr="00392DF8">
          <w:rPr>
            <w:rStyle w:val="Hyperlink"/>
            <w:rFonts w:ascii="Century Gothic" w:hAnsi="Century Gothic" w:cs="Calibri"/>
            <w:sz w:val="18"/>
            <w:szCs w:val="18"/>
            <w:lang w:val="fr-FR"/>
          </w:rPr>
          <w:t>www.abcam.co.jp/contactus</w:t>
        </w:r>
      </w:hyperlink>
      <w:r w:rsidRPr="00392DF8">
        <w:rPr>
          <w:rFonts w:ascii="Century Gothic" w:hAnsi="Century Gothic" w:cs="Calibri"/>
          <w:color w:val="000000"/>
          <w:sz w:val="18"/>
          <w:szCs w:val="18"/>
          <w:lang w:val="fr-FR"/>
        </w:rPr>
        <w:t xml:space="preserve"> (Japan)</w:t>
      </w:r>
    </w:p>
    <w:p w14:paraId="0006DF41" w14:textId="48A84D8B" w:rsidR="00DC1372" w:rsidRPr="006E17B3" w:rsidRDefault="00DC1372" w:rsidP="00DC1372">
      <w:pPr>
        <w:rPr>
          <w:rFonts w:cs="Arial"/>
          <w:b/>
          <w:lang w:val="en-GB"/>
        </w:rPr>
      </w:pPr>
    </w:p>
    <w:sectPr w:rsidR="00DC1372" w:rsidRPr="006E17B3" w:rsidSect="00DC1372">
      <w:headerReference w:type="even" r:id="rId15"/>
      <w:headerReference w:type="default" r:id="rId16"/>
      <w:footerReference w:type="even" r:id="rId17"/>
      <w:footerReference w:type="default" r:id="rId18"/>
      <w:footerReference w:type="first" r:id="rId19"/>
      <w:pgSz w:w="7920" w:h="12240"/>
      <w:pgMar w:top="1418" w:right="907" w:bottom="1418" w:left="907" w:header="708" w:footer="73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D7880" w14:textId="77777777" w:rsidR="00923CD1" w:rsidRDefault="00923CD1" w:rsidP="00DC1372">
      <w:r>
        <w:separator/>
      </w:r>
    </w:p>
  </w:endnote>
  <w:endnote w:type="continuationSeparator" w:id="0">
    <w:p w14:paraId="016CF82D" w14:textId="77777777" w:rsidR="00923CD1" w:rsidRDefault="00923CD1" w:rsidP="00DC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AC50" w14:textId="77777777" w:rsidR="00BB4C50" w:rsidRDefault="00BB4C50"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C347D77" w14:textId="77777777" w:rsidR="00BB4C50" w:rsidRDefault="00BB4C50" w:rsidP="00DC1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0104" w14:textId="77777777" w:rsidR="00BB4C50" w:rsidRPr="0001222D" w:rsidRDefault="00BB4C50" w:rsidP="00DC1372">
    <w:pPr>
      <w:pStyle w:val="Footer"/>
      <w:framePr w:wrap="around" w:vAnchor="text" w:hAnchor="margin" w:xAlign="right" w:y="1"/>
      <w:rPr>
        <w:rStyle w:val="PageNumber"/>
      </w:rPr>
    </w:pPr>
    <w:r w:rsidRPr="0001222D">
      <w:rPr>
        <w:rStyle w:val="PageNumber"/>
      </w:rPr>
      <w:fldChar w:fldCharType="begin"/>
    </w:r>
    <w:r w:rsidRPr="0001222D">
      <w:rPr>
        <w:rStyle w:val="PageNumber"/>
      </w:rPr>
      <w:instrText>PAGE</w:instrText>
    </w:r>
    <w:r w:rsidRPr="0001222D">
      <w:rPr>
        <w:rStyle w:val="PageNumber"/>
      </w:rPr>
      <w:fldChar w:fldCharType="separate"/>
    </w:r>
    <w:r w:rsidR="00A11B7D">
      <w:rPr>
        <w:rStyle w:val="PageNumber"/>
        <w:noProof/>
      </w:rPr>
      <w:t>5</w:t>
    </w:r>
    <w:r w:rsidRPr="0001222D">
      <w:rPr>
        <w:rStyle w:val="PageNumber"/>
      </w:rPr>
      <w:fldChar w:fldCharType="end"/>
    </w:r>
  </w:p>
  <w:p w14:paraId="5BF4AF2C" w14:textId="77777777" w:rsidR="00BB4C50" w:rsidRDefault="00BB4C50" w:rsidP="00DC1372">
    <w:pPr>
      <w:pStyle w:val="Footer"/>
      <w:ind w:right="360"/>
      <w:jc w:val="center"/>
    </w:pPr>
  </w:p>
  <w:p w14:paraId="54F11814" w14:textId="77777777" w:rsidR="00BB4C50" w:rsidRDefault="00BB4C50" w:rsidP="00DC13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6B71" w14:textId="26D86F45" w:rsidR="00A11B7D" w:rsidRDefault="00A11B7D">
    <w:pPr>
      <w:pStyle w:val="Footer"/>
    </w:pPr>
    <w:r>
      <w:t>Version 3</w:t>
    </w:r>
    <w:r w:rsidR="009E3EF5">
      <w:t>c</w:t>
    </w:r>
    <w:r>
      <w:t xml:space="preserve"> Last Updated </w:t>
    </w:r>
    <w:r>
      <w:fldChar w:fldCharType="begin"/>
    </w:r>
    <w:r>
      <w:instrText xml:space="preserve"> DATE  \@ "d MMMM yyyy"  \* MERGEFORMAT </w:instrText>
    </w:r>
    <w:r>
      <w:fldChar w:fldCharType="separate"/>
    </w:r>
    <w:r w:rsidR="009E3EF5">
      <w:rPr>
        <w:noProof/>
      </w:rPr>
      <w:t>8 December 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B7E1" w14:textId="77777777" w:rsidR="00923CD1" w:rsidRDefault="00923CD1" w:rsidP="00DC1372">
      <w:r>
        <w:separator/>
      </w:r>
    </w:p>
  </w:footnote>
  <w:footnote w:type="continuationSeparator" w:id="0">
    <w:p w14:paraId="430AC84C" w14:textId="77777777" w:rsidR="00923CD1" w:rsidRDefault="00923CD1" w:rsidP="00DC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99E8" w14:textId="77777777" w:rsidR="00BB4C50" w:rsidRDefault="009E3EF5">
    <w:pPr>
      <w:pStyle w:val="Header"/>
    </w:pPr>
    <w:r>
      <w:rPr>
        <w:noProof/>
      </w:rPr>
      <w:pict w14:anchorId="091B8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FC13" w14:textId="77777777" w:rsidR="00BB4C50" w:rsidRPr="00885DC3" w:rsidRDefault="00BB4C50" w:rsidP="00DC1372">
    <w:pPr>
      <w:pStyle w:val="Header"/>
      <w:tabs>
        <w:tab w:val="clear" w:pos="4320"/>
        <w:tab w:val="clear" w:pos="8640"/>
        <w:tab w:val="left" w:pos="0"/>
      </w:tabs>
      <w:jc w:val="cent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8203F6"/>
    <w:multiLevelType w:val="hybridMultilevel"/>
    <w:tmpl w:val="3F5A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65F78"/>
    <w:multiLevelType w:val="hybridMultilevel"/>
    <w:tmpl w:val="AFFC0036"/>
    <w:lvl w:ilvl="0" w:tplc="7DB61D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76C82"/>
    <w:multiLevelType w:val="hybridMultilevel"/>
    <w:tmpl w:val="19E26A4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AB533A"/>
    <w:multiLevelType w:val="multilevel"/>
    <w:tmpl w:val="68389BA2"/>
    <w:lvl w:ilvl="0">
      <w:start w:val="1"/>
      <w:numFmt w:val="decimal"/>
      <w:lvlText w:val="6.%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C96B89"/>
    <w:multiLevelType w:val="multilevel"/>
    <w:tmpl w:val="DDBAE39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607422"/>
    <w:multiLevelType w:val="hybridMultilevel"/>
    <w:tmpl w:val="15B067D8"/>
    <w:lvl w:ilvl="0" w:tplc="5C883E1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273AAB"/>
    <w:multiLevelType w:val="multilevel"/>
    <w:tmpl w:val="BB4CE2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D8728E"/>
    <w:multiLevelType w:val="hybridMultilevel"/>
    <w:tmpl w:val="FA96CFF2"/>
    <w:lvl w:ilvl="0" w:tplc="F02A26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D437F"/>
    <w:multiLevelType w:val="hybridMultilevel"/>
    <w:tmpl w:val="1C0C50EA"/>
    <w:lvl w:ilvl="0" w:tplc="7868C1D0">
      <w:start w:val="1"/>
      <w:numFmt w:val="decimal"/>
      <w:pStyle w:val="MediumGrid2-Accent21"/>
      <w:lvlText w:val="%1."/>
      <w:lvlJc w:val="left"/>
      <w:pPr>
        <w:ind w:left="1146"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AD3159D"/>
    <w:multiLevelType w:val="hybridMultilevel"/>
    <w:tmpl w:val="DF7660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4E5A69"/>
    <w:multiLevelType w:val="hybridMultilevel"/>
    <w:tmpl w:val="68784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0F499B"/>
    <w:multiLevelType w:val="hybridMultilevel"/>
    <w:tmpl w:val="BCF0F08A"/>
    <w:lvl w:ilvl="0" w:tplc="5CFC953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74E2C"/>
    <w:multiLevelType w:val="hybridMultilevel"/>
    <w:tmpl w:val="3B301A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94950"/>
    <w:multiLevelType w:val="hybridMultilevel"/>
    <w:tmpl w:val="EA9CFA98"/>
    <w:lvl w:ilvl="0" w:tplc="477A7742">
      <w:start w:val="1"/>
      <w:numFmt w:val="upperLetter"/>
      <w:lvlText w:val="%1."/>
      <w:lvlJc w:val="left"/>
      <w:pPr>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65085"/>
    <w:multiLevelType w:val="hybridMultilevel"/>
    <w:tmpl w:val="898C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0043D"/>
    <w:multiLevelType w:val="hybridMultilevel"/>
    <w:tmpl w:val="B2C242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4959CF"/>
    <w:multiLevelType w:val="hybridMultilevel"/>
    <w:tmpl w:val="109C6EC6"/>
    <w:lvl w:ilvl="0" w:tplc="2D50DAC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41E01"/>
    <w:multiLevelType w:val="multilevel"/>
    <w:tmpl w:val="B1F81BD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605118"/>
    <w:multiLevelType w:val="multilevel"/>
    <w:tmpl w:val="D402FD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56396F"/>
    <w:multiLevelType w:val="hybridMultilevel"/>
    <w:tmpl w:val="0838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E6CD2"/>
    <w:multiLevelType w:val="hybridMultilevel"/>
    <w:tmpl w:val="C638DDB4"/>
    <w:lvl w:ilvl="0" w:tplc="F9469626">
      <w:start w:val="1"/>
      <w:numFmt w:val="decimal"/>
      <w:lvlText w:val="%1."/>
      <w:lvlJc w:val="left"/>
      <w:pPr>
        <w:ind w:left="1077" w:hanging="360"/>
      </w:pPr>
      <w:rPr>
        <w:rFonts w:hint="default"/>
        <w:b/>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5" w15:restartNumberingAfterBreak="0">
    <w:nsid w:val="65663B6E"/>
    <w:multiLevelType w:val="hybridMultilevel"/>
    <w:tmpl w:val="58400B02"/>
    <w:lvl w:ilvl="0" w:tplc="C5AE55F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A521E"/>
    <w:multiLevelType w:val="hybridMultilevel"/>
    <w:tmpl w:val="28BAC530"/>
    <w:lvl w:ilvl="0" w:tplc="7AACA73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6B63147D"/>
    <w:multiLevelType w:val="hybridMultilevel"/>
    <w:tmpl w:val="65409F3E"/>
    <w:lvl w:ilvl="0" w:tplc="860C147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3713E6"/>
    <w:multiLevelType w:val="hybridMultilevel"/>
    <w:tmpl w:val="35F6963E"/>
    <w:lvl w:ilvl="0" w:tplc="8E32A8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3E31FE4"/>
    <w:multiLevelType w:val="hybridMultilevel"/>
    <w:tmpl w:val="3D8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F526B"/>
    <w:multiLevelType w:val="hybridMultilevel"/>
    <w:tmpl w:val="B2F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86BCC"/>
    <w:multiLevelType w:val="multilevel"/>
    <w:tmpl w:val="5FCA3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9780429">
    <w:abstractNumId w:val="5"/>
  </w:num>
  <w:num w:numId="2" w16cid:durableId="1224564678">
    <w:abstractNumId w:val="0"/>
  </w:num>
  <w:num w:numId="3" w16cid:durableId="1162936575">
    <w:abstractNumId w:val="18"/>
  </w:num>
  <w:num w:numId="4" w16cid:durableId="1567645113">
    <w:abstractNumId w:val="11"/>
  </w:num>
  <w:num w:numId="5" w16cid:durableId="1850826094">
    <w:abstractNumId w:val="30"/>
  </w:num>
  <w:num w:numId="6" w16cid:durableId="806243205">
    <w:abstractNumId w:val="11"/>
    <w:lvlOverride w:ilvl="0">
      <w:startOverride w:val="1"/>
    </w:lvlOverride>
  </w:num>
  <w:num w:numId="7" w16cid:durableId="979580587">
    <w:abstractNumId w:val="11"/>
    <w:lvlOverride w:ilvl="0">
      <w:startOverride w:val="1"/>
    </w:lvlOverride>
  </w:num>
  <w:num w:numId="8" w16cid:durableId="208424590">
    <w:abstractNumId w:val="24"/>
  </w:num>
  <w:num w:numId="9" w16cid:durableId="405034477">
    <w:abstractNumId w:val="12"/>
  </w:num>
  <w:num w:numId="10" w16cid:durableId="952637123">
    <w:abstractNumId w:val="1"/>
  </w:num>
  <w:num w:numId="11" w16cid:durableId="663053151">
    <w:abstractNumId w:val="31"/>
  </w:num>
  <w:num w:numId="12" w16cid:durableId="2045789573">
    <w:abstractNumId w:val="4"/>
  </w:num>
  <w:num w:numId="13" w16cid:durableId="1347439586">
    <w:abstractNumId w:val="0"/>
  </w:num>
  <w:num w:numId="14" w16cid:durableId="1014190170">
    <w:abstractNumId w:val="29"/>
  </w:num>
  <w:num w:numId="15" w16cid:durableId="1587422286">
    <w:abstractNumId w:val="0"/>
  </w:num>
  <w:num w:numId="16" w16cid:durableId="1376387879">
    <w:abstractNumId w:val="0"/>
  </w:num>
  <w:num w:numId="17" w16cid:durableId="2126002686">
    <w:abstractNumId w:val="0"/>
  </w:num>
  <w:num w:numId="18" w16cid:durableId="347760107">
    <w:abstractNumId w:val="0"/>
  </w:num>
  <w:num w:numId="19" w16cid:durableId="518160277">
    <w:abstractNumId w:val="27"/>
  </w:num>
  <w:num w:numId="20" w16cid:durableId="595525730">
    <w:abstractNumId w:val="19"/>
  </w:num>
  <w:num w:numId="21" w16cid:durableId="1966736897">
    <w:abstractNumId w:val="20"/>
  </w:num>
  <w:num w:numId="22" w16cid:durableId="486939894">
    <w:abstractNumId w:val="3"/>
  </w:num>
  <w:num w:numId="23" w16cid:durableId="1649243371">
    <w:abstractNumId w:val="13"/>
  </w:num>
  <w:num w:numId="24" w16cid:durableId="394278092">
    <w:abstractNumId w:val="28"/>
  </w:num>
  <w:num w:numId="25" w16cid:durableId="546992298">
    <w:abstractNumId w:val="25"/>
  </w:num>
  <w:num w:numId="26" w16cid:durableId="1047029644">
    <w:abstractNumId w:val="8"/>
  </w:num>
  <w:num w:numId="27" w16cid:durableId="1820001206">
    <w:abstractNumId w:val="16"/>
  </w:num>
  <w:num w:numId="28" w16cid:durableId="1328703364">
    <w:abstractNumId w:val="10"/>
  </w:num>
  <w:num w:numId="29" w16cid:durableId="1881892493">
    <w:abstractNumId w:val="26"/>
  </w:num>
  <w:num w:numId="30" w16cid:durableId="1506821277">
    <w:abstractNumId w:val="11"/>
    <w:lvlOverride w:ilvl="0">
      <w:startOverride w:val="5"/>
    </w:lvlOverride>
  </w:num>
  <w:num w:numId="31" w16cid:durableId="545335766">
    <w:abstractNumId w:val="14"/>
  </w:num>
  <w:num w:numId="32" w16cid:durableId="338850772">
    <w:abstractNumId w:val="2"/>
  </w:num>
  <w:num w:numId="33" w16cid:durableId="1593467326">
    <w:abstractNumId w:val="23"/>
  </w:num>
  <w:num w:numId="34" w16cid:durableId="794837761">
    <w:abstractNumId w:val="17"/>
  </w:num>
  <w:num w:numId="35" w16cid:durableId="806162109">
    <w:abstractNumId w:val="15"/>
  </w:num>
  <w:num w:numId="36" w16cid:durableId="1555388076">
    <w:abstractNumId w:val="7"/>
  </w:num>
  <w:num w:numId="37" w16cid:durableId="1408915044">
    <w:abstractNumId w:val="22"/>
  </w:num>
  <w:num w:numId="38" w16cid:durableId="500703902">
    <w:abstractNumId w:val="9"/>
  </w:num>
  <w:num w:numId="39" w16cid:durableId="41952298">
    <w:abstractNumId w:val="21"/>
  </w:num>
  <w:num w:numId="40" w16cid:durableId="1007291295">
    <w:abstractNumId w:val="6"/>
  </w:num>
  <w:num w:numId="41" w16cid:durableId="2139755300">
    <w:abstractNumId w:val="5"/>
  </w:num>
  <w:num w:numId="42" w16cid:durableId="8024371">
    <w:abstractNumId w:val="32"/>
  </w:num>
  <w:num w:numId="43" w16cid:durableId="1094060366">
    <w:abstractNumId w:val="5"/>
  </w:num>
  <w:num w:numId="44" w16cid:durableId="650132800">
    <w:abstractNumId w:val="5"/>
  </w:num>
  <w:num w:numId="45" w16cid:durableId="19551035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519C2"/>
    <w:rsid w:val="000A26EA"/>
    <w:rsid w:val="001326E7"/>
    <w:rsid w:val="00133CFC"/>
    <w:rsid w:val="00146054"/>
    <w:rsid w:val="00193E3D"/>
    <w:rsid w:val="001B2046"/>
    <w:rsid w:val="001C6CF5"/>
    <w:rsid w:val="00220404"/>
    <w:rsid w:val="002638C8"/>
    <w:rsid w:val="00287E56"/>
    <w:rsid w:val="002D28E9"/>
    <w:rsid w:val="003A672F"/>
    <w:rsid w:val="003D1566"/>
    <w:rsid w:val="00445BED"/>
    <w:rsid w:val="004924B5"/>
    <w:rsid w:val="005566F0"/>
    <w:rsid w:val="00557AE0"/>
    <w:rsid w:val="005B4251"/>
    <w:rsid w:val="005C715C"/>
    <w:rsid w:val="005D5667"/>
    <w:rsid w:val="006310B8"/>
    <w:rsid w:val="00635750"/>
    <w:rsid w:val="00661167"/>
    <w:rsid w:val="00723BE7"/>
    <w:rsid w:val="0076745B"/>
    <w:rsid w:val="00777BC4"/>
    <w:rsid w:val="00793068"/>
    <w:rsid w:val="007A5395"/>
    <w:rsid w:val="007D1170"/>
    <w:rsid w:val="00812693"/>
    <w:rsid w:val="00826A60"/>
    <w:rsid w:val="00831CEC"/>
    <w:rsid w:val="00883818"/>
    <w:rsid w:val="008B2920"/>
    <w:rsid w:val="008B2FC0"/>
    <w:rsid w:val="008B36B3"/>
    <w:rsid w:val="00901E8F"/>
    <w:rsid w:val="00905980"/>
    <w:rsid w:val="00920CA4"/>
    <w:rsid w:val="00923CD1"/>
    <w:rsid w:val="00971D31"/>
    <w:rsid w:val="009E1A75"/>
    <w:rsid w:val="009E3EF5"/>
    <w:rsid w:val="00A11B7D"/>
    <w:rsid w:val="00A52E13"/>
    <w:rsid w:val="00A61EE0"/>
    <w:rsid w:val="00A835F2"/>
    <w:rsid w:val="00A93842"/>
    <w:rsid w:val="00A9422A"/>
    <w:rsid w:val="00AB4F8B"/>
    <w:rsid w:val="00AB5029"/>
    <w:rsid w:val="00B8255E"/>
    <w:rsid w:val="00BB4C50"/>
    <w:rsid w:val="00BD5D3F"/>
    <w:rsid w:val="00C12998"/>
    <w:rsid w:val="00C61C56"/>
    <w:rsid w:val="00C76C15"/>
    <w:rsid w:val="00CA6809"/>
    <w:rsid w:val="00D36450"/>
    <w:rsid w:val="00D50132"/>
    <w:rsid w:val="00D5667C"/>
    <w:rsid w:val="00D6414F"/>
    <w:rsid w:val="00D93A0A"/>
    <w:rsid w:val="00DB743B"/>
    <w:rsid w:val="00DC1372"/>
    <w:rsid w:val="00E2326C"/>
    <w:rsid w:val="00E6687C"/>
    <w:rsid w:val="00E80001"/>
    <w:rsid w:val="00E840A9"/>
    <w:rsid w:val="00EA777F"/>
    <w:rsid w:val="00EC5724"/>
    <w:rsid w:val="00EF796C"/>
    <w:rsid w:val="00F57CC5"/>
    <w:rsid w:val="00FB4055"/>
    <w:rsid w:val="00FD6D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62798B"/>
  <w15:docId w15:val="{5B4ACD22-DE36-40CE-B89D-26760C38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cs="Times New Roman"/>
      <w:bCs/>
      <w:sz w:val="20"/>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 w:val="20"/>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34"/>
    <w:qFormat/>
    <w:rsid w:val="00220404"/>
    <w:pPr>
      <w:ind w:left="1440" w:hanging="360"/>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Quote">
    <w:name w:val="Quote"/>
    <w:basedOn w:val="Normal"/>
    <w:next w:val="Normal"/>
    <w:link w:val="QuoteChar"/>
    <w:uiPriority w:val="29"/>
    <w:qFormat/>
    <w:rsid w:val="008B36B3"/>
    <w:pPr>
      <w:ind w:left="1146" w:hanging="360"/>
      <w:contextualSpacing/>
    </w:pPr>
    <w:rPr>
      <w:rFonts w:eastAsiaTheme="minorHAnsi" w:cstheme="minorBidi"/>
      <w:iCs/>
      <w:color w:val="000000" w:themeColor="text1"/>
    </w:rPr>
  </w:style>
  <w:style w:type="character" w:customStyle="1" w:styleId="QuoteChar">
    <w:name w:val="Quote Char"/>
    <w:basedOn w:val="DefaultParagraphFont"/>
    <w:link w:val="Quote"/>
    <w:uiPriority w:val="29"/>
    <w:rsid w:val="008B36B3"/>
    <w:rPr>
      <w:rFonts w:ascii="Arial" w:eastAsiaTheme="minorHAnsi" w:hAnsi="Arial" w:cstheme="minorBidi"/>
      <w:iCs/>
      <w:color w:val="000000" w:themeColor="text1"/>
      <w:szCs w:val="24"/>
    </w:rPr>
  </w:style>
  <w:style w:type="paragraph" w:styleId="NormalWeb">
    <w:name w:val="Normal (Web)"/>
    <w:basedOn w:val="Normal"/>
    <w:uiPriority w:val="99"/>
    <w:semiHidden/>
    <w:unhideWhenUsed/>
    <w:rsid w:val="009E3EF5"/>
    <w:pPr>
      <w:spacing w:before="100" w:beforeAutospacing="1" w:after="100" w:afterAutospacing="1" w:line="240" w:lineRule="auto"/>
      <w:jc w:val="left"/>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bcam.cn/contactu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bcam.com/contact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1993</Words>
  <Characters>11366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Nooria Painda</cp:lastModifiedBy>
  <cp:revision>2</cp:revision>
  <cp:lastPrinted>2012-03-26T13:36:00Z</cp:lastPrinted>
  <dcterms:created xsi:type="dcterms:W3CDTF">2023-12-08T12:09:00Z</dcterms:created>
  <dcterms:modified xsi:type="dcterms:W3CDTF">2023-12-08T12:09:00Z</dcterms:modified>
</cp:coreProperties>
</file>