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DABB"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5B16D6A0" wp14:editId="1634905B">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4651270D" w14:textId="77777777" w:rsidR="00DC1372" w:rsidRPr="006E17B3" w:rsidRDefault="00DC1372" w:rsidP="00DC1372">
      <w:pPr>
        <w:rPr>
          <w:rFonts w:cs="Arial"/>
          <w:lang w:val="en-GB"/>
        </w:rPr>
      </w:pPr>
    </w:p>
    <w:p w14:paraId="325405F3"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3025B858" w14:textId="77777777" w:rsidTr="00C12998">
        <w:trPr>
          <w:trHeight w:hRule="exact" w:val="3402"/>
        </w:trPr>
        <w:tc>
          <w:tcPr>
            <w:tcW w:w="6096" w:type="dxa"/>
            <w:vAlign w:val="center"/>
          </w:tcPr>
          <w:p w14:paraId="5C750827" w14:textId="77777777" w:rsidR="00AF3A40" w:rsidRPr="00AF3A40" w:rsidRDefault="00762322" w:rsidP="00AF3A40">
            <w:pPr>
              <w:ind w:left="34"/>
              <w:jc w:val="left"/>
              <w:rPr>
                <w:b/>
                <w:sz w:val="48"/>
              </w:rPr>
            </w:pPr>
            <w:r>
              <w:rPr>
                <w:b/>
                <w:sz w:val="48"/>
              </w:rPr>
              <w:t>a</w:t>
            </w:r>
            <w:r w:rsidR="00AF3A40" w:rsidRPr="00AF3A40">
              <w:rPr>
                <w:b/>
                <w:sz w:val="48"/>
              </w:rPr>
              <w:t>b</w:t>
            </w:r>
            <w:r>
              <w:rPr>
                <w:b/>
                <w:sz w:val="48"/>
              </w:rPr>
              <w:t>139469</w:t>
            </w:r>
          </w:p>
          <w:p w14:paraId="10C6A7F2" w14:textId="6748884A" w:rsidR="00DC1372" w:rsidRPr="00762322" w:rsidRDefault="00762322" w:rsidP="00364C85">
            <w:pPr>
              <w:spacing w:before="0"/>
              <w:ind w:left="34"/>
              <w:jc w:val="left"/>
              <w:rPr>
                <w:b/>
                <w:sz w:val="48"/>
                <w:szCs w:val="48"/>
              </w:rPr>
            </w:pPr>
            <w:r w:rsidRPr="00762322">
              <w:rPr>
                <w:rFonts w:cs="Arial"/>
                <w:b/>
                <w:color w:val="000000"/>
                <w:sz w:val="48"/>
                <w:szCs w:val="48"/>
              </w:rPr>
              <w:t>E3 Ligase Auto-</w:t>
            </w:r>
            <w:r w:rsidR="0037392D" w:rsidRPr="00762322">
              <w:rPr>
                <w:rFonts w:cs="Arial"/>
                <w:b/>
                <w:color w:val="000000"/>
                <w:sz w:val="48"/>
                <w:szCs w:val="48"/>
              </w:rPr>
              <w:t>Ubiquitylation</w:t>
            </w:r>
            <w:r w:rsidRPr="00762322">
              <w:rPr>
                <w:rFonts w:cs="Arial"/>
                <w:b/>
                <w:color w:val="000000"/>
                <w:sz w:val="48"/>
                <w:szCs w:val="48"/>
              </w:rPr>
              <w:t xml:space="preserve"> Assay Kit</w:t>
            </w:r>
          </w:p>
        </w:tc>
      </w:tr>
    </w:tbl>
    <w:p w14:paraId="321DE21C" w14:textId="77777777" w:rsidR="00DC1372" w:rsidRPr="00450C6C" w:rsidRDefault="00DC1372" w:rsidP="00DC1372">
      <w:pPr>
        <w:jc w:val="left"/>
        <w:rPr>
          <w:rFonts w:cs="Arial"/>
          <w:sz w:val="36"/>
          <w:szCs w:val="36"/>
          <w:highlight w:val="lightGray"/>
          <w:lang w:val="en-GB"/>
        </w:rPr>
      </w:pPr>
    </w:p>
    <w:p w14:paraId="3F78135B" w14:textId="77777777" w:rsidR="00DC1372" w:rsidRPr="001C6CF5" w:rsidRDefault="00DC1372" w:rsidP="00DC1372">
      <w:pPr>
        <w:jc w:val="left"/>
        <w:rPr>
          <w:rFonts w:cs="Arial"/>
          <w:sz w:val="36"/>
          <w:szCs w:val="36"/>
          <w:lang w:val="en-GB"/>
        </w:rPr>
      </w:pPr>
      <w:r w:rsidRPr="001C6CF5">
        <w:rPr>
          <w:rFonts w:cs="Arial"/>
          <w:sz w:val="36"/>
          <w:szCs w:val="36"/>
          <w:lang w:val="en-GB"/>
        </w:rPr>
        <w:t>Instructions for Use</w:t>
      </w:r>
    </w:p>
    <w:p w14:paraId="7C8B52F6" w14:textId="77777777" w:rsidR="00DC1372" w:rsidRPr="001C6CF5" w:rsidRDefault="006B087B" w:rsidP="00DC1372">
      <w:pPr>
        <w:spacing w:line="240" w:lineRule="auto"/>
        <w:jc w:val="left"/>
        <w:rPr>
          <w:rFonts w:cs="Arial"/>
          <w:sz w:val="36"/>
          <w:szCs w:val="36"/>
          <w:lang w:val="en-GB"/>
        </w:rPr>
      </w:pPr>
      <w:r w:rsidRPr="006B087B">
        <w:rPr>
          <w:rFonts w:cs="Arial"/>
          <w:sz w:val="28"/>
          <w:szCs w:val="28"/>
        </w:rPr>
        <w:t>For</w:t>
      </w:r>
      <w:r>
        <w:rPr>
          <w:rFonts w:cs="Arial"/>
          <w:sz w:val="28"/>
          <w:szCs w:val="28"/>
        </w:rPr>
        <w:t xml:space="preserve"> </w:t>
      </w:r>
      <w:r w:rsidR="00762322">
        <w:rPr>
          <w:rFonts w:ascii="Helvetica" w:hAnsi="Helvetica"/>
          <w:sz w:val="28"/>
          <w:szCs w:val="28"/>
        </w:rPr>
        <w:t>testing</w:t>
      </w:r>
      <w:r w:rsidR="00762322" w:rsidRPr="00F66CD9">
        <w:rPr>
          <w:rFonts w:ascii="Helvetica" w:hAnsi="Helvetica"/>
          <w:sz w:val="28"/>
          <w:szCs w:val="28"/>
        </w:rPr>
        <w:t xml:space="preserve"> ubiquitin E3 ligase activity through assessment of their ability to undergo auto</w:t>
      </w:r>
      <w:r w:rsidR="00223AE5">
        <w:rPr>
          <w:rFonts w:ascii="Helvetica" w:hAnsi="Helvetica"/>
          <w:sz w:val="28"/>
          <w:szCs w:val="28"/>
        </w:rPr>
        <w:noBreakHyphen/>
      </w:r>
      <w:proofErr w:type="spellStart"/>
      <w:r w:rsidR="00762322" w:rsidRPr="00F66CD9">
        <w:rPr>
          <w:rFonts w:ascii="Helvetica" w:hAnsi="Helvetica"/>
          <w:sz w:val="28"/>
          <w:szCs w:val="28"/>
        </w:rPr>
        <w:t>ubiquitinylation</w:t>
      </w:r>
      <w:proofErr w:type="spellEnd"/>
    </w:p>
    <w:p w14:paraId="07FA9D75" w14:textId="77777777" w:rsidR="00DC1372" w:rsidRPr="001C6CF5" w:rsidRDefault="00DC1372" w:rsidP="00DC1372">
      <w:pPr>
        <w:autoSpaceDE w:val="0"/>
        <w:autoSpaceDN w:val="0"/>
        <w:adjustRightInd w:val="0"/>
        <w:spacing w:before="0" w:line="240" w:lineRule="auto"/>
        <w:jc w:val="left"/>
        <w:rPr>
          <w:rFonts w:cs="Arial"/>
          <w:sz w:val="28"/>
          <w:szCs w:val="28"/>
        </w:rPr>
      </w:pPr>
    </w:p>
    <w:p w14:paraId="34774F2C" w14:textId="77777777" w:rsidR="00DC1372" w:rsidRPr="001C6CF5" w:rsidRDefault="00DC1372" w:rsidP="00DC1372">
      <w:pPr>
        <w:autoSpaceDE w:val="0"/>
        <w:autoSpaceDN w:val="0"/>
        <w:adjustRightInd w:val="0"/>
        <w:spacing w:before="0" w:line="240" w:lineRule="auto"/>
        <w:jc w:val="left"/>
        <w:rPr>
          <w:rFonts w:cs="Arial"/>
          <w:sz w:val="28"/>
          <w:szCs w:val="28"/>
        </w:rPr>
      </w:pPr>
      <w:r w:rsidRPr="001C6CF5">
        <w:rPr>
          <w:rFonts w:cs="Arial"/>
          <w:sz w:val="28"/>
          <w:szCs w:val="28"/>
        </w:rPr>
        <w:t>This product is for research use only and is not intended for diagnostic use.</w:t>
      </w:r>
    </w:p>
    <w:p w14:paraId="60251144" w14:textId="77777777" w:rsidR="00DC1372" w:rsidRDefault="00DC1372" w:rsidP="00DC1372">
      <w:pPr>
        <w:autoSpaceDE w:val="0"/>
        <w:autoSpaceDN w:val="0"/>
        <w:adjustRightInd w:val="0"/>
        <w:spacing w:before="0" w:line="240" w:lineRule="auto"/>
        <w:jc w:val="left"/>
        <w:rPr>
          <w:rFonts w:cs="Arial"/>
          <w:sz w:val="28"/>
          <w:szCs w:val="28"/>
          <w:highlight w:val="lightGray"/>
        </w:rPr>
      </w:pPr>
    </w:p>
    <w:p w14:paraId="09144615" w14:textId="77777777" w:rsidR="00B931F1" w:rsidRDefault="00B931F1" w:rsidP="00B931F1">
      <w:pPr>
        <w:pStyle w:val="Heading1"/>
        <w:numPr>
          <w:ilvl w:val="0"/>
          <w:numId w:val="0"/>
        </w:numPr>
        <w:spacing w:before="0"/>
      </w:pPr>
      <w:bookmarkStart w:id="0" w:name="_Toc315440409"/>
      <w:bookmarkStart w:id="1" w:name="_Toc318104127"/>
      <w:bookmarkStart w:id="2" w:name="_Toc346540903"/>
      <w:bookmarkStart w:id="3" w:name="_Toc349201000"/>
      <w:bookmarkStart w:id="4" w:name="_Toc349217740"/>
      <w:bookmarkStart w:id="5" w:name="_Toc349223434"/>
      <w:bookmarkStart w:id="6" w:name="_Toc353372265"/>
      <w:bookmarkStart w:id="7" w:name="_Toc353449520"/>
      <w:bookmarkStart w:id="8" w:name="_Toc353455942"/>
      <w:bookmarkStart w:id="9" w:name="_Toc353456520"/>
      <w:bookmarkStart w:id="10" w:name="_Toc353458005"/>
      <w:r>
        <w:lastRenderedPageBreak/>
        <w:t>Table of Contents</w:t>
      </w:r>
      <w:bookmarkEnd w:id="0"/>
      <w:bookmarkEnd w:id="1"/>
      <w:bookmarkEnd w:id="2"/>
      <w:bookmarkEnd w:id="3"/>
      <w:bookmarkEnd w:id="4"/>
      <w:bookmarkEnd w:id="5"/>
      <w:bookmarkEnd w:id="6"/>
      <w:bookmarkEnd w:id="7"/>
      <w:bookmarkEnd w:id="8"/>
      <w:bookmarkEnd w:id="9"/>
      <w:bookmarkEnd w:id="10"/>
    </w:p>
    <w:p w14:paraId="69D14814" w14:textId="16C8CF4C" w:rsidR="009D34DA" w:rsidRDefault="00327C3F">
      <w:pPr>
        <w:pStyle w:val="TOC1"/>
        <w:rPr>
          <w:rFonts w:asciiTheme="minorHAnsi" w:eastAsiaTheme="minorEastAsia" w:hAnsiTheme="minorHAnsi" w:cstheme="minorBidi"/>
          <w:noProof/>
          <w:sz w:val="22"/>
          <w:szCs w:val="22"/>
          <w:lang w:val="en-GB" w:eastAsia="en-GB"/>
        </w:rPr>
      </w:pPr>
      <w:r>
        <w:rPr>
          <w:rFonts w:eastAsiaTheme="minorHAnsi" w:cstheme="minorBidi"/>
        </w:rPr>
        <w:fldChar w:fldCharType="begin"/>
      </w:r>
      <w:r w:rsidR="00B931F1">
        <w:instrText xml:space="preserve"> TOC \o "1-1" \u </w:instrText>
      </w:r>
      <w:r>
        <w:rPr>
          <w:rFonts w:eastAsiaTheme="minorHAnsi" w:cstheme="minorBidi"/>
        </w:rPr>
        <w:fldChar w:fldCharType="separate"/>
      </w:r>
      <w:r w:rsidR="009D34DA" w:rsidRPr="00E53017">
        <w:rPr>
          <w:rFonts w:cs="Wingdings"/>
          <w:noProof/>
          <w:snapToGrid w:val="0"/>
          <w:color w:val="000000"/>
          <w:w w:val="0"/>
        </w:rPr>
        <w:t>1.</w:t>
      </w:r>
      <w:r w:rsidR="009D34DA">
        <w:rPr>
          <w:rFonts w:asciiTheme="minorHAnsi" w:eastAsiaTheme="minorEastAsia" w:hAnsiTheme="minorHAnsi" w:cstheme="minorBidi"/>
          <w:noProof/>
          <w:sz w:val="22"/>
          <w:szCs w:val="22"/>
          <w:lang w:val="en-GB" w:eastAsia="en-GB"/>
        </w:rPr>
        <w:tab/>
      </w:r>
      <w:r w:rsidR="009D34DA">
        <w:rPr>
          <w:noProof/>
        </w:rPr>
        <w:t>Background</w:t>
      </w:r>
      <w:r w:rsidR="009D34DA">
        <w:rPr>
          <w:noProof/>
        </w:rPr>
        <w:tab/>
      </w:r>
      <w:r>
        <w:rPr>
          <w:noProof/>
        </w:rPr>
        <w:fldChar w:fldCharType="begin"/>
      </w:r>
      <w:r w:rsidR="009D34DA">
        <w:rPr>
          <w:noProof/>
        </w:rPr>
        <w:instrText xml:space="preserve"> PAGEREF _Toc353458006 \h </w:instrText>
      </w:r>
      <w:r>
        <w:rPr>
          <w:noProof/>
        </w:rPr>
      </w:r>
      <w:r>
        <w:rPr>
          <w:noProof/>
        </w:rPr>
        <w:fldChar w:fldCharType="separate"/>
      </w:r>
      <w:r w:rsidR="00081C90">
        <w:rPr>
          <w:noProof/>
        </w:rPr>
        <w:t>2</w:t>
      </w:r>
      <w:r>
        <w:rPr>
          <w:noProof/>
        </w:rPr>
        <w:fldChar w:fldCharType="end"/>
      </w:r>
    </w:p>
    <w:p w14:paraId="1CC706CD"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2.</w:t>
      </w:r>
      <w:r>
        <w:rPr>
          <w:rFonts w:asciiTheme="minorHAnsi" w:eastAsiaTheme="minorEastAsia" w:hAnsiTheme="minorHAnsi" w:cstheme="minorBidi"/>
          <w:noProof/>
          <w:sz w:val="22"/>
          <w:szCs w:val="22"/>
          <w:lang w:val="en-GB" w:eastAsia="en-GB"/>
        </w:rPr>
        <w:tab/>
      </w:r>
      <w:r>
        <w:rPr>
          <w:noProof/>
        </w:rPr>
        <w:t>Principle of the Assay</w:t>
      </w:r>
      <w:r>
        <w:rPr>
          <w:noProof/>
        </w:rPr>
        <w:tab/>
      </w:r>
      <w:r w:rsidR="003F0DE4">
        <w:rPr>
          <w:noProof/>
        </w:rPr>
        <w:t>5</w:t>
      </w:r>
    </w:p>
    <w:p w14:paraId="1A5CB0A7"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3.</w:t>
      </w:r>
      <w:r>
        <w:rPr>
          <w:rFonts w:asciiTheme="minorHAnsi" w:eastAsiaTheme="minorEastAsia" w:hAnsiTheme="minorHAnsi" w:cstheme="minorBidi"/>
          <w:noProof/>
          <w:sz w:val="22"/>
          <w:szCs w:val="22"/>
          <w:lang w:val="en-GB" w:eastAsia="en-GB"/>
        </w:rPr>
        <w:tab/>
      </w:r>
      <w:r>
        <w:rPr>
          <w:noProof/>
        </w:rPr>
        <w:t>Protocol Summary</w:t>
      </w:r>
      <w:r>
        <w:rPr>
          <w:noProof/>
        </w:rPr>
        <w:tab/>
      </w:r>
      <w:r w:rsidR="003F0DE4">
        <w:rPr>
          <w:noProof/>
        </w:rPr>
        <w:t>6</w:t>
      </w:r>
    </w:p>
    <w:p w14:paraId="70F1C9C3"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4.</w:t>
      </w:r>
      <w:r>
        <w:rPr>
          <w:rFonts w:asciiTheme="minorHAnsi" w:eastAsiaTheme="minorEastAsia" w:hAnsiTheme="minorHAnsi" w:cstheme="minorBidi"/>
          <w:noProof/>
          <w:sz w:val="22"/>
          <w:szCs w:val="22"/>
          <w:lang w:val="en-GB" w:eastAsia="en-GB"/>
        </w:rPr>
        <w:tab/>
      </w:r>
      <w:r>
        <w:rPr>
          <w:noProof/>
        </w:rPr>
        <w:t>Materials Supplied</w:t>
      </w:r>
      <w:r>
        <w:rPr>
          <w:noProof/>
        </w:rPr>
        <w:tab/>
      </w:r>
      <w:r w:rsidR="003F0DE4">
        <w:rPr>
          <w:noProof/>
        </w:rPr>
        <w:t>7</w:t>
      </w:r>
    </w:p>
    <w:p w14:paraId="06D6288B"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5.</w:t>
      </w:r>
      <w:r>
        <w:rPr>
          <w:rFonts w:asciiTheme="minorHAnsi" w:eastAsiaTheme="minorEastAsia" w:hAnsiTheme="minorHAnsi" w:cstheme="minorBidi"/>
          <w:noProof/>
          <w:sz w:val="22"/>
          <w:szCs w:val="22"/>
          <w:lang w:val="en-GB" w:eastAsia="en-GB"/>
        </w:rPr>
        <w:tab/>
      </w:r>
      <w:r>
        <w:rPr>
          <w:noProof/>
        </w:rPr>
        <w:t>Storage and Stability</w:t>
      </w:r>
      <w:r>
        <w:rPr>
          <w:noProof/>
        </w:rPr>
        <w:tab/>
      </w:r>
      <w:r w:rsidR="003F0DE4">
        <w:rPr>
          <w:noProof/>
        </w:rPr>
        <w:t>7</w:t>
      </w:r>
    </w:p>
    <w:p w14:paraId="60DE02C8"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6.</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sidR="003F0DE4">
        <w:rPr>
          <w:noProof/>
        </w:rPr>
        <w:t>8</w:t>
      </w:r>
    </w:p>
    <w:p w14:paraId="401DABE4" w14:textId="77777777" w:rsidR="009D34DA" w:rsidRDefault="009D34DA">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7.</w:t>
      </w:r>
      <w:r>
        <w:rPr>
          <w:rFonts w:asciiTheme="minorHAnsi" w:eastAsiaTheme="minorEastAsia" w:hAnsiTheme="minorHAnsi" w:cstheme="minorBidi"/>
          <w:noProof/>
          <w:sz w:val="22"/>
          <w:szCs w:val="22"/>
          <w:lang w:val="en-GB" w:eastAsia="en-GB"/>
        </w:rPr>
        <w:tab/>
      </w:r>
      <w:r>
        <w:rPr>
          <w:noProof/>
        </w:rPr>
        <w:t>Assay Protocol</w:t>
      </w:r>
      <w:r>
        <w:rPr>
          <w:noProof/>
        </w:rPr>
        <w:tab/>
      </w:r>
      <w:r w:rsidR="003F0DE4">
        <w:rPr>
          <w:noProof/>
        </w:rPr>
        <w:t>9</w:t>
      </w:r>
    </w:p>
    <w:p w14:paraId="4D581F9F" w14:textId="77777777" w:rsidR="005C622E" w:rsidRPr="003F0DE4" w:rsidRDefault="009D34DA" w:rsidP="003F0DE4">
      <w:pPr>
        <w:pStyle w:val="TOC1"/>
        <w:rPr>
          <w:rFonts w:asciiTheme="minorHAnsi" w:eastAsiaTheme="minorEastAsia" w:hAnsiTheme="minorHAnsi" w:cstheme="minorBidi"/>
          <w:noProof/>
          <w:sz w:val="22"/>
          <w:szCs w:val="22"/>
          <w:lang w:val="en-GB" w:eastAsia="en-GB"/>
        </w:rPr>
      </w:pPr>
      <w:r w:rsidRPr="00E53017">
        <w:rPr>
          <w:rFonts w:cs="Wingdings"/>
          <w:noProof/>
          <w:snapToGrid w:val="0"/>
          <w:color w:val="000000"/>
          <w:w w:val="0"/>
        </w:rPr>
        <w:t>8.</w:t>
      </w:r>
      <w:r>
        <w:rPr>
          <w:rFonts w:asciiTheme="minorHAnsi" w:eastAsiaTheme="minorEastAsia" w:hAnsiTheme="minorHAnsi" w:cstheme="minorBidi"/>
          <w:noProof/>
          <w:sz w:val="22"/>
          <w:szCs w:val="22"/>
          <w:lang w:val="en-GB" w:eastAsia="en-GB"/>
        </w:rPr>
        <w:tab/>
      </w:r>
      <w:r>
        <w:rPr>
          <w:noProof/>
        </w:rPr>
        <w:t>Data Analysis</w:t>
      </w:r>
      <w:r>
        <w:rPr>
          <w:noProof/>
        </w:rPr>
        <w:tab/>
      </w:r>
      <w:r w:rsidR="003F0DE4">
        <w:rPr>
          <w:noProof/>
        </w:rPr>
        <w:t>14</w:t>
      </w:r>
      <w:r w:rsidR="00327C3F">
        <w:fldChar w:fldCharType="end"/>
      </w:r>
      <w:bookmarkStart w:id="11" w:name="_Toc315440411"/>
    </w:p>
    <w:p w14:paraId="48C1EFC7" w14:textId="77777777" w:rsidR="005C622E" w:rsidRDefault="005C622E" w:rsidP="005C622E">
      <w:pPr>
        <w:rPr>
          <w:rFonts w:eastAsia="Times New Roman"/>
          <w:sz w:val="28"/>
          <w:szCs w:val="28"/>
        </w:rPr>
      </w:pPr>
      <w:r>
        <w:br w:type="page"/>
      </w:r>
    </w:p>
    <w:p w14:paraId="5318770A" w14:textId="77777777" w:rsidR="00AF3A40" w:rsidRDefault="00AF3A40" w:rsidP="00A13A45">
      <w:pPr>
        <w:pStyle w:val="Heading1"/>
      </w:pPr>
      <w:bookmarkStart w:id="12" w:name="_Toc353458006"/>
      <w:r>
        <w:lastRenderedPageBreak/>
        <w:t>Background</w:t>
      </w:r>
      <w:bookmarkEnd w:id="12"/>
    </w:p>
    <w:p w14:paraId="6C9B9AFD" w14:textId="77777777" w:rsidR="00762322" w:rsidRPr="00762322" w:rsidRDefault="00762322" w:rsidP="00762322">
      <w:pPr>
        <w:tabs>
          <w:tab w:val="left" w:pos="-3240"/>
          <w:tab w:val="left" w:pos="-1980"/>
        </w:tabs>
        <w:spacing w:after="120"/>
        <w:rPr>
          <w:rFonts w:cs="Arial"/>
          <w:szCs w:val="20"/>
        </w:rPr>
      </w:pPr>
      <w:r w:rsidRPr="00762322">
        <w:rPr>
          <w:rFonts w:cs="Arial"/>
          <w:szCs w:val="20"/>
        </w:rPr>
        <w:t>The covalent attachment of ubiquitin to proteins (</w:t>
      </w:r>
      <w:proofErr w:type="spellStart"/>
      <w:r w:rsidRPr="00762322">
        <w:rPr>
          <w:rFonts w:cs="Arial"/>
          <w:szCs w:val="20"/>
        </w:rPr>
        <w:t>ubiquitinylation</w:t>
      </w:r>
      <w:proofErr w:type="spellEnd"/>
      <w:r w:rsidRPr="00762322">
        <w:rPr>
          <w:rFonts w:cs="Arial"/>
          <w:szCs w:val="20"/>
        </w:rPr>
        <w:t>) plays a fundamental role in the regulation of cellular function through biological events involving cell cycle, differentiation, immune responses, DNA repair, ch</w:t>
      </w:r>
      <w:r>
        <w:rPr>
          <w:rFonts w:cs="Arial"/>
          <w:szCs w:val="20"/>
        </w:rPr>
        <w:t>romatin structure, and apoptosis.</w:t>
      </w:r>
    </w:p>
    <w:p w14:paraId="2895CC61" w14:textId="77777777" w:rsidR="00762322" w:rsidRPr="00762322" w:rsidRDefault="00762322" w:rsidP="00762322">
      <w:pPr>
        <w:tabs>
          <w:tab w:val="left" w:pos="-3240"/>
          <w:tab w:val="left" w:pos="-1980"/>
        </w:tabs>
        <w:spacing w:after="120"/>
        <w:rPr>
          <w:rFonts w:cs="Arial"/>
          <w:szCs w:val="20"/>
        </w:rPr>
      </w:pPr>
      <w:proofErr w:type="spellStart"/>
      <w:r w:rsidRPr="00762322">
        <w:rPr>
          <w:rFonts w:cs="Arial"/>
          <w:szCs w:val="20"/>
        </w:rPr>
        <w:t>Ubiquitinylation</w:t>
      </w:r>
      <w:proofErr w:type="spellEnd"/>
      <w:r w:rsidRPr="00762322">
        <w:rPr>
          <w:rFonts w:cs="Arial"/>
          <w:szCs w:val="20"/>
        </w:rPr>
        <w:t xml:space="preserve"> is achieved through three enzymatic steps. In an ATP-dependent process, the ubiquitin activating enzyme (E1) catalyzes the formation of a reactive thioester bond with ubiquitin, followed by its subsequent transfer to the active site cysteine of a ubiquitin carrier protein (E2). The selectivity of the ubiquitin cascade for a particular substrate protein relies on the interaction between the E2 conjugating enzyme (of which a cell contains relatively few) and a ubiquitin-protein ligase (E3), of which over 600 have been identified to date.</w:t>
      </w:r>
    </w:p>
    <w:p w14:paraId="15CE7171" w14:textId="77777777" w:rsidR="00762322" w:rsidRPr="00762322" w:rsidRDefault="00762322" w:rsidP="00762322">
      <w:pPr>
        <w:tabs>
          <w:tab w:val="left" w:pos="-3240"/>
          <w:tab w:val="left" w:pos="-1980"/>
        </w:tabs>
        <w:spacing w:after="120"/>
        <w:rPr>
          <w:rFonts w:cs="Arial"/>
          <w:szCs w:val="20"/>
        </w:rPr>
      </w:pPr>
      <w:r w:rsidRPr="00762322">
        <w:rPr>
          <w:rFonts w:cs="Arial"/>
          <w:szCs w:val="20"/>
        </w:rPr>
        <w:t xml:space="preserve">The E3s are a large, diverse group of proteins, characterized by one of several defining motifs. These include a HECT (homologous to E6-associated protein C-terminus), RING (really interesting new gene) or U-box (a modified RING motif without the full complement of Zn2+-binding ligands) domain. Whereas HECT E3s have a direct role in catalysis during </w:t>
      </w:r>
      <w:proofErr w:type="spellStart"/>
      <w:r w:rsidRPr="00762322">
        <w:rPr>
          <w:rFonts w:cs="Arial"/>
          <w:szCs w:val="20"/>
        </w:rPr>
        <w:t>ubiquitinylation</w:t>
      </w:r>
      <w:proofErr w:type="spellEnd"/>
      <w:r w:rsidRPr="00762322">
        <w:rPr>
          <w:rFonts w:cs="Arial"/>
          <w:szCs w:val="20"/>
        </w:rPr>
        <w:t xml:space="preserve">, RING and U-box E3s facilitate protein </w:t>
      </w:r>
      <w:proofErr w:type="spellStart"/>
      <w:r w:rsidRPr="00762322">
        <w:rPr>
          <w:rFonts w:cs="Arial"/>
          <w:szCs w:val="20"/>
        </w:rPr>
        <w:t>ubiquitinylation</w:t>
      </w:r>
      <w:proofErr w:type="spellEnd"/>
      <w:r w:rsidRPr="00762322">
        <w:rPr>
          <w:rFonts w:cs="Arial"/>
          <w:szCs w:val="20"/>
        </w:rPr>
        <w:t xml:space="preserve">. These latter two E3 types act as adaptor-like molecules. They bring an E2 and a substrate into sufficiently close proximity to promote the substrate's </w:t>
      </w:r>
      <w:proofErr w:type="spellStart"/>
      <w:r w:rsidRPr="00762322">
        <w:rPr>
          <w:rFonts w:cs="Arial"/>
          <w:szCs w:val="20"/>
        </w:rPr>
        <w:t>ubiquitinylation</w:t>
      </w:r>
      <w:proofErr w:type="spellEnd"/>
      <w:r w:rsidRPr="00762322">
        <w:rPr>
          <w:rFonts w:cs="Arial"/>
          <w:szCs w:val="20"/>
        </w:rPr>
        <w:t>. Although many RING-type E3s, such as MDM2 and c-</w:t>
      </w:r>
      <w:proofErr w:type="spellStart"/>
      <w:r w:rsidRPr="00762322">
        <w:rPr>
          <w:rFonts w:cs="Arial"/>
          <w:szCs w:val="20"/>
        </w:rPr>
        <w:t>Cbl</w:t>
      </w:r>
      <w:proofErr w:type="spellEnd"/>
      <w:r w:rsidRPr="00762322">
        <w:rPr>
          <w:rFonts w:cs="Arial"/>
          <w:szCs w:val="20"/>
        </w:rPr>
        <w:t xml:space="preserve">, can apparently act alone, </w:t>
      </w:r>
      <w:r w:rsidRPr="00762322">
        <w:rPr>
          <w:rFonts w:cs="Arial"/>
          <w:szCs w:val="20"/>
        </w:rPr>
        <w:lastRenderedPageBreak/>
        <w:t>others are found as components of much larger multi-protein complexes, such as the anaphase-promoting complex.</w:t>
      </w:r>
    </w:p>
    <w:p w14:paraId="2BE2CB7A" w14:textId="77777777" w:rsidR="00762322" w:rsidRPr="00762322" w:rsidRDefault="00762322" w:rsidP="00762322">
      <w:pPr>
        <w:tabs>
          <w:tab w:val="left" w:pos="-3240"/>
          <w:tab w:val="left" w:pos="-1980"/>
        </w:tabs>
        <w:spacing w:after="120"/>
        <w:rPr>
          <w:rFonts w:cs="Arial"/>
          <w:szCs w:val="20"/>
        </w:rPr>
      </w:pPr>
      <w:r w:rsidRPr="00762322">
        <w:rPr>
          <w:rFonts w:cs="Arial"/>
          <w:szCs w:val="20"/>
        </w:rPr>
        <w:t xml:space="preserve">Taken together, these multifaceted properties and interactions enable E3s to provide a powerful, and specific, mechanism for protein clearance within all cells of eukaryotic organisms </w:t>
      </w:r>
      <w:proofErr w:type="spellStart"/>
      <w:r w:rsidRPr="00762322">
        <w:rPr>
          <w:rFonts w:cs="Arial"/>
          <w:szCs w:val="20"/>
        </w:rPr>
        <w:t>utilising</w:t>
      </w:r>
      <w:proofErr w:type="spellEnd"/>
      <w:r w:rsidRPr="00762322">
        <w:rPr>
          <w:rFonts w:cs="Arial"/>
          <w:szCs w:val="20"/>
        </w:rPr>
        <w:t xml:space="preserve"> the ubiquitin-proteasome system. The importance of E3s is highlighted by the number of normal cellular processes they regulate, and the number of diseases associated with their loss of function or inappropriate targeting.</w:t>
      </w:r>
    </w:p>
    <w:p w14:paraId="36A4CF7A" w14:textId="77777777" w:rsidR="000A2075" w:rsidRPr="00762322" w:rsidRDefault="00762322" w:rsidP="00762322">
      <w:pPr>
        <w:rPr>
          <w:rFonts w:cs="Arial"/>
          <w:szCs w:val="20"/>
        </w:rPr>
      </w:pPr>
      <w:r w:rsidRPr="00762322">
        <w:rPr>
          <w:rFonts w:cs="Arial"/>
          <w:szCs w:val="20"/>
        </w:rPr>
        <w:t>E3 ligases also undergo auto-</w:t>
      </w:r>
      <w:proofErr w:type="spellStart"/>
      <w:r w:rsidRPr="00762322">
        <w:rPr>
          <w:rFonts w:cs="Arial"/>
          <w:szCs w:val="20"/>
        </w:rPr>
        <w:t>ubiquitinylation</w:t>
      </w:r>
      <w:proofErr w:type="spellEnd"/>
      <w:r w:rsidRPr="00762322">
        <w:rPr>
          <w:rFonts w:cs="Arial"/>
          <w:szCs w:val="20"/>
        </w:rPr>
        <w:t>, through modification of specific lysine residues within an individual ligase, providing a mechanism thought to be responsible for the regulation of the E3 enzyme itself</w:t>
      </w:r>
      <w:r w:rsidR="006B087B" w:rsidRPr="00762322">
        <w:rPr>
          <w:rFonts w:cs="Arial"/>
          <w:szCs w:val="20"/>
        </w:rPr>
        <w:t>.</w:t>
      </w:r>
    </w:p>
    <w:p w14:paraId="6BB85216" w14:textId="77777777" w:rsidR="003740E4" w:rsidRDefault="003740E4">
      <w:pPr>
        <w:spacing w:before="0" w:line="240" w:lineRule="auto"/>
        <w:jc w:val="left"/>
        <w:rPr>
          <w:rFonts w:eastAsia="Times New Roman"/>
          <w:b/>
          <w:bCs/>
          <w:sz w:val="28"/>
          <w:szCs w:val="28"/>
        </w:rPr>
      </w:pPr>
      <w:r>
        <w:br w:type="page"/>
      </w:r>
    </w:p>
    <w:p w14:paraId="1931FCDF" w14:textId="77777777" w:rsidR="00AF3A40" w:rsidRDefault="00AF3A40" w:rsidP="00AF3A40">
      <w:pPr>
        <w:pStyle w:val="Heading1"/>
      </w:pPr>
      <w:bookmarkStart w:id="13" w:name="_Toc353458007"/>
      <w:r>
        <w:lastRenderedPageBreak/>
        <w:t>Principle of the Assay</w:t>
      </w:r>
      <w:bookmarkEnd w:id="13"/>
    </w:p>
    <w:p w14:paraId="2DBEB9A0" w14:textId="77777777" w:rsidR="00762322" w:rsidRPr="00762322" w:rsidRDefault="00AF4F0A" w:rsidP="00762322">
      <w:pPr>
        <w:tabs>
          <w:tab w:val="left" w:pos="-3240"/>
          <w:tab w:val="left" w:pos="-1980"/>
        </w:tabs>
        <w:spacing w:after="120"/>
        <w:rPr>
          <w:rFonts w:cs="Arial"/>
          <w:szCs w:val="20"/>
        </w:rPr>
      </w:pPr>
      <w:r w:rsidRPr="00762322">
        <w:rPr>
          <w:rFonts w:cs="Arial"/>
          <w:szCs w:val="20"/>
        </w:rPr>
        <w:t>Abcam</w:t>
      </w:r>
      <w:r w:rsidR="00C55A9F" w:rsidRPr="00762322">
        <w:rPr>
          <w:rFonts w:cs="Arial"/>
          <w:szCs w:val="20"/>
        </w:rPr>
        <w:t xml:space="preserve"> </w:t>
      </w:r>
      <w:r w:rsidR="00762322" w:rsidRPr="00762322">
        <w:rPr>
          <w:rFonts w:cs="Arial"/>
          <w:color w:val="000000"/>
          <w:szCs w:val="20"/>
        </w:rPr>
        <w:t>E3 Ligase Auto-</w:t>
      </w:r>
      <w:proofErr w:type="spellStart"/>
      <w:r w:rsidR="00762322" w:rsidRPr="00762322">
        <w:rPr>
          <w:rFonts w:cs="Arial"/>
          <w:color w:val="000000"/>
          <w:szCs w:val="20"/>
        </w:rPr>
        <w:t>Ubiquitilylation</w:t>
      </w:r>
      <w:proofErr w:type="spellEnd"/>
      <w:r w:rsidR="00762322" w:rsidRPr="00762322">
        <w:rPr>
          <w:rFonts w:cs="Arial"/>
          <w:color w:val="000000"/>
          <w:szCs w:val="20"/>
        </w:rPr>
        <w:t xml:space="preserve"> Assay Kit</w:t>
      </w:r>
      <w:r w:rsidR="00C55A9F" w:rsidRPr="00762322">
        <w:rPr>
          <w:rFonts w:cs="Arial"/>
          <w:szCs w:val="20"/>
        </w:rPr>
        <w:t xml:space="preserve"> </w:t>
      </w:r>
      <w:r w:rsidRPr="00762322">
        <w:rPr>
          <w:rFonts w:cs="Arial"/>
          <w:szCs w:val="20"/>
        </w:rPr>
        <w:t>(</w:t>
      </w:r>
      <w:r w:rsidR="00762322" w:rsidRPr="00762322">
        <w:rPr>
          <w:rFonts w:cs="Arial"/>
          <w:color w:val="000000"/>
          <w:szCs w:val="20"/>
        </w:rPr>
        <w:t>ab139469</w:t>
      </w:r>
      <w:r w:rsidRPr="00762322">
        <w:rPr>
          <w:rFonts w:cs="Arial"/>
          <w:szCs w:val="20"/>
        </w:rPr>
        <w:t xml:space="preserve">) </w:t>
      </w:r>
      <w:r w:rsidR="00762322" w:rsidRPr="00762322">
        <w:rPr>
          <w:rFonts w:cs="Arial"/>
          <w:szCs w:val="20"/>
        </w:rPr>
        <w:t>enables proteins to be tested for ubiquitin E3 ligase activity through assessment of their ability to undergo auto-</w:t>
      </w:r>
      <w:proofErr w:type="spellStart"/>
      <w:r w:rsidR="00762322" w:rsidRPr="00762322">
        <w:rPr>
          <w:rFonts w:cs="Arial"/>
          <w:szCs w:val="20"/>
        </w:rPr>
        <w:t>ubiquitinylation</w:t>
      </w:r>
      <w:proofErr w:type="spellEnd"/>
      <w:r w:rsidR="00762322" w:rsidRPr="00762322">
        <w:rPr>
          <w:rFonts w:cs="Arial"/>
          <w:szCs w:val="20"/>
        </w:rPr>
        <w:t xml:space="preserve">. Utilizing the first three steps in the ubiquitin cascade the kit facilitates </w:t>
      </w:r>
      <w:proofErr w:type="spellStart"/>
      <w:r w:rsidR="00762322" w:rsidRPr="00762322">
        <w:rPr>
          <w:rFonts w:cs="Arial"/>
          <w:szCs w:val="20"/>
        </w:rPr>
        <w:t>ubiquitinylation</w:t>
      </w:r>
      <w:proofErr w:type="spellEnd"/>
      <w:r w:rsidR="00762322" w:rsidRPr="00762322">
        <w:rPr>
          <w:rFonts w:cs="Arial"/>
          <w:szCs w:val="20"/>
        </w:rPr>
        <w:t xml:space="preserve"> of known or putative E3 ligase enzymes followed by Western blot analysis using the highly sensitive reagents provided or using antibodies to the specific protein of interest (user supplied). A high integrity ubiquitin E3 ligase enzyme is also provided for use as a positive control.</w:t>
      </w:r>
    </w:p>
    <w:p w14:paraId="08E3F4F6" w14:textId="77777777" w:rsidR="006B087B" w:rsidRPr="00762322" w:rsidRDefault="00762322" w:rsidP="00762322">
      <w:pPr>
        <w:rPr>
          <w:rFonts w:cs="Arial"/>
          <w:szCs w:val="20"/>
        </w:rPr>
      </w:pPr>
      <w:r w:rsidRPr="00762322">
        <w:rPr>
          <w:rFonts w:cs="Arial"/>
          <w:szCs w:val="20"/>
        </w:rPr>
        <w:t>The Kit provides sufficient material for approximately 10 auto-</w:t>
      </w:r>
      <w:proofErr w:type="spellStart"/>
      <w:r w:rsidRPr="00762322">
        <w:rPr>
          <w:rFonts w:cs="Arial"/>
          <w:szCs w:val="20"/>
        </w:rPr>
        <w:t>ubiquitinylation</w:t>
      </w:r>
      <w:proofErr w:type="spellEnd"/>
      <w:r w:rsidRPr="00762322">
        <w:rPr>
          <w:rFonts w:cs="Arial"/>
          <w:szCs w:val="20"/>
        </w:rPr>
        <w:t xml:space="preserve"> assays</w:t>
      </w:r>
      <w:r w:rsidR="006B087B" w:rsidRPr="00762322">
        <w:rPr>
          <w:rFonts w:cs="Arial"/>
          <w:szCs w:val="20"/>
        </w:rPr>
        <w:t>.</w:t>
      </w:r>
    </w:p>
    <w:p w14:paraId="2C393FEF" w14:textId="77777777" w:rsidR="006B087B" w:rsidRPr="00762322" w:rsidRDefault="006B087B" w:rsidP="00762322">
      <w:pPr>
        <w:rPr>
          <w:rFonts w:cs="Arial"/>
          <w:szCs w:val="20"/>
        </w:rPr>
      </w:pPr>
      <w:r w:rsidRPr="00762322">
        <w:rPr>
          <w:rFonts w:cs="Arial"/>
          <w:szCs w:val="20"/>
        </w:rPr>
        <w:t>Suggested uses for this kit include:</w:t>
      </w:r>
    </w:p>
    <w:p w14:paraId="2B568100" w14:textId="77777777" w:rsidR="006B087B" w:rsidRPr="00762322" w:rsidRDefault="00762322" w:rsidP="00762322">
      <w:pPr>
        <w:pStyle w:val="ListParagraph"/>
        <w:numPr>
          <w:ilvl w:val="0"/>
          <w:numId w:val="21"/>
        </w:numPr>
        <w:rPr>
          <w:rFonts w:cs="Arial"/>
          <w:szCs w:val="20"/>
        </w:rPr>
      </w:pPr>
      <w:r w:rsidRPr="00762322">
        <w:rPr>
          <w:rFonts w:cs="Arial"/>
          <w:szCs w:val="20"/>
        </w:rPr>
        <w:t xml:space="preserve">Qualitative assessment of an </w:t>
      </w:r>
      <w:proofErr w:type="spellStart"/>
      <w:r w:rsidRPr="00762322">
        <w:rPr>
          <w:rFonts w:cs="Arial"/>
          <w:szCs w:val="20"/>
        </w:rPr>
        <w:t>Ub</w:t>
      </w:r>
      <w:proofErr w:type="spellEnd"/>
      <w:r w:rsidRPr="00762322">
        <w:rPr>
          <w:rFonts w:cs="Arial"/>
          <w:szCs w:val="20"/>
        </w:rPr>
        <w:t xml:space="preserve"> E3 ligase enzyme’s activity through its ability to auto-ubiquitinylate</w:t>
      </w:r>
      <w:r w:rsidR="006B087B" w:rsidRPr="00762322">
        <w:rPr>
          <w:rFonts w:cs="Arial"/>
          <w:szCs w:val="20"/>
        </w:rPr>
        <w:t>.</w:t>
      </w:r>
    </w:p>
    <w:p w14:paraId="309FBA49" w14:textId="77777777" w:rsidR="006B087B" w:rsidRPr="00762322" w:rsidRDefault="00762322" w:rsidP="00762322">
      <w:pPr>
        <w:pStyle w:val="ListParagraph"/>
        <w:numPr>
          <w:ilvl w:val="0"/>
          <w:numId w:val="21"/>
        </w:numPr>
        <w:contextualSpacing w:val="0"/>
        <w:rPr>
          <w:rFonts w:cs="Arial"/>
          <w:szCs w:val="20"/>
        </w:rPr>
      </w:pPr>
      <w:r w:rsidRPr="00762322">
        <w:rPr>
          <w:rFonts w:cs="Arial"/>
          <w:szCs w:val="20"/>
        </w:rPr>
        <w:t>Testing of proteins for auto-</w:t>
      </w:r>
      <w:proofErr w:type="spellStart"/>
      <w:r w:rsidRPr="00762322">
        <w:rPr>
          <w:rFonts w:cs="Arial"/>
          <w:szCs w:val="20"/>
        </w:rPr>
        <w:t>ubiquitinylation</w:t>
      </w:r>
      <w:proofErr w:type="spellEnd"/>
      <w:r w:rsidRPr="00762322">
        <w:rPr>
          <w:rFonts w:cs="Arial"/>
          <w:szCs w:val="20"/>
        </w:rPr>
        <w:t xml:space="preserve"> activity allowing their identification as putative ubiquitin E3 ligases</w:t>
      </w:r>
      <w:r w:rsidR="006B087B" w:rsidRPr="00762322">
        <w:rPr>
          <w:rFonts w:cs="Arial"/>
          <w:szCs w:val="20"/>
        </w:rPr>
        <w:t>.</w:t>
      </w:r>
    </w:p>
    <w:p w14:paraId="7ABA61D3" w14:textId="77777777" w:rsidR="006B087B" w:rsidRPr="00762322" w:rsidRDefault="00762322" w:rsidP="00762322">
      <w:pPr>
        <w:pStyle w:val="ListParagraph"/>
        <w:numPr>
          <w:ilvl w:val="0"/>
          <w:numId w:val="21"/>
        </w:numPr>
        <w:contextualSpacing w:val="0"/>
        <w:rPr>
          <w:rFonts w:cs="Arial"/>
          <w:szCs w:val="20"/>
        </w:rPr>
      </w:pPr>
      <w:proofErr w:type="spellStart"/>
      <w:r w:rsidRPr="00762322">
        <w:rPr>
          <w:rFonts w:cs="Arial"/>
          <w:szCs w:val="20"/>
        </w:rPr>
        <w:t>Ubiquitinylation</w:t>
      </w:r>
      <w:proofErr w:type="spellEnd"/>
      <w:r w:rsidRPr="00762322">
        <w:rPr>
          <w:rFonts w:cs="Arial"/>
          <w:szCs w:val="20"/>
        </w:rPr>
        <w:t xml:space="preserve"> of substrate proteins (user provided) specific to a particular ubiquitin E3 ligase</w:t>
      </w:r>
      <w:r w:rsidR="006B087B" w:rsidRPr="00762322">
        <w:rPr>
          <w:rFonts w:cs="Arial"/>
          <w:szCs w:val="20"/>
        </w:rPr>
        <w:t>.</w:t>
      </w:r>
    </w:p>
    <w:p w14:paraId="5B47DDA7" w14:textId="77777777" w:rsidR="006B087B" w:rsidRDefault="006B087B" w:rsidP="00762322">
      <w:pPr>
        <w:rPr>
          <w:rFonts w:cs="Arial"/>
          <w:szCs w:val="20"/>
        </w:rPr>
      </w:pPr>
      <w:r w:rsidRPr="00762322">
        <w:rPr>
          <w:rFonts w:cs="Arial"/>
          <w:szCs w:val="20"/>
        </w:rPr>
        <w:lastRenderedPageBreak/>
        <w:t xml:space="preserve">Note: </w:t>
      </w:r>
      <w:r w:rsidR="00762322" w:rsidRPr="00762322">
        <w:rPr>
          <w:rFonts w:cs="Arial"/>
          <w:szCs w:val="20"/>
        </w:rPr>
        <w:t>Protocol provided covers applications 1-2. Assay set-up can be readily modified for alternative applications by inclusion, omission or substitution of specific components.</w:t>
      </w:r>
    </w:p>
    <w:p w14:paraId="6F0F2F33" w14:textId="77777777" w:rsidR="00B931F1" w:rsidRDefault="00B931F1" w:rsidP="006B087B">
      <w:pPr>
        <w:pStyle w:val="Heading1"/>
      </w:pPr>
      <w:bookmarkStart w:id="14" w:name="_Toc353458008"/>
      <w:r>
        <w:t>Protocol Summary</w:t>
      </w:r>
      <w:bookmarkEnd w:id="11"/>
      <w:bookmarkEnd w:id="14"/>
    </w:p>
    <w:p w14:paraId="3492A812" w14:textId="77777777" w:rsidR="006131C7" w:rsidRDefault="00223AE5" w:rsidP="006131C7">
      <w:pPr>
        <w:jc w:val="center"/>
        <w:rPr>
          <w:noProof/>
          <w:lang w:val="en-GB" w:eastAsia="en-GB"/>
        </w:rPr>
      </w:pPr>
      <w:r>
        <w:rPr>
          <w:noProof/>
          <w:lang w:val="en-GB" w:eastAsia="en-GB"/>
        </w:rPr>
        <mc:AlternateContent>
          <mc:Choice Requires="wps">
            <w:drawing>
              <wp:anchor distT="0" distB="0" distL="114300" distR="114300" simplePos="0" relativeHeight="251662848" behindDoc="0" locked="0" layoutInCell="1" allowOverlap="1" wp14:anchorId="7992B524" wp14:editId="0C3C2E3A">
                <wp:simplePos x="0" y="0"/>
                <wp:positionH relativeFrom="margin">
                  <wp:align>center</wp:align>
                </wp:positionH>
                <wp:positionV relativeFrom="paragraph">
                  <wp:posOffset>316865</wp:posOffset>
                </wp:positionV>
                <wp:extent cx="180975" cy="231140"/>
                <wp:effectExtent l="38100" t="0" r="9525" b="1651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D9B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5" o:spid="_x0000_s1026" type="#_x0000_t67" style="position:absolute;margin-left:0;margin-top:24.95pt;width:14.25pt;height:18.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6bQQ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">
                <w10:wrap anchorx="margin"/>
              </v:shape>
            </w:pict>
          </mc:Fallback>
        </mc:AlternateContent>
      </w:r>
      <w:r w:rsidR="006B087B">
        <w:rPr>
          <w:noProof/>
          <w:lang w:val="en-GB" w:eastAsia="en-GB"/>
        </w:rPr>
        <w:t>Combine assay reagents. Mix thoroughly</w:t>
      </w:r>
    </w:p>
    <w:p w14:paraId="79468DC8" w14:textId="77777777" w:rsidR="006B087B" w:rsidRDefault="006B087B" w:rsidP="006B087B">
      <w:pPr>
        <w:spacing w:before="0"/>
        <w:jc w:val="center"/>
        <w:rPr>
          <w:noProof/>
          <w:lang w:val="en-GB" w:eastAsia="en-GB"/>
        </w:rPr>
      </w:pPr>
    </w:p>
    <w:p w14:paraId="22BA2A4B" w14:textId="77777777" w:rsidR="006B087B" w:rsidRDefault="00223AE5" w:rsidP="006B087B">
      <w:pPr>
        <w:spacing w:before="0"/>
        <w:jc w:val="center"/>
        <w:rPr>
          <w:noProof/>
          <w:lang w:val="en-GB" w:eastAsia="en-GB"/>
        </w:rPr>
      </w:pPr>
      <w:r>
        <w:rPr>
          <w:noProof/>
          <w:lang w:val="en-GB" w:eastAsia="en-GB"/>
        </w:rPr>
        <mc:AlternateContent>
          <mc:Choice Requires="wps">
            <w:drawing>
              <wp:anchor distT="0" distB="0" distL="114300" distR="114300" simplePos="0" relativeHeight="251692544" behindDoc="0" locked="0" layoutInCell="1" allowOverlap="1" wp14:anchorId="7BC61C31" wp14:editId="7A347BAF">
                <wp:simplePos x="0" y="0"/>
                <wp:positionH relativeFrom="margin">
                  <wp:align>center</wp:align>
                </wp:positionH>
                <wp:positionV relativeFrom="paragraph">
                  <wp:posOffset>160020</wp:posOffset>
                </wp:positionV>
                <wp:extent cx="180975" cy="231140"/>
                <wp:effectExtent l="38100" t="0" r="9525" b="1651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CE41" id="AutoShape 35" o:spid="_x0000_s1026" type="#_x0000_t67" style="position:absolute;margin-left:0;margin-top:12.6pt;width:14.25pt;height:18.2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uw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">
                <w10:wrap anchorx="margin"/>
              </v:shape>
            </w:pict>
          </mc:Fallback>
        </mc:AlternateContent>
      </w:r>
      <w:r w:rsidR="006B087B">
        <w:rPr>
          <w:noProof/>
          <w:lang w:val="en-GB" w:eastAsia="en-GB"/>
        </w:rPr>
        <w:t>Incubate at 37</w:t>
      </w:r>
      <w:r w:rsidR="006B087B">
        <w:rPr>
          <w:rFonts w:cs="Arial"/>
          <w:noProof/>
          <w:lang w:val="en-GB" w:eastAsia="en-GB"/>
        </w:rPr>
        <w:t>°</w:t>
      </w:r>
      <w:r w:rsidR="006B087B">
        <w:rPr>
          <w:noProof/>
          <w:lang w:val="en-GB" w:eastAsia="en-GB"/>
        </w:rPr>
        <w:t>C for</w:t>
      </w:r>
      <w:r w:rsidR="00762322">
        <w:rPr>
          <w:noProof/>
          <w:lang w:val="en-GB" w:eastAsia="en-GB"/>
        </w:rPr>
        <w:t xml:space="preserve"> 1 hour</w:t>
      </w:r>
    </w:p>
    <w:p w14:paraId="5AF543CE" w14:textId="77777777" w:rsidR="006B087B" w:rsidRDefault="006B087B" w:rsidP="006B087B">
      <w:pPr>
        <w:spacing w:before="0"/>
        <w:jc w:val="center"/>
        <w:rPr>
          <w:noProof/>
          <w:lang w:val="en-GB" w:eastAsia="en-GB"/>
        </w:rPr>
      </w:pPr>
    </w:p>
    <w:p w14:paraId="0E371765" w14:textId="77777777" w:rsidR="006B087B" w:rsidRDefault="00223AE5" w:rsidP="006B087B">
      <w:pPr>
        <w:spacing w:before="0"/>
        <w:jc w:val="center"/>
        <w:rPr>
          <w:noProof/>
          <w:lang w:val="en-GB" w:eastAsia="en-GB"/>
        </w:rPr>
      </w:pPr>
      <w:r>
        <w:rPr>
          <w:noProof/>
          <w:lang w:val="en-GB" w:eastAsia="en-GB"/>
        </w:rPr>
        <mc:AlternateContent>
          <mc:Choice Requires="wps">
            <w:drawing>
              <wp:anchor distT="0" distB="0" distL="114300" distR="114300" simplePos="0" relativeHeight="251693568" behindDoc="0" locked="0" layoutInCell="1" allowOverlap="1" wp14:anchorId="4A79DA64" wp14:editId="3FBC04DF">
                <wp:simplePos x="0" y="0"/>
                <wp:positionH relativeFrom="margin">
                  <wp:align>center</wp:align>
                </wp:positionH>
                <wp:positionV relativeFrom="paragraph">
                  <wp:posOffset>136525</wp:posOffset>
                </wp:positionV>
                <wp:extent cx="180975" cy="231140"/>
                <wp:effectExtent l="38100" t="0" r="9525" b="1651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5DD66" id="AutoShape 35" o:spid="_x0000_s1026" type="#_x0000_t67" style="position:absolute;margin-left:0;margin-top:10.75pt;width:14.25pt;height:18.2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DnQg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">
                <w10:wrap anchorx="margin"/>
              </v:shape>
            </w:pict>
          </mc:Fallback>
        </mc:AlternateContent>
      </w:r>
      <w:r w:rsidR="00851F11" w:rsidRPr="00851F11">
        <w:rPr>
          <w:noProof/>
          <w:lang w:val="en-GB" w:eastAsia="en-GB"/>
        </w:rPr>
        <w:t>Quench assays wit</w:t>
      </w:r>
      <w:r w:rsidR="00851F11">
        <w:rPr>
          <w:noProof/>
          <w:lang w:val="en-GB" w:eastAsia="en-GB"/>
        </w:rPr>
        <w:t>h 2x SDS-PAGE gel loading buffe</w:t>
      </w:r>
      <w:r w:rsidR="006B087B">
        <w:rPr>
          <w:noProof/>
          <w:lang w:val="en-GB" w:eastAsia="en-GB"/>
        </w:rPr>
        <w:t>r</w:t>
      </w:r>
    </w:p>
    <w:p w14:paraId="72894432" w14:textId="77777777" w:rsidR="006B087B" w:rsidRDefault="006B087B" w:rsidP="006B087B">
      <w:pPr>
        <w:spacing w:before="0"/>
        <w:jc w:val="center"/>
        <w:rPr>
          <w:noProof/>
          <w:lang w:val="en-GB" w:eastAsia="en-GB"/>
        </w:rPr>
      </w:pPr>
    </w:p>
    <w:p w14:paraId="170A2F72" w14:textId="77777777" w:rsidR="006B087B" w:rsidRPr="006131C7" w:rsidRDefault="006B087B" w:rsidP="006B087B">
      <w:pPr>
        <w:spacing w:before="0"/>
        <w:jc w:val="center"/>
        <w:rPr>
          <w:noProof/>
          <w:lang w:val="en-GB" w:eastAsia="en-GB"/>
        </w:rPr>
      </w:pPr>
      <w:r>
        <w:rPr>
          <w:noProof/>
          <w:lang w:val="en-GB" w:eastAsia="en-GB"/>
        </w:rPr>
        <w:t>Analyse by Western Blot</w:t>
      </w:r>
    </w:p>
    <w:p w14:paraId="7CCAF6DC" w14:textId="77777777" w:rsidR="00B931F1" w:rsidRDefault="00B931F1" w:rsidP="00B931F1">
      <w:pPr>
        <w:spacing w:before="0"/>
        <w:jc w:val="center"/>
      </w:pPr>
    </w:p>
    <w:p w14:paraId="116D5CF2" w14:textId="77777777" w:rsidR="00E2575A" w:rsidRDefault="00E2575A" w:rsidP="00E2575A">
      <w:pPr>
        <w:spacing w:before="0"/>
        <w:rPr>
          <w:noProof/>
          <w:lang w:val="en-GB" w:eastAsia="en-GB"/>
        </w:rPr>
      </w:pPr>
    </w:p>
    <w:p w14:paraId="2B936FAE" w14:textId="77777777" w:rsidR="00E2575A" w:rsidRDefault="00E2575A">
      <w:pPr>
        <w:spacing w:before="0" w:line="240" w:lineRule="auto"/>
        <w:jc w:val="left"/>
        <w:rPr>
          <w:b/>
          <w:noProof/>
          <w:lang w:val="en-GB" w:eastAsia="en-GB"/>
        </w:rPr>
      </w:pPr>
      <w:r>
        <w:rPr>
          <w:b/>
          <w:noProof/>
          <w:lang w:val="en-GB" w:eastAsia="en-GB"/>
        </w:rPr>
        <w:br w:type="page"/>
      </w:r>
    </w:p>
    <w:p w14:paraId="52302FCA" w14:textId="77777777" w:rsidR="00B931F1" w:rsidRDefault="00634F7F" w:rsidP="00AF3A40">
      <w:pPr>
        <w:pStyle w:val="Heading1"/>
        <w:spacing w:before="0"/>
      </w:pPr>
      <w:bookmarkStart w:id="15" w:name="_Toc315440412"/>
      <w:bookmarkStart w:id="16" w:name="_Toc353458009"/>
      <w:bookmarkStart w:id="17" w:name="_Toc271554832"/>
      <w:bookmarkStart w:id="18" w:name="_Toc273532551"/>
      <w:r>
        <w:lastRenderedPageBreak/>
        <w:t>Materials Supplied</w:t>
      </w:r>
      <w:bookmarkEnd w:id="15"/>
      <w:bookmarkEnd w:id="16"/>
    </w:p>
    <w:p w14:paraId="1DA64076" w14:textId="77777777" w:rsidR="00C10933" w:rsidRPr="00634F7F" w:rsidRDefault="00C10933" w:rsidP="00C10933">
      <w:pPr>
        <w:spacing w:before="0"/>
        <w:rPr>
          <w:b/>
        </w:rPr>
      </w:pPr>
    </w:p>
    <w:tbl>
      <w:tblPr>
        <w:tblStyle w:val="LightShading5"/>
        <w:tblW w:w="6248" w:type="dxa"/>
        <w:jc w:val="center"/>
        <w:tblLayout w:type="fixed"/>
        <w:tblLook w:val="04A0" w:firstRow="1" w:lastRow="0" w:firstColumn="1" w:lastColumn="0" w:noHBand="0" w:noVBand="1"/>
      </w:tblPr>
      <w:tblGrid>
        <w:gridCol w:w="3686"/>
        <w:gridCol w:w="1417"/>
        <w:gridCol w:w="1145"/>
      </w:tblGrid>
      <w:tr w:rsidR="00CD558E" w:rsidRPr="00EC0F0A" w14:paraId="5A381657" w14:textId="77777777" w:rsidTr="00081C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E03ADCF" w14:textId="77777777" w:rsidR="00CD558E" w:rsidRPr="00EC0F0A" w:rsidRDefault="00CD558E" w:rsidP="00EC0570">
            <w:pPr>
              <w:jc w:val="left"/>
              <w:rPr>
                <w:rFonts w:cs="Arial"/>
                <w:sz w:val="18"/>
                <w:szCs w:val="20"/>
                <w:lang w:val="en-GB"/>
              </w:rPr>
            </w:pPr>
            <w:r w:rsidRPr="00EC0F0A">
              <w:rPr>
                <w:rFonts w:cs="Arial"/>
                <w:sz w:val="18"/>
                <w:szCs w:val="20"/>
                <w:lang w:val="en-GB"/>
              </w:rPr>
              <w:t>Item</w:t>
            </w:r>
          </w:p>
        </w:tc>
        <w:tc>
          <w:tcPr>
            <w:tcW w:w="1417" w:type="dxa"/>
            <w:shd w:val="clear" w:color="auto" w:fill="auto"/>
          </w:tcPr>
          <w:p w14:paraId="3E2FA7DB" w14:textId="77777777" w:rsidR="00CD558E" w:rsidRPr="00EC0F0A" w:rsidRDefault="00CD558E" w:rsidP="00EC0570">
            <w:pPr>
              <w:jc w:val="center"/>
              <w:cnfStyle w:val="100000000000" w:firstRow="1" w:lastRow="0" w:firstColumn="0" w:lastColumn="0" w:oddVBand="0" w:evenVBand="0" w:oddHBand="0" w:evenHBand="0" w:firstRowFirstColumn="0" w:firstRowLastColumn="0" w:lastRowFirstColumn="0" w:lastRowLastColumn="0"/>
              <w:rPr>
                <w:rFonts w:cs="Arial"/>
                <w:sz w:val="18"/>
                <w:szCs w:val="20"/>
                <w:lang w:val="en-GB"/>
              </w:rPr>
            </w:pPr>
            <w:r w:rsidRPr="00EC0F0A">
              <w:rPr>
                <w:rFonts w:cs="Arial"/>
                <w:sz w:val="18"/>
                <w:szCs w:val="20"/>
                <w:lang w:val="en-GB"/>
              </w:rPr>
              <w:t>Quantity</w:t>
            </w:r>
          </w:p>
        </w:tc>
        <w:tc>
          <w:tcPr>
            <w:tcW w:w="1145" w:type="dxa"/>
            <w:shd w:val="clear" w:color="auto" w:fill="auto"/>
          </w:tcPr>
          <w:p w14:paraId="4547453D" w14:textId="77777777" w:rsidR="00CD558E" w:rsidRPr="00EC0F0A" w:rsidRDefault="00CD558E" w:rsidP="00EC0570">
            <w:pPr>
              <w:jc w:val="center"/>
              <w:cnfStyle w:val="100000000000" w:firstRow="1" w:lastRow="0" w:firstColumn="0" w:lastColumn="0" w:oddVBand="0" w:evenVBand="0" w:oddHBand="0" w:evenHBand="0" w:firstRowFirstColumn="0" w:firstRowLastColumn="0" w:lastRowFirstColumn="0" w:lastRowLastColumn="0"/>
              <w:rPr>
                <w:rFonts w:cs="Arial"/>
                <w:sz w:val="18"/>
                <w:szCs w:val="20"/>
                <w:lang w:val="en-GB"/>
              </w:rPr>
            </w:pPr>
            <w:r w:rsidRPr="00EC0F0A">
              <w:rPr>
                <w:rFonts w:cs="Arial"/>
                <w:sz w:val="18"/>
                <w:szCs w:val="20"/>
                <w:lang w:val="en-GB"/>
              </w:rPr>
              <w:t>Storage</w:t>
            </w:r>
          </w:p>
        </w:tc>
      </w:tr>
      <w:tr w:rsidR="00CD558E" w:rsidRPr="00EC0F0A" w14:paraId="3FB40002" w14:textId="77777777" w:rsidTr="00081C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4BDF800" w14:textId="77777777" w:rsidR="00CD558E" w:rsidRPr="004666E6" w:rsidRDefault="004666E6" w:rsidP="00E2575A">
            <w:pPr>
              <w:jc w:val="left"/>
              <w:rPr>
                <w:rFonts w:cs="Arial"/>
                <w:b w:val="0"/>
                <w:sz w:val="20"/>
                <w:szCs w:val="18"/>
              </w:rPr>
            </w:pPr>
            <w:r w:rsidRPr="004666E6">
              <w:rPr>
                <w:rFonts w:cs="Arial"/>
                <w:b w:val="0"/>
                <w:sz w:val="20"/>
                <w:szCs w:val="18"/>
              </w:rPr>
              <w:t xml:space="preserve">20X </w:t>
            </w:r>
            <w:r w:rsidR="00762322" w:rsidRPr="004666E6">
              <w:rPr>
                <w:rFonts w:cs="Arial"/>
                <w:b w:val="0"/>
                <w:sz w:val="20"/>
                <w:szCs w:val="18"/>
              </w:rPr>
              <w:t>Ubiquitin Activating Enzyme Solution</w:t>
            </w:r>
            <w:r w:rsidRPr="004666E6">
              <w:rPr>
                <w:rFonts w:cs="Arial"/>
                <w:b w:val="0"/>
                <w:sz w:val="20"/>
                <w:szCs w:val="18"/>
              </w:rPr>
              <w:t xml:space="preserve"> (E1)</w:t>
            </w:r>
          </w:p>
        </w:tc>
        <w:tc>
          <w:tcPr>
            <w:tcW w:w="1417" w:type="dxa"/>
            <w:shd w:val="clear" w:color="auto" w:fill="auto"/>
          </w:tcPr>
          <w:p w14:paraId="76DFDD28" w14:textId="77777777" w:rsidR="00CD558E" w:rsidRPr="004666E6" w:rsidRDefault="00762322" w:rsidP="00E2575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sz w:val="20"/>
                <w:szCs w:val="20"/>
              </w:rPr>
              <w:t>1 x 25</w:t>
            </w:r>
            <w:r w:rsidR="00F87898" w:rsidRPr="004666E6">
              <w:rPr>
                <w:rFonts w:cs="Arial"/>
                <w:sz w:val="20"/>
                <w:szCs w:val="20"/>
              </w:rPr>
              <w:t xml:space="preserve"> µL</w:t>
            </w:r>
          </w:p>
        </w:tc>
        <w:tc>
          <w:tcPr>
            <w:tcW w:w="1145" w:type="dxa"/>
            <w:shd w:val="clear" w:color="auto" w:fill="auto"/>
          </w:tcPr>
          <w:p w14:paraId="05343A7A" w14:textId="77777777" w:rsidR="00CD558E" w:rsidRPr="004666E6" w:rsidRDefault="00CD558E" w:rsidP="00944F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hint="eastAsia"/>
                <w:sz w:val="20"/>
                <w:szCs w:val="20"/>
              </w:rPr>
              <w:t>-</w:t>
            </w:r>
            <w:r w:rsidR="00EC0F0A" w:rsidRPr="004666E6">
              <w:rPr>
                <w:rFonts w:cs="Arial"/>
                <w:sz w:val="20"/>
                <w:szCs w:val="20"/>
              </w:rPr>
              <w:t>80</w:t>
            </w:r>
            <w:r w:rsidRPr="004666E6">
              <w:rPr>
                <w:rFonts w:cs="Arial"/>
                <w:sz w:val="20"/>
                <w:szCs w:val="20"/>
              </w:rPr>
              <w:t>°C</w:t>
            </w:r>
          </w:p>
        </w:tc>
      </w:tr>
      <w:tr w:rsidR="00EC0F0A" w:rsidRPr="00EC0F0A" w14:paraId="0FC8BA39" w14:textId="77777777" w:rsidTr="00081C90">
        <w:trPr>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7713493" w14:textId="0280B9CE" w:rsidR="00EC0F0A" w:rsidRPr="004666E6" w:rsidRDefault="00081C90" w:rsidP="006B087B">
            <w:pPr>
              <w:jc w:val="left"/>
              <w:rPr>
                <w:rFonts w:cs="Arial"/>
                <w:b w:val="0"/>
                <w:sz w:val="20"/>
                <w:szCs w:val="18"/>
              </w:rPr>
            </w:pPr>
            <w:r>
              <w:rPr>
                <w:rFonts w:cs="Arial"/>
                <w:b w:val="0"/>
                <w:sz w:val="20"/>
                <w:szCs w:val="18"/>
              </w:rPr>
              <w:t xml:space="preserve">20X </w:t>
            </w:r>
            <w:r w:rsidR="004666E6" w:rsidRPr="004666E6">
              <w:rPr>
                <w:rFonts w:cs="Arial"/>
                <w:b w:val="0"/>
                <w:sz w:val="20"/>
                <w:szCs w:val="18"/>
              </w:rPr>
              <w:t>UbcH5a (Human, Recombinant)</w:t>
            </w:r>
          </w:p>
        </w:tc>
        <w:tc>
          <w:tcPr>
            <w:tcW w:w="1417" w:type="dxa"/>
            <w:shd w:val="clear" w:color="auto" w:fill="auto"/>
          </w:tcPr>
          <w:p w14:paraId="4CFAE22A" w14:textId="77777777" w:rsidR="00EC0F0A" w:rsidRPr="004666E6" w:rsidRDefault="00762322" w:rsidP="0004755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sz w:val="20"/>
                <w:szCs w:val="20"/>
              </w:rPr>
              <w:t>1 x 25</w:t>
            </w:r>
            <w:r w:rsidR="00F87898" w:rsidRPr="004666E6">
              <w:rPr>
                <w:rFonts w:cs="Arial"/>
                <w:sz w:val="20"/>
                <w:szCs w:val="20"/>
              </w:rPr>
              <w:t xml:space="preserve"> µL</w:t>
            </w:r>
          </w:p>
        </w:tc>
        <w:tc>
          <w:tcPr>
            <w:tcW w:w="1145" w:type="dxa"/>
            <w:shd w:val="clear" w:color="auto" w:fill="auto"/>
          </w:tcPr>
          <w:p w14:paraId="4FC33B5A" w14:textId="77777777" w:rsidR="00EC0F0A" w:rsidRPr="004666E6" w:rsidRDefault="00944FC0" w:rsidP="000D3B7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r w:rsidR="00EC0F0A" w:rsidRPr="00EC0F0A" w14:paraId="2F78A9E7" w14:textId="77777777" w:rsidTr="00081C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29CDDF9" w14:textId="77777777" w:rsidR="00EC0F0A" w:rsidRPr="004666E6" w:rsidRDefault="004666E6" w:rsidP="00F87898">
            <w:pPr>
              <w:jc w:val="left"/>
              <w:rPr>
                <w:rFonts w:cs="Arial"/>
                <w:b w:val="0"/>
                <w:sz w:val="20"/>
                <w:szCs w:val="18"/>
              </w:rPr>
            </w:pPr>
            <w:r w:rsidRPr="004666E6">
              <w:rPr>
                <w:rFonts w:cs="Arial"/>
                <w:b w:val="0"/>
                <w:sz w:val="20"/>
                <w:szCs w:val="18"/>
              </w:rPr>
              <w:t xml:space="preserve">10X </w:t>
            </w:r>
            <w:r w:rsidR="00762322" w:rsidRPr="004666E6">
              <w:rPr>
                <w:rFonts w:cs="Arial"/>
                <w:b w:val="0"/>
                <w:sz w:val="20"/>
                <w:szCs w:val="18"/>
              </w:rPr>
              <w:t xml:space="preserve">Ubiquitin </w:t>
            </w:r>
          </w:p>
        </w:tc>
        <w:tc>
          <w:tcPr>
            <w:tcW w:w="1417" w:type="dxa"/>
            <w:shd w:val="clear" w:color="auto" w:fill="auto"/>
          </w:tcPr>
          <w:p w14:paraId="76FC54F2" w14:textId="77777777" w:rsidR="00EC0F0A" w:rsidRPr="004666E6" w:rsidRDefault="00762322" w:rsidP="0004755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sz w:val="20"/>
                <w:szCs w:val="20"/>
              </w:rPr>
              <w:t>1 x 50</w:t>
            </w:r>
            <w:r w:rsidR="00F87898" w:rsidRPr="004666E6">
              <w:rPr>
                <w:rFonts w:cs="Arial"/>
                <w:sz w:val="20"/>
                <w:szCs w:val="20"/>
              </w:rPr>
              <w:t xml:space="preserve"> µL</w:t>
            </w:r>
          </w:p>
        </w:tc>
        <w:tc>
          <w:tcPr>
            <w:tcW w:w="1145" w:type="dxa"/>
            <w:shd w:val="clear" w:color="auto" w:fill="auto"/>
          </w:tcPr>
          <w:p w14:paraId="4953D0A8" w14:textId="77777777" w:rsidR="00EC0F0A" w:rsidRPr="004666E6" w:rsidRDefault="00944FC0" w:rsidP="000D3B7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r w:rsidR="00944FC0" w:rsidRPr="00EC0F0A" w14:paraId="2D70E3A2" w14:textId="77777777" w:rsidTr="00081C90">
        <w:trPr>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31AD9D6" w14:textId="2F8D428F" w:rsidR="00944FC0" w:rsidRPr="004666E6" w:rsidRDefault="00081C90" w:rsidP="0004755F">
            <w:pPr>
              <w:jc w:val="left"/>
              <w:rPr>
                <w:rFonts w:cs="Arial"/>
                <w:b w:val="0"/>
                <w:sz w:val="20"/>
                <w:szCs w:val="18"/>
              </w:rPr>
            </w:pPr>
            <w:r>
              <w:rPr>
                <w:rFonts w:cs="Arial"/>
                <w:b w:val="0"/>
                <w:sz w:val="20"/>
                <w:szCs w:val="18"/>
              </w:rPr>
              <w:t xml:space="preserve">20X </w:t>
            </w:r>
            <w:r w:rsidR="004666E6" w:rsidRPr="004666E6">
              <w:rPr>
                <w:rFonts w:cs="Arial"/>
                <w:b w:val="0"/>
                <w:sz w:val="20"/>
                <w:szCs w:val="18"/>
              </w:rPr>
              <w:t>Hdm2 (Human, Recombinant)</w:t>
            </w:r>
          </w:p>
        </w:tc>
        <w:tc>
          <w:tcPr>
            <w:tcW w:w="1417" w:type="dxa"/>
            <w:shd w:val="clear" w:color="auto" w:fill="auto"/>
          </w:tcPr>
          <w:p w14:paraId="7823B530" w14:textId="77777777" w:rsidR="00944FC0" w:rsidRPr="004666E6" w:rsidRDefault="00762322" w:rsidP="003A760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sz w:val="20"/>
                <w:szCs w:val="20"/>
              </w:rPr>
              <w:t>1 x 25</w:t>
            </w:r>
            <w:r w:rsidR="00944FC0" w:rsidRPr="004666E6">
              <w:rPr>
                <w:rFonts w:cs="Arial"/>
                <w:sz w:val="20"/>
                <w:szCs w:val="20"/>
              </w:rPr>
              <w:t xml:space="preserve"> µL</w:t>
            </w:r>
          </w:p>
        </w:tc>
        <w:tc>
          <w:tcPr>
            <w:tcW w:w="1145" w:type="dxa"/>
            <w:shd w:val="clear" w:color="auto" w:fill="auto"/>
          </w:tcPr>
          <w:p w14:paraId="0CEAF976" w14:textId="77777777" w:rsidR="00944FC0" w:rsidRPr="004666E6" w:rsidRDefault="00944FC0" w:rsidP="00514C8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r w:rsidR="00944FC0" w:rsidRPr="00EC0F0A" w14:paraId="36227E0F" w14:textId="77777777" w:rsidTr="00081C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ED9876E" w14:textId="77777777" w:rsidR="00944FC0" w:rsidRPr="004666E6" w:rsidRDefault="004666E6" w:rsidP="007B4CED">
            <w:pPr>
              <w:jc w:val="left"/>
              <w:rPr>
                <w:rFonts w:cs="Arial"/>
                <w:b w:val="0"/>
                <w:sz w:val="20"/>
                <w:szCs w:val="18"/>
              </w:rPr>
            </w:pPr>
            <w:r w:rsidRPr="004666E6">
              <w:rPr>
                <w:rFonts w:cs="Arial"/>
                <w:b w:val="0"/>
                <w:sz w:val="20"/>
                <w:szCs w:val="18"/>
              </w:rPr>
              <w:t>20X Mg-ATP Solution</w:t>
            </w:r>
          </w:p>
        </w:tc>
        <w:tc>
          <w:tcPr>
            <w:tcW w:w="1417" w:type="dxa"/>
            <w:shd w:val="clear" w:color="auto" w:fill="auto"/>
          </w:tcPr>
          <w:p w14:paraId="5A2D6F09" w14:textId="77777777" w:rsidR="00944FC0" w:rsidRPr="004666E6" w:rsidRDefault="00762322" w:rsidP="00EC0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sz w:val="20"/>
                <w:szCs w:val="20"/>
              </w:rPr>
              <w:t xml:space="preserve">1 x </w:t>
            </w:r>
            <w:r w:rsidR="00944FC0" w:rsidRPr="004666E6">
              <w:rPr>
                <w:rFonts w:cs="Arial"/>
                <w:sz w:val="20"/>
                <w:szCs w:val="20"/>
              </w:rPr>
              <w:t xml:space="preserve">25 </w:t>
            </w:r>
            <w:r w:rsidRPr="004666E6">
              <w:rPr>
                <w:rFonts w:cs="Arial"/>
                <w:sz w:val="20"/>
                <w:szCs w:val="20"/>
              </w:rPr>
              <w:t>µL</w:t>
            </w:r>
          </w:p>
        </w:tc>
        <w:tc>
          <w:tcPr>
            <w:tcW w:w="1145" w:type="dxa"/>
            <w:shd w:val="clear" w:color="auto" w:fill="auto"/>
          </w:tcPr>
          <w:p w14:paraId="1C099193" w14:textId="77777777" w:rsidR="00944FC0" w:rsidRPr="004666E6" w:rsidRDefault="00944FC0" w:rsidP="00514C8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r w:rsidR="00944FC0" w:rsidRPr="00EC0F0A" w14:paraId="58CFA99C" w14:textId="77777777" w:rsidTr="00081C90">
        <w:trPr>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44ACE21" w14:textId="77777777" w:rsidR="00944FC0" w:rsidRPr="004666E6" w:rsidRDefault="004666E6" w:rsidP="007B4CED">
            <w:pPr>
              <w:jc w:val="left"/>
              <w:rPr>
                <w:rFonts w:cs="Arial"/>
                <w:b w:val="0"/>
                <w:sz w:val="20"/>
                <w:szCs w:val="18"/>
              </w:rPr>
            </w:pPr>
            <w:r w:rsidRPr="004666E6">
              <w:rPr>
                <w:rFonts w:cs="Arial"/>
                <w:b w:val="0"/>
                <w:sz w:val="20"/>
                <w:szCs w:val="18"/>
              </w:rPr>
              <w:t xml:space="preserve">10X </w:t>
            </w:r>
            <w:proofErr w:type="spellStart"/>
            <w:r w:rsidRPr="004666E6">
              <w:rPr>
                <w:rFonts w:cs="Arial"/>
                <w:b w:val="0"/>
                <w:sz w:val="20"/>
                <w:szCs w:val="18"/>
              </w:rPr>
              <w:t>Ub</w:t>
            </w:r>
            <w:proofErr w:type="spellEnd"/>
            <w:r w:rsidRPr="004666E6">
              <w:rPr>
                <w:rFonts w:cs="Arial"/>
                <w:b w:val="0"/>
                <w:sz w:val="20"/>
                <w:szCs w:val="18"/>
              </w:rPr>
              <w:t xml:space="preserve"> E3 Ligase Buffer</w:t>
            </w:r>
          </w:p>
        </w:tc>
        <w:tc>
          <w:tcPr>
            <w:tcW w:w="1417" w:type="dxa"/>
            <w:shd w:val="clear" w:color="auto" w:fill="auto"/>
          </w:tcPr>
          <w:p w14:paraId="24D2A92C" w14:textId="77777777" w:rsidR="00944FC0" w:rsidRPr="004666E6" w:rsidRDefault="00762322" w:rsidP="00EC0F0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sz w:val="20"/>
                <w:szCs w:val="20"/>
              </w:rPr>
              <w:t>1 x 5</w:t>
            </w:r>
            <w:r w:rsidR="00944FC0" w:rsidRPr="004666E6">
              <w:rPr>
                <w:rFonts w:cs="Arial"/>
                <w:sz w:val="20"/>
                <w:szCs w:val="20"/>
              </w:rPr>
              <w:t>0 µL</w:t>
            </w:r>
          </w:p>
        </w:tc>
        <w:tc>
          <w:tcPr>
            <w:tcW w:w="1145" w:type="dxa"/>
            <w:shd w:val="clear" w:color="auto" w:fill="auto"/>
          </w:tcPr>
          <w:p w14:paraId="40B0C704" w14:textId="77777777" w:rsidR="00944FC0" w:rsidRPr="004666E6" w:rsidRDefault="00944FC0" w:rsidP="00514C8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r w:rsidR="00762322" w:rsidRPr="00EC0F0A" w14:paraId="08F6A517" w14:textId="77777777" w:rsidTr="00081C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1AAB89D" w14:textId="77777777" w:rsidR="00762322" w:rsidRPr="004666E6" w:rsidRDefault="000207B9" w:rsidP="007B4CED">
            <w:pPr>
              <w:jc w:val="left"/>
              <w:rPr>
                <w:rFonts w:cs="Arial"/>
                <w:b w:val="0"/>
                <w:sz w:val="20"/>
                <w:szCs w:val="18"/>
              </w:rPr>
            </w:pPr>
            <w:r w:rsidRPr="000207B9">
              <w:rPr>
                <w:rFonts w:cs="Arial"/>
                <w:b w:val="0"/>
                <w:sz w:val="20"/>
                <w:szCs w:val="18"/>
              </w:rPr>
              <w:t>Ubiquitin Antibody Solution (pAb)</w:t>
            </w:r>
          </w:p>
        </w:tc>
        <w:tc>
          <w:tcPr>
            <w:tcW w:w="1417" w:type="dxa"/>
            <w:shd w:val="clear" w:color="auto" w:fill="auto"/>
          </w:tcPr>
          <w:p w14:paraId="7D792AEF" w14:textId="77777777" w:rsidR="00762322" w:rsidRPr="004666E6" w:rsidRDefault="00762322" w:rsidP="00EC0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sz w:val="20"/>
                <w:szCs w:val="20"/>
              </w:rPr>
              <w:t>1 x 25 µL</w:t>
            </w:r>
          </w:p>
        </w:tc>
        <w:tc>
          <w:tcPr>
            <w:tcW w:w="1145" w:type="dxa"/>
            <w:shd w:val="clear" w:color="auto" w:fill="auto"/>
          </w:tcPr>
          <w:p w14:paraId="2C71131A" w14:textId="77777777" w:rsidR="00762322" w:rsidRPr="004666E6" w:rsidRDefault="00762322" w:rsidP="00514C8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66E6">
              <w:rPr>
                <w:rFonts w:cs="Arial" w:hint="eastAsia"/>
                <w:sz w:val="20"/>
                <w:szCs w:val="20"/>
              </w:rPr>
              <w:t>-</w:t>
            </w:r>
            <w:r w:rsidRPr="004666E6">
              <w:rPr>
                <w:rFonts w:cs="Arial"/>
                <w:sz w:val="20"/>
                <w:szCs w:val="20"/>
              </w:rPr>
              <w:t>80°C</w:t>
            </w:r>
          </w:p>
        </w:tc>
      </w:tr>
    </w:tbl>
    <w:p w14:paraId="79281242" w14:textId="77777777" w:rsidR="00634F7F" w:rsidRDefault="00634F7F" w:rsidP="00F87898">
      <w:pPr>
        <w:pStyle w:val="Heading1"/>
        <w:spacing w:before="240"/>
      </w:pPr>
      <w:bookmarkStart w:id="19" w:name="_Toc353458010"/>
      <w:r>
        <w:t>Storage and Stability</w:t>
      </w:r>
      <w:bookmarkEnd w:id="19"/>
    </w:p>
    <w:p w14:paraId="115162F1" w14:textId="77777777" w:rsidR="00F87898" w:rsidRDefault="00F87898" w:rsidP="00F87898">
      <w:pPr>
        <w:pStyle w:val="ListParagraph"/>
        <w:numPr>
          <w:ilvl w:val="0"/>
          <w:numId w:val="5"/>
        </w:numPr>
        <w:ind w:left="357" w:hanging="357"/>
      </w:pPr>
      <w:r>
        <w:t>All kit components should be stored at -80°C to ensure stability and activity. Avoid multiple freeze/thawing.</w:t>
      </w:r>
      <w:r w:rsidR="0004755F">
        <w:t xml:space="preserve"> </w:t>
      </w:r>
    </w:p>
    <w:p w14:paraId="7A4D7FDA" w14:textId="77777777" w:rsidR="005C622E" w:rsidRPr="00F87898" w:rsidRDefault="00F87898" w:rsidP="00762322">
      <w:pPr>
        <w:pStyle w:val="ListParagraph"/>
        <w:numPr>
          <w:ilvl w:val="0"/>
          <w:numId w:val="5"/>
        </w:numPr>
        <w:ind w:left="357" w:hanging="357"/>
        <w:contextualSpacing w:val="0"/>
      </w:pPr>
      <w:r w:rsidRPr="00F87898">
        <w:t>If precipitation observed upon thawing</w:t>
      </w:r>
      <w:r>
        <w:t xml:space="preserve"> </w:t>
      </w:r>
      <w:r w:rsidRPr="00F87898">
        <w:t>2x Non-reducing Gel Loading Buffer</w:t>
      </w:r>
      <w:r>
        <w:t>,</w:t>
      </w:r>
      <w:r w:rsidRPr="00F87898">
        <w:t xml:space="preserve"> warm tube at</w:t>
      </w:r>
      <w:r>
        <w:t xml:space="preserve"> </w:t>
      </w:r>
      <w:r w:rsidRPr="00F87898">
        <w:t>37ºC for 5-10mins until solution clears</w:t>
      </w:r>
      <w:r w:rsidR="00762322">
        <w:t>.</w:t>
      </w:r>
    </w:p>
    <w:p w14:paraId="0A2ED944" w14:textId="77777777" w:rsidR="00634F7F" w:rsidRPr="00634F7F" w:rsidRDefault="00634F7F" w:rsidP="007E7F18">
      <w:pPr>
        <w:pStyle w:val="Heading1"/>
        <w:spacing w:before="240"/>
        <w:ind w:left="357" w:hanging="357"/>
      </w:pPr>
      <w:bookmarkStart w:id="20" w:name="_Toc353458011"/>
      <w:r w:rsidRPr="00634F7F">
        <w:lastRenderedPageBreak/>
        <w:t>Materials Required, Not Supplied</w:t>
      </w:r>
      <w:bookmarkEnd w:id="20"/>
    </w:p>
    <w:p w14:paraId="4251BDF9" w14:textId="77777777" w:rsidR="00F87898" w:rsidRDefault="00F87898" w:rsidP="00F87898">
      <w:pPr>
        <w:pStyle w:val="ListParagraph"/>
        <w:numPr>
          <w:ilvl w:val="0"/>
          <w:numId w:val="5"/>
        </w:numPr>
        <w:ind w:left="357" w:hanging="357"/>
      </w:pPr>
      <w:r>
        <w:t>Eppendorf tubes</w:t>
      </w:r>
    </w:p>
    <w:p w14:paraId="54F1E31B" w14:textId="77777777" w:rsidR="00F87898" w:rsidRPr="00762322" w:rsidRDefault="00762322" w:rsidP="00F87898">
      <w:pPr>
        <w:pStyle w:val="ListParagraph"/>
        <w:numPr>
          <w:ilvl w:val="0"/>
          <w:numId w:val="5"/>
        </w:numPr>
        <w:ind w:left="357" w:hanging="357"/>
        <w:rPr>
          <w:rFonts w:cs="Arial"/>
          <w:szCs w:val="20"/>
        </w:rPr>
      </w:pPr>
      <w:r w:rsidRPr="00762322">
        <w:rPr>
          <w:rFonts w:cs="Arial"/>
          <w:szCs w:val="20"/>
        </w:rPr>
        <w:t>2x SDS-PAGE gel loading buffer (</w:t>
      </w:r>
      <w:r w:rsidRPr="00762322">
        <w:rPr>
          <w:rFonts w:cs="Arial"/>
          <w:i/>
          <w:iCs/>
          <w:szCs w:val="20"/>
        </w:rPr>
        <w:t xml:space="preserve">e.g. </w:t>
      </w:r>
      <w:r w:rsidRPr="00762322">
        <w:rPr>
          <w:rFonts w:cs="Arial"/>
          <w:szCs w:val="20"/>
        </w:rPr>
        <w:t>0.25M Tris-Cl, pH 6.8, 4% SDS, 10% glycerol, 2% β-</w:t>
      </w:r>
      <w:proofErr w:type="spellStart"/>
      <w:r w:rsidRPr="00762322">
        <w:rPr>
          <w:rFonts w:cs="Arial"/>
          <w:szCs w:val="20"/>
        </w:rPr>
        <w:t>mercaptoethanol</w:t>
      </w:r>
      <w:proofErr w:type="spellEnd"/>
      <w:r w:rsidRPr="00762322">
        <w:rPr>
          <w:rFonts w:cs="Arial"/>
          <w:szCs w:val="20"/>
        </w:rPr>
        <w:t>, 0.01% bromophenol blue)</w:t>
      </w:r>
      <w:r w:rsidR="00F87898" w:rsidRPr="00762322">
        <w:rPr>
          <w:rFonts w:cs="Arial"/>
          <w:szCs w:val="20"/>
        </w:rPr>
        <w:t xml:space="preserve"> </w:t>
      </w:r>
    </w:p>
    <w:p w14:paraId="5EA260FE" w14:textId="77777777" w:rsidR="00B931F1" w:rsidRDefault="00F87898" w:rsidP="00F87898">
      <w:pPr>
        <w:pStyle w:val="ListParagraph"/>
        <w:numPr>
          <w:ilvl w:val="0"/>
          <w:numId w:val="5"/>
        </w:numPr>
        <w:ind w:left="357" w:hanging="357"/>
        <w:rPr>
          <w:rFonts w:cs="Arial"/>
          <w:szCs w:val="20"/>
        </w:rPr>
      </w:pPr>
      <w:r w:rsidRPr="00762322">
        <w:rPr>
          <w:rFonts w:cs="Arial"/>
          <w:szCs w:val="20"/>
        </w:rPr>
        <w:t>DTT (Dithiothreitol) solution (</w:t>
      </w:r>
      <w:r w:rsidR="00762322" w:rsidRPr="00762322">
        <w:rPr>
          <w:rFonts w:cs="Arial"/>
          <w:szCs w:val="20"/>
        </w:rPr>
        <w:t>50mM in dH20</w:t>
      </w:r>
      <w:r w:rsidRPr="00762322">
        <w:rPr>
          <w:rFonts w:cs="Arial"/>
          <w:szCs w:val="20"/>
        </w:rPr>
        <w:t>)</w:t>
      </w:r>
    </w:p>
    <w:p w14:paraId="166FD67A" w14:textId="77777777" w:rsidR="00223AE5" w:rsidRPr="00762322" w:rsidRDefault="00223AE5" w:rsidP="00F87898">
      <w:pPr>
        <w:pStyle w:val="ListParagraph"/>
        <w:numPr>
          <w:ilvl w:val="0"/>
          <w:numId w:val="5"/>
        </w:numPr>
        <w:ind w:left="357" w:hanging="357"/>
        <w:rPr>
          <w:rFonts w:cs="Arial"/>
          <w:szCs w:val="20"/>
        </w:rPr>
      </w:pPr>
      <w:r w:rsidRPr="00223AE5">
        <w:rPr>
          <w:rFonts w:cs="Arial"/>
          <w:szCs w:val="20"/>
        </w:rPr>
        <w:t xml:space="preserve">Inorganic </w:t>
      </w:r>
      <w:proofErr w:type="spellStart"/>
      <w:r w:rsidRPr="00223AE5">
        <w:rPr>
          <w:rFonts w:cs="Arial"/>
          <w:szCs w:val="20"/>
        </w:rPr>
        <w:t>pyrophophatase</w:t>
      </w:r>
      <w:proofErr w:type="spellEnd"/>
      <w:r w:rsidRPr="00223AE5">
        <w:rPr>
          <w:rFonts w:cs="Arial"/>
          <w:szCs w:val="20"/>
        </w:rPr>
        <w:t xml:space="preserve"> solution (IPP) (100U/mL in 20mM Tris-Cl, pH7.5) (e.g. pyrophosphatase, inorganic, Baker’s Yeast, </w:t>
      </w:r>
      <w:proofErr w:type="spellStart"/>
      <w:r w:rsidRPr="00223AE5">
        <w:rPr>
          <w:rFonts w:cs="Arial"/>
          <w:szCs w:val="20"/>
        </w:rPr>
        <w:t>Fluka</w:t>
      </w:r>
      <w:proofErr w:type="spellEnd"/>
      <w:r w:rsidRPr="00223AE5">
        <w:rPr>
          <w:rFonts w:cs="Arial"/>
          <w:szCs w:val="20"/>
        </w:rPr>
        <w:t>, 83205)</w:t>
      </w:r>
    </w:p>
    <w:p w14:paraId="5B83D6DE" w14:textId="77777777" w:rsidR="00F51E21" w:rsidRPr="00762322" w:rsidRDefault="00F51E21" w:rsidP="00F51E21">
      <w:pPr>
        <w:rPr>
          <w:rFonts w:cs="Arial"/>
          <w:b/>
          <w:szCs w:val="20"/>
        </w:rPr>
      </w:pPr>
      <w:r w:rsidRPr="00762322">
        <w:rPr>
          <w:rFonts w:cs="Arial"/>
          <w:b/>
          <w:szCs w:val="20"/>
        </w:rPr>
        <w:t>For Western Blot Analysis</w:t>
      </w:r>
    </w:p>
    <w:p w14:paraId="6BD6E69A"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SDS-PAGE Gels (User prepared (</w:t>
      </w:r>
      <w:r w:rsidR="00762322" w:rsidRPr="00762322">
        <w:rPr>
          <w:rFonts w:cs="Arial"/>
          <w:szCs w:val="20"/>
        </w:rPr>
        <w:t>10% standard / 4-15% linear gradient</w:t>
      </w:r>
      <w:r w:rsidRPr="00762322">
        <w:rPr>
          <w:rFonts w:cs="Arial"/>
          <w:szCs w:val="20"/>
        </w:rPr>
        <w:t>) or pre-formed.</w:t>
      </w:r>
    </w:p>
    <w:p w14:paraId="2E5987A0"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Pre-stained SDS-PAGE molecular weight markers</w:t>
      </w:r>
    </w:p>
    <w:p w14:paraId="3BB4CB55"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 xml:space="preserve">PVDF membrane </w:t>
      </w:r>
    </w:p>
    <w:p w14:paraId="21E95D4A" w14:textId="77777777" w:rsidR="009D6E32" w:rsidRDefault="00F51E21" w:rsidP="009D6E32">
      <w:pPr>
        <w:pStyle w:val="ListParagraph"/>
        <w:numPr>
          <w:ilvl w:val="0"/>
          <w:numId w:val="5"/>
        </w:numPr>
        <w:ind w:left="357" w:hanging="357"/>
        <w:rPr>
          <w:rFonts w:cs="Arial"/>
          <w:szCs w:val="20"/>
        </w:rPr>
      </w:pPr>
      <w:r w:rsidRPr="00762322">
        <w:rPr>
          <w:rFonts w:cs="Arial"/>
          <w:szCs w:val="20"/>
        </w:rPr>
        <w:t>Anti-</w:t>
      </w:r>
      <w:r w:rsidR="00762322" w:rsidRPr="00762322">
        <w:rPr>
          <w:rFonts w:cs="Arial"/>
          <w:szCs w:val="20"/>
        </w:rPr>
        <w:t>rabbit</w:t>
      </w:r>
      <w:r w:rsidRPr="00762322">
        <w:rPr>
          <w:rFonts w:cs="Arial"/>
          <w:szCs w:val="20"/>
        </w:rPr>
        <w:t xml:space="preserve"> IgG secondary antibody (HRP linked)</w:t>
      </w:r>
    </w:p>
    <w:p w14:paraId="10AC9875" w14:textId="77777777" w:rsidR="009D6E32" w:rsidRPr="009D6E32" w:rsidRDefault="009D6E32" w:rsidP="009D6E32">
      <w:pPr>
        <w:pStyle w:val="ListParagraph"/>
        <w:ind w:left="357" w:firstLine="0"/>
        <w:rPr>
          <w:rFonts w:cs="Arial"/>
          <w:szCs w:val="20"/>
        </w:rPr>
      </w:pPr>
      <w:r w:rsidRPr="009D6E32">
        <w:rPr>
          <w:rFonts w:cs="Arial"/>
          <w:i/>
          <w:szCs w:val="20"/>
        </w:rPr>
        <w:t>e.g.</w:t>
      </w:r>
      <w:r w:rsidRPr="009D6E32">
        <w:rPr>
          <w:rFonts w:cs="Arial"/>
          <w:szCs w:val="20"/>
        </w:rPr>
        <w:t xml:space="preserve"> Goat polyclonal secondary antibody to rabbit IgG-H&amp;L (HRP) (ab97051)</w:t>
      </w:r>
    </w:p>
    <w:p w14:paraId="4861794D" w14:textId="77777777" w:rsidR="00762322" w:rsidRPr="00762322" w:rsidRDefault="00762322" w:rsidP="00F51E21">
      <w:pPr>
        <w:pStyle w:val="ListParagraph"/>
        <w:numPr>
          <w:ilvl w:val="0"/>
          <w:numId w:val="5"/>
        </w:numPr>
        <w:ind w:left="357" w:hanging="357"/>
        <w:rPr>
          <w:rFonts w:cs="Arial"/>
          <w:szCs w:val="20"/>
        </w:rPr>
      </w:pPr>
      <w:r w:rsidRPr="00762322">
        <w:rPr>
          <w:rFonts w:cs="Arial"/>
          <w:szCs w:val="20"/>
        </w:rPr>
        <w:t>(If required) Target protein specific primary antibody (user supplied) and appropriate secondary antibody-HRP conjugate.</w:t>
      </w:r>
    </w:p>
    <w:p w14:paraId="5E774CAC"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 xml:space="preserve">Western blotting detection reagents </w:t>
      </w:r>
    </w:p>
    <w:p w14:paraId="21C54A30"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PBS Solution. 1x PBS.</w:t>
      </w:r>
    </w:p>
    <w:p w14:paraId="28BBD5E7"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t>PB</w:t>
      </w:r>
      <w:r w:rsidR="00762322" w:rsidRPr="00762322">
        <w:rPr>
          <w:rFonts w:cs="Arial"/>
          <w:szCs w:val="20"/>
        </w:rPr>
        <w:t>S-T Solution. PBS containing 0.2% Tween 20</w:t>
      </w:r>
    </w:p>
    <w:p w14:paraId="4909B6D0" w14:textId="77777777" w:rsidR="00F51E21" w:rsidRPr="00762322" w:rsidRDefault="00F51E21" w:rsidP="00F51E21">
      <w:pPr>
        <w:pStyle w:val="ListParagraph"/>
        <w:numPr>
          <w:ilvl w:val="0"/>
          <w:numId w:val="5"/>
        </w:numPr>
        <w:ind w:left="357" w:hanging="357"/>
        <w:rPr>
          <w:rFonts w:cs="Arial"/>
          <w:szCs w:val="20"/>
        </w:rPr>
      </w:pPr>
      <w:r w:rsidRPr="00762322">
        <w:rPr>
          <w:rFonts w:cs="Arial"/>
          <w:szCs w:val="20"/>
        </w:rPr>
        <w:lastRenderedPageBreak/>
        <w:t xml:space="preserve">BSA/PBS-T Blocking Solution. PBS-T containing 1% Bovine Serum Albumin (BSA) </w:t>
      </w:r>
    </w:p>
    <w:p w14:paraId="14B736BC" w14:textId="77777777" w:rsidR="00F51E21" w:rsidRDefault="00F51E21">
      <w:pPr>
        <w:spacing w:before="0" w:line="240" w:lineRule="auto"/>
        <w:jc w:val="left"/>
        <w:rPr>
          <w:rFonts w:eastAsia="Times New Roman"/>
          <w:b/>
          <w:bCs/>
          <w:sz w:val="28"/>
          <w:szCs w:val="28"/>
        </w:rPr>
      </w:pPr>
      <w:bookmarkStart w:id="21" w:name="_Toc315440413"/>
      <w:bookmarkEnd w:id="17"/>
      <w:bookmarkEnd w:id="18"/>
      <w:r>
        <w:br w:type="page"/>
      </w:r>
    </w:p>
    <w:p w14:paraId="53BB96B9" w14:textId="77777777" w:rsidR="00B931F1" w:rsidRDefault="00B931F1" w:rsidP="00AF3A40">
      <w:pPr>
        <w:pStyle w:val="Heading1"/>
        <w:spacing w:before="240"/>
      </w:pPr>
      <w:bookmarkStart w:id="22" w:name="_Toc353458012"/>
      <w:r>
        <w:lastRenderedPageBreak/>
        <w:t>Assay Protocol</w:t>
      </w:r>
      <w:bookmarkEnd w:id="21"/>
      <w:bookmarkEnd w:id="22"/>
    </w:p>
    <w:p w14:paraId="5E921B89" w14:textId="77777777" w:rsidR="00EF0F60" w:rsidRPr="000323AF" w:rsidRDefault="00762322" w:rsidP="00B317E5">
      <w:pPr>
        <w:pStyle w:val="ListParagraph"/>
        <w:numPr>
          <w:ilvl w:val="0"/>
          <w:numId w:val="11"/>
        </w:numPr>
        <w:ind w:left="357" w:hanging="357"/>
        <w:rPr>
          <w:b/>
          <w:szCs w:val="20"/>
        </w:rPr>
      </w:pPr>
      <w:r w:rsidRPr="000323AF">
        <w:rPr>
          <w:b/>
          <w:szCs w:val="20"/>
        </w:rPr>
        <w:t>Auto-</w:t>
      </w:r>
      <w:proofErr w:type="spellStart"/>
      <w:r w:rsidR="000323AF" w:rsidRPr="000323AF">
        <w:rPr>
          <w:rFonts w:cs="Arial"/>
          <w:b/>
          <w:color w:val="000000"/>
          <w:szCs w:val="20"/>
        </w:rPr>
        <w:t>Ubiquitilylation</w:t>
      </w:r>
      <w:proofErr w:type="spellEnd"/>
      <w:r w:rsidR="000323AF" w:rsidRPr="000323AF">
        <w:rPr>
          <w:rFonts w:cs="Arial"/>
          <w:b/>
          <w:color w:val="000000"/>
          <w:szCs w:val="20"/>
        </w:rPr>
        <w:t xml:space="preserve"> </w:t>
      </w:r>
      <w:r w:rsidR="00F87898" w:rsidRPr="000323AF">
        <w:rPr>
          <w:b/>
          <w:szCs w:val="20"/>
        </w:rPr>
        <w:t>Assay</w:t>
      </w:r>
    </w:p>
    <w:p w14:paraId="263738ED" w14:textId="77777777" w:rsidR="000323AF" w:rsidRPr="000323AF" w:rsidRDefault="00F87898" w:rsidP="000323AF">
      <w:pPr>
        <w:rPr>
          <w:rFonts w:cs="Arial"/>
          <w:szCs w:val="20"/>
        </w:rPr>
      </w:pPr>
      <w:r w:rsidRPr="000323AF">
        <w:rPr>
          <w:rFonts w:cs="Arial"/>
          <w:szCs w:val="20"/>
        </w:rPr>
        <w:t xml:space="preserve">The reaction </w:t>
      </w:r>
      <w:r w:rsidR="000323AF" w:rsidRPr="000323AF">
        <w:rPr>
          <w:rFonts w:cs="Arial"/>
          <w:szCs w:val="20"/>
        </w:rPr>
        <w:t>set out in this section describes the running of reactions to assess the auto-</w:t>
      </w:r>
      <w:proofErr w:type="spellStart"/>
      <w:r w:rsidR="000323AF" w:rsidRPr="000323AF">
        <w:rPr>
          <w:rFonts w:cs="Arial"/>
          <w:szCs w:val="20"/>
        </w:rPr>
        <w:t>ubiquitinylation</w:t>
      </w:r>
      <w:proofErr w:type="spellEnd"/>
      <w:r w:rsidR="000323AF" w:rsidRPr="000323AF">
        <w:rPr>
          <w:rFonts w:cs="Arial"/>
          <w:szCs w:val="20"/>
        </w:rPr>
        <w:t xml:space="preserve"> activity of the control </w:t>
      </w:r>
      <w:proofErr w:type="spellStart"/>
      <w:r w:rsidR="000323AF" w:rsidRPr="000323AF">
        <w:rPr>
          <w:rFonts w:cs="Arial"/>
          <w:szCs w:val="20"/>
        </w:rPr>
        <w:t>Ub</w:t>
      </w:r>
      <w:proofErr w:type="spellEnd"/>
      <w:r w:rsidR="000323AF" w:rsidRPr="000323AF">
        <w:rPr>
          <w:rFonts w:cs="Arial"/>
          <w:szCs w:val="20"/>
        </w:rPr>
        <w:t xml:space="preserve"> E3 ligase enzyme provided and user supplied proteins for subsequent analysis by Western blotting.</w:t>
      </w:r>
    </w:p>
    <w:p w14:paraId="2F8FB3FD" w14:textId="77777777" w:rsidR="00F87898" w:rsidRPr="000323AF" w:rsidRDefault="004666E6" w:rsidP="000323AF">
      <w:pPr>
        <w:rPr>
          <w:rFonts w:cs="Arial"/>
          <w:szCs w:val="20"/>
        </w:rPr>
      </w:pPr>
      <w:r>
        <w:rPr>
          <w:rFonts w:cs="Arial"/>
          <w:szCs w:val="20"/>
        </w:rPr>
        <w:t xml:space="preserve">Hdm2 RING domain </w:t>
      </w:r>
      <w:r w:rsidR="000323AF" w:rsidRPr="000323AF">
        <w:rPr>
          <w:rFonts w:cs="Arial"/>
          <w:szCs w:val="20"/>
        </w:rPr>
        <w:t>is provided as a control ubiquitin E3 ligase for use in auto-</w:t>
      </w:r>
      <w:proofErr w:type="spellStart"/>
      <w:r w:rsidR="000323AF" w:rsidRPr="000323AF">
        <w:rPr>
          <w:rFonts w:cs="Arial"/>
          <w:szCs w:val="20"/>
        </w:rPr>
        <w:t>ubiquitinylation</w:t>
      </w:r>
      <w:proofErr w:type="spellEnd"/>
      <w:r w:rsidR="000323AF" w:rsidRPr="000323AF">
        <w:rPr>
          <w:rFonts w:cs="Arial"/>
          <w:szCs w:val="20"/>
        </w:rPr>
        <w:t xml:space="preserve"> assays</w:t>
      </w:r>
      <w:r w:rsidR="00F87898" w:rsidRPr="000323AF">
        <w:rPr>
          <w:rFonts w:cs="Arial"/>
          <w:szCs w:val="20"/>
        </w:rPr>
        <w:t>.</w:t>
      </w:r>
    </w:p>
    <w:p w14:paraId="36F8CD39" w14:textId="77777777" w:rsidR="00F87898" w:rsidRDefault="00F87898" w:rsidP="00907534">
      <w:pPr>
        <w:rPr>
          <w:b/>
        </w:rPr>
      </w:pPr>
      <w:r>
        <w:rPr>
          <w:b/>
        </w:rPr>
        <w:t>Assay Protocol</w:t>
      </w:r>
    </w:p>
    <w:p w14:paraId="01E5D528" w14:textId="77777777" w:rsidR="00F87898" w:rsidRDefault="00F51E21" w:rsidP="00F87898">
      <w:pPr>
        <w:spacing w:before="0"/>
        <w:rPr>
          <w:rFonts w:cs="Arial"/>
          <w:szCs w:val="20"/>
        </w:rPr>
      </w:pPr>
      <w:r w:rsidRPr="000323AF">
        <w:rPr>
          <w:rFonts w:cs="Arial"/>
          <w:szCs w:val="20"/>
        </w:rPr>
        <w:t xml:space="preserve">Note: </w:t>
      </w:r>
      <w:r w:rsidR="000323AF" w:rsidRPr="000323AF">
        <w:rPr>
          <w:rFonts w:cs="Arial"/>
          <w:szCs w:val="20"/>
        </w:rPr>
        <w:t>recommended total reaction volume = 50</w:t>
      </w:r>
      <w:r w:rsidR="00522BB5">
        <w:rPr>
          <w:rFonts w:cs="Arial"/>
          <w:szCs w:val="20"/>
        </w:rPr>
        <w:t> μ</w:t>
      </w:r>
      <w:r w:rsidR="000323AF" w:rsidRPr="000323AF">
        <w:rPr>
          <w:rFonts w:cs="Arial"/>
          <w:szCs w:val="20"/>
        </w:rPr>
        <w:t>L. *Adjust dH</w:t>
      </w:r>
      <w:r w:rsidR="000323AF" w:rsidRPr="00522BB5">
        <w:rPr>
          <w:rFonts w:cs="Arial"/>
          <w:szCs w:val="20"/>
          <w:vertAlign w:val="subscript"/>
        </w:rPr>
        <w:t>2</w:t>
      </w:r>
      <w:r w:rsidR="000323AF" w:rsidRPr="000323AF">
        <w:rPr>
          <w:rFonts w:cs="Arial"/>
          <w:szCs w:val="20"/>
        </w:rPr>
        <w:t xml:space="preserve">O volume in accordance with available </w:t>
      </w:r>
      <w:proofErr w:type="spellStart"/>
      <w:r w:rsidR="000323AF" w:rsidRPr="000323AF">
        <w:rPr>
          <w:rFonts w:cs="Arial"/>
          <w:szCs w:val="20"/>
        </w:rPr>
        <w:t>Ub</w:t>
      </w:r>
      <w:proofErr w:type="spellEnd"/>
      <w:r w:rsidR="000323AF" w:rsidRPr="000323AF">
        <w:rPr>
          <w:rFonts w:cs="Arial"/>
          <w:szCs w:val="20"/>
        </w:rPr>
        <w:t xml:space="preserve"> E3 ligase protein concentration.</w:t>
      </w:r>
      <w:r w:rsidR="008929D4">
        <w:rPr>
          <w:rFonts w:cs="Arial"/>
          <w:szCs w:val="20"/>
        </w:rPr>
        <w:t xml:space="preserve"> **</w:t>
      </w:r>
      <w:r w:rsidR="008929D4" w:rsidRPr="008929D4">
        <w:rPr>
          <w:rFonts w:cs="Arial"/>
          <w:szCs w:val="20"/>
        </w:rPr>
        <w:t>Inorganic pyrophosphatase solution (IPP) is recommended to be included in auto-</w:t>
      </w:r>
      <w:proofErr w:type="spellStart"/>
      <w:r w:rsidR="008929D4" w:rsidRPr="008929D4">
        <w:rPr>
          <w:rFonts w:cs="Arial"/>
          <w:szCs w:val="20"/>
        </w:rPr>
        <w:t>ubiquitinylation</w:t>
      </w:r>
      <w:proofErr w:type="spellEnd"/>
      <w:r w:rsidR="008929D4" w:rsidRPr="008929D4">
        <w:rPr>
          <w:rFonts w:cs="Arial"/>
          <w:szCs w:val="20"/>
        </w:rPr>
        <w:t xml:space="preserve"> reaction but it is not absolutely necessary. Adjust dH2O volume if IPP is not included in reaction.</w:t>
      </w:r>
      <w:r w:rsidR="008929D4">
        <w:rPr>
          <w:rFonts w:cs="Arial"/>
          <w:szCs w:val="20"/>
        </w:rPr>
        <w:t xml:space="preserve"> </w:t>
      </w:r>
      <w:r w:rsidR="000323AF" w:rsidRPr="000323AF">
        <w:rPr>
          <w:rFonts w:cs="Arial"/>
          <w:szCs w:val="20"/>
        </w:rPr>
        <w:t xml:space="preserve"> A final assay concentration of 150-300nM is recommended as a starting point for </w:t>
      </w:r>
      <w:proofErr w:type="spellStart"/>
      <w:r w:rsidR="000323AF" w:rsidRPr="000323AF">
        <w:rPr>
          <w:rFonts w:cs="Arial"/>
          <w:szCs w:val="20"/>
        </w:rPr>
        <w:t>Ub</w:t>
      </w:r>
      <w:proofErr w:type="spellEnd"/>
      <w:r w:rsidR="000323AF" w:rsidRPr="000323AF">
        <w:rPr>
          <w:rFonts w:cs="Arial"/>
          <w:szCs w:val="20"/>
        </w:rPr>
        <w:t xml:space="preserve"> E3 ligase auto-</w:t>
      </w:r>
      <w:proofErr w:type="spellStart"/>
      <w:r w:rsidR="000323AF" w:rsidRPr="000323AF">
        <w:rPr>
          <w:rFonts w:cs="Arial"/>
          <w:szCs w:val="20"/>
        </w:rPr>
        <w:t>ubiquitinylation</w:t>
      </w:r>
      <w:proofErr w:type="spellEnd"/>
      <w:r w:rsidR="000323AF" w:rsidRPr="000323AF">
        <w:rPr>
          <w:rFonts w:cs="Arial"/>
          <w:szCs w:val="20"/>
        </w:rPr>
        <w:t xml:space="preserve"> (e.g. use 2.5</w:t>
      </w:r>
      <w:r w:rsidR="00522BB5">
        <w:rPr>
          <w:rFonts w:cs="Arial"/>
          <w:szCs w:val="20"/>
        </w:rPr>
        <w:t> </w:t>
      </w:r>
      <w:proofErr w:type="spellStart"/>
      <w:r w:rsidR="00522BB5">
        <w:rPr>
          <w:rFonts w:cs="Arial"/>
          <w:szCs w:val="20"/>
        </w:rPr>
        <w:t>μ</w:t>
      </w:r>
      <w:r w:rsidR="000323AF" w:rsidRPr="000323AF">
        <w:rPr>
          <w:rFonts w:cs="Arial"/>
          <w:szCs w:val="20"/>
        </w:rPr>
        <w:t>L</w:t>
      </w:r>
      <w:proofErr w:type="spellEnd"/>
      <w:r w:rsidR="000323AF" w:rsidRPr="000323AF">
        <w:rPr>
          <w:rFonts w:cs="Arial"/>
          <w:szCs w:val="20"/>
        </w:rPr>
        <w:t xml:space="preserve"> of 6</w:t>
      </w:r>
      <w:r w:rsidR="00522BB5">
        <w:rPr>
          <w:rFonts w:cs="Arial"/>
          <w:szCs w:val="20"/>
        </w:rPr>
        <w:t> </w:t>
      </w:r>
      <w:proofErr w:type="spellStart"/>
      <w:r w:rsidR="00522BB5">
        <w:rPr>
          <w:rFonts w:cs="Arial"/>
          <w:szCs w:val="20"/>
        </w:rPr>
        <w:t>μ</w:t>
      </w:r>
      <w:r w:rsidR="000323AF" w:rsidRPr="000323AF">
        <w:rPr>
          <w:rFonts w:cs="Arial"/>
          <w:szCs w:val="20"/>
        </w:rPr>
        <w:t>M</w:t>
      </w:r>
      <w:proofErr w:type="spellEnd"/>
      <w:r w:rsidR="000323AF" w:rsidRPr="000323AF">
        <w:rPr>
          <w:rFonts w:cs="Arial"/>
          <w:szCs w:val="20"/>
        </w:rPr>
        <w:t xml:space="preserve"> </w:t>
      </w:r>
      <w:proofErr w:type="spellStart"/>
      <w:r w:rsidR="000323AF" w:rsidRPr="000323AF">
        <w:rPr>
          <w:rFonts w:cs="Arial"/>
          <w:szCs w:val="20"/>
        </w:rPr>
        <w:t>Ub</w:t>
      </w:r>
      <w:proofErr w:type="spellEnd"/>
      <w:r w:rsidR="000323AF" w:rsidRPr="000323AF">
        <w:rPr>
          <w:rFonts w:cs="Arial"/>
          <w:szCs w:val="20"/>
        </w:rPr>
        <w:t xml:space="preserve"> E3 ligase protein solution)</w:t>
      </w:r>
    </w:p>
    <w:p w14:paraId="692F2403" w14:textId="77777777" w:rsidR="004666E6" w:rsidRPr="00037533" w:rsidRDefault="00B00911" w:rsidP="00037533">
      <w:pPr>
        <w:jc w:val="left"/>
        <w:rPr>
          <w:rFonts w:cs="Arial"/>
          <w:b/>
          <w:szCs w:val="20"/>
        </w:rPr>
      </w:pPr>
      <w:r w:rsidRPr="00EB082B">
        <w:rPr>
          <w:rFonts w:cs="Arial"/>
          <w:szCs w:val="20"/>
        </w:rPr>
        <w:t>Negative control reactions omitting Mg-ATP cofactors demonstrate formation of auto-ubiquitinylated proteins is ATP dependent (required for E1 activation) and hence derived from the ubiquitin cascade</w:t>
      </w:r>
      <w:r>
        <w:rPr>
          <w:rFonts w:cs="Arial"/>
          <w:szCs w:val="20"/>
        </w:rPr>
        <w:t>.</w:t>
      </w:r>
    </w:p>
    <w:tbl>
      <w:tblPr>
        <w:tblStyle w:val="TableGrid"/>
        <w:tblW w:w="6969" w:type="dxa"/>
        <w:jc w:val="center"/>
        <w:tblLook w:val="04A0" w:firstRow="1" w:lastRow="0" w:firstColumn="1" w:lastColumn="0" w:noHBand="0" w:noVBand="1"/>
      </w:tblPr>
      <w:tblGrid>
        <w:gridCol w:w="1904"/>
        <w:gridCol w:w="903"/>
        <w:gridCol w:w="1363"/>
        <w:gridCol w:w="1402"/>
        <w:gridCol w:w="1397"/>
      </w:tblGrid>
      <w:tr w:rsidR="00F51E21" w:rsidRPr="00907534" w14:paraId="611C7CFC" w14:textId="77777777" w:rsidTr="00081C90">
        <w:trPr>
          <w:jc w:val="center"/>
        </w:trPr>
        <w:tc>
          <w:tcPr>
            <w:tcW w:w="1904" w:type="dxa"/>
          </w:tcPr>
          <w:p w14:paraId="5085880B" w14:textId="77777777" w:rsidR="00F51E21" w:rsidRPr="00907534" w:rsidRDefault="00F51E21" w:rsidP="00907534">
            <w:pPr>
              <w:spacing w:before="120" w:line="240" w:lineRule="auto"/>
              <w:jc w:val="center"/>
              <w:rPr>
                <w:rFonts w:cs="Arial"/>
                <w:b/>
                <w:sz w:val="18"/>
                <w:szCs w:val="18"/>
              </w:rPr>
            </w:pPr>
            <w:r w:rsidRPr="00907534">
              <w:rPr>
                <w:rFonts w:cs="Arial"/>
                <w:b/>
                <w:sz w:val="18"/>
                <w:szCs w:val="18"/>
              </w:rPr>
              <w:lastRenderedPageBreak/>
              <w:t>Component</w:t>
            </w:r>
          </w:p>
        </w:tc>
        <w:tc>
          <w:tcPr>
            <w:tcW w:w="903" w:type="dxa"/>
          </w:tcPr>
          <w:p w14:paraId="2DC0EFA1" w14:textId="77777777" w:rsidR="000323AF" w:rsidRPr="00907534" w:rsidRDefault="000323AF" w:rsidP="00907534">
            <w:pPr>
              <w:spacing w:before="120" w:line="240" w:lineRule="auto"/>
              <w:ind w:left="-54"/>
              <w:jc w:val="center"/>
              <w:rPr>
                <w:rFonts w:cs="Arial"/>
                <w:b/>
                <w:sz w:val="18"/>
                <w:szCs w:val="18"/>
              </w:rPr>
            </w:pPr>
            <w:r w:rsidRPr="00907534">
              <w:rPr>
                <w:rFonts w:cs="Arial"/>
                <w:b/>
                <w:sz w:val="18"/>
                <w:szCs w:val="18"/>
              </w:rPr>
              <w:t>Sample</w:t>
            </w:r>
          </w:p>
          <w:p w14:paraId="5DB5C0F6" w14:textId="77777777" w:rsidR="00F51E21" w:rsidRPr="00907534" w:rsidRDefault="000323AF" w:rsidP="00907534">
            <w:pPr>
              <w:spacing w:before="0" w:after="120" w:line="240" w:lineRule="auto"/>
              <w:jc w:val="center"/>
              <w:rPr>
                <w:rFonts w:cs="Arial"/>
                <w:b/>
                <w:sz w:val="18"/>
                <w:szCs w:val="18"/>
              </w:rPr>
            </w:pPr>
            <w:r w:rsidRPr="00907534">
              <w:rPr>
                <w:rFonts w:cs="Arial"/>
                <w:b/>
                <w:sz w:val="18"/>
                <w:szCs w:val="18"/>
              </w:rPr>
              <w:t>E3-Ub</w:t>
            </w:r>
          </w:p>
        </w:tc>
        <w:tc>
          <w:tcPr>
            <w:tcW w:w="1363" w:type="dxa"/>
          </w:tcPr>
          <w:p w14:paraId="20B89687" w14:textId="77777777" w:rsidR="000323AF" w:rsidRPr="00907534" w:rsidRDefault="000323AF" w:rsidP="00907534">
            <w:pPr>
              <w:spacing w:before="120" w:line="240" w:lineRule="auto"/>
              <w:jc w:val="center"/>
              <w:rPr>
                <w:rFonts w:cs="Arial"/>
                <w:b/>
                <w:sz w:val="18"/>
                <w:szCs w:val="18"/>
              </w:rPr>
            </w:pPr>
            <w:r w:rsidRPr="00907534">
              <w:rPr>
                <w:rFonts w:cs="Arial"/>
                <w:b/>
                <w:sz w:val="18"/>
                <w:szCs w:val="18"/>
              </w:rPr>
              <w:t>Sample E3</w:t>
            </w:r>
          </w:p>
          <w:p w14:paraId="647387DE" w14:textId="77777777" w:rsidR="00F51E21" w:rsidRPr="00907534" w:rsidRDefault="000323AF" w:rsidP="00907534">
            <w:pPr>
              <w:spacing w:before="0" w:line="240" w:lineRule="auto"/>
              <w:jc w:val="center"/>
              <w:rPr>
                <w:rFonts w:cs="Arial"/>
                <w:b/>
                <w:sz w:val="18"/>
                <w:szCs w:val="18"/>
              </w:rPr>
            </w:pPr>
            <w:r w:rsidRPr="00907534">
              <w:rPr>
                <w:rFonts w:cs="Arial"/>
                <w:b/>
                <w:sz w:val="18"/>
                <w:szCs w:val="18"/>
              </w:rPr>
              <w:t>(–ve control)</w:t>
            </w:r>
          </w:p>
        </w:tc>
        <w:tc>
          <w:tcPr>
            <w:tcW w:w="1402" w:type="dxa"/>
          </w:tcPr>
          <w:p w14:paraId="3F302CC9" w14:textId="77777777" w:rsidR="000323AF" w:rsidRPr="00907534" w:rsidRDefault="000323AF" w:rsidP="00907534">
            <w:pPr>
              <w:spacing w:before="120" w:line="240" w:lineRule="auto"/>
              <w:ind w:left="48"/>
              <w:jc w:val="center"/>
              <w:rPr>
                <w:rFonts w:cs="Arial"/>
                <w:b/>
                <w:sz w:val="18"/>
                <w:szCs w:val="18"/>
              </w:rPr>
            </w:pPr>
            <w:r w:rsidRPr="00907534">
              <w:rPr>
                <w:rFonts w:cs="Arial"/>
                <w:b/>
                <w:sz w:val="18"/>
                <w:szCs w:val="18"/>
              </w:rPr>
              <w:t>Hdm2-Ub</w:t>
            </w:r>
          </w:p>
          <w:p w14:paraId="3632EC65" w14:textId="77777777" w:rsidR="00F51E21" w:rsidRPr="00907534" w:rsidRDefault="000323AF" w:rsidP="00907534">
            <w:pPr>
              <w:spacing w:before="0" w:line="240" w:lineRule="auto"/>
              <w:jc w:val="center"/>
              <w:rPr>
                <w:rFonts w:cs="Arial"/>
                <w:b/>
                <w:sz w:val="18"/>
                <w:szCs w:val="18"/>
              </w:rPr>
            </w:pPr>
            <w:r w:rsidRPr="00907534">
              <w:rPr>
                <w:rFonts w:cs="Arial"/>
                <w:b/>
                <w:sz w:val="18"/>
                <w:szCs w:val="18"/>
              </w:rPr>
              <w:t>(+ve control)</w:t>
            </w:r>
          </w:p>
        </w:tc>
        <w:tc>
          <w:tcPr>
            <w:tcW w:w="1397" w:type="dxa"/>
          </w:tcPr>
          <w:p w14:paraId="5AA39C35" w14:textId="77777777" w:rsidR="000323AF" w:rsidRPr="00907534" w:rsidRDefault="000323AF" w:rsidP="00907534">
            <w:pPr>
              <w:spacing w:before="120" w:line="240" w:lineRule="auto"/>
              <w:ind w:left="51"/>
              <w:jc w:val="center"/>
              <w:rPr>
                <w:rFonts w:cs="Arial"/>
                <w:b/>
                <w:sz w:val="18"/>
                <w:szCs w:val="18"/>
              </w:rPr>
            </w:pPr>
            <w:r w:rsidRPr="00907534">
              <w:rPr>
                <w:rFonts w:cs="Arial"/>
                <w:b/>
                <w:sz w:val="18"/>
                <w:szCs w:val="18"/>
              </w:rPr>
              <w:t>Hdm2</w:t>
            </w:r>
          </w:p>
          <w:p w14:paraId="51AC7BF6" w14:textId="77777777" w:rsidR="00F51E21" w:rsidRPr="00907534" w:rsidRDefault="000323AF" w:rsidP="00907534">
            <w:pPr>
              <w:spacing w:before="0" w:line="240" w:lineRule="auto"/>
              <w:jc w:val="center"/>
              <w:rPr>
                <w:rFonts w:cs="Arial"/>
                <w:b/>
                <w:sz w:val="18"/>
                <w:szCs w:val="18"/>
              </w:rPr>
            </w:pPr>
            <w:r w:rsidRPr="00907534">
              <w:rPr>
                <w:rFonts w:cs="Arial"/>
                <w:b/>
                <w:sz w:val="18"/>
                <w:szCs w:val="18"/>
              </w:rPr>
              <w:t>(–ve control)</w:t>
            </w:r>
          </w:p>
        </w:tc>
      </w:tr>
      <w:tr w:rsidR="00907534" w:rsidRPr="00907534" w14:paraId="0FE2E048" w14:textId="77777777" w:rsidTr="00081C90">
        <w:trPr>
          <w:jc w:val="center"/>
        </w:trPr>
        <w:tc>
          <w:tcPr>
            <w:tcW w:w="1904" w:type="dxa"/>
          </w:tcPr>
          <w:p w14:paraId="1CF3A99D" w14:textId="77777777" w:rsidR="00907534" w:rsidRPr="00907534" w:rsidRDefault="00907534" w:rsidP="00907534">
            <w:pPr>
              <w:spacing w:before="120" w:line="240" w:lineRule="auto"/>
              <w:jc w:val="center"/>
              <w:rPr>
                <w:rFonts w:cs="Arial"/>
                <w:b/>
                <w:sz w:val="18"/>
                <w:szCs w:val="18"/>
              </w:rPr>
            </w:pPr>
          </w:p>
        </w:tc>
        <w:tc>
          <w:tcPr>
            <w:tcW w:w="5065" w:type="dxa"/>
            <w:gridSpan w:val="4"/>
          </w:tcPr>
          <w:p w14:paraId="4ABEAC40" w14:textId="77777777" w:rsidR="00907534" w:rsidRPr="00907534" w:rsidRDefault="00907534" w:rsidP="00907534">
            <w:pPr>
              <w:spacing w:before="120" w:after="120" w:line="240" w:lineRule="auto"/>
              <w:ind w:left="51"/>
              <w:jc w:val="center"/>
              <w:rPr>
                <w:rFonts w:cs="Arial"/>
                <w:b/>
                <w:sz w:val="18"/>
                <w:szCs w:val="18"/>
              </w:rPr>
            </w:pPr>
            <w:r w:rsidRPr="0037622B">
              <w:rPr>
                <w:b/>
                <w:sz w:val="18"/>
                <w:szCs w:val="18"/>
              </w:rPr>
              <w:t>Volume (</w:t>
            </w:r>
            <w:r w:rsidR="00522BB5">
              <w:rPr>
                <w:b/>
                <w:sz w:val="18"/>
                <w:szCs w:val="18"/>
              </w:rPr>
              <w:t>μ</w:t>
            </w:r>
            <w:r w:rsidRPr="0037622B">
              <w:rPr>
                <w:b/>
                <w:sz w:val="18"/>
                <w:szCs w:val="18"/>
              </w:rPr>
              <w:t>L)</w:t>
            </w:r>
          </w:p>
        </w:tc>
      </w:tr>
      <w:tr w:rsidR="00F51E21" w:rsidRPr="00907534" w14:paraId="63B58514" w14:textId="77777777" w:rsidTr="00081C90">
        <w:trPr>
          <w:jc w:val="center"/>
        </w:trPr>
        <w:tc>
          <w:tcPr>
            <w:tcW w:w="1904" w:type="dxa"/>
            <w:vAlign w:val="center"/>
          </w:tcPr>
          <w:p w14:paraId="0DC2D325" w14:textId="77777777" w:rsidR="00F51E21" w:rsidRPr="00907534" w:rsidRDefault="00F51E21" w:rsidP="00430BBD">
            <w:pPr>
              <w:spacing w:before="120"/>
              <w:jc w:val="left"/>
              <w:rPr>
                <w:rFonts w:cs="Arial"/>
                <w:sz w:val="18"/>
                <w:szCs w:val="18"/>
              </w:rPr>
            </w:pPr>
            <w:r w:rsidRPr="00907534">
              <w:rPr>
                <w:rFonts w:cs="Arial"/>
                <w:sz w:val="18"/>
                <w:szCs w:val="18"/>
              </w:rPr>
              <w:t>dH</w:t>
            </w:r>
            <w:r w:rsidRPr="00907534">
              <w:rPr>
                <w:rFonts w:cs="Arial"/>
                <w:sz w:val="18"/>
                <w:szCs w:val="18"/>
                <w:vertAlign w:val="subscript"/>
              </w:rPr>
              <w:t>2</w:t>
            </w:r>
            <w:r w:rsidRPr="00907534">
              <w:rPr>
                <w:rFonts w:cs="Arial"/>
                <w:sz w:val="18"/>
                <w:szCs w:val="18"/>
              </w:rPr>
              <w:t>O</w:t>
            </w:r>
          </w:p>
        </w:tc>
        <w:tc>
          <w:tcPr>
            <w:tcW w:w="903" w:type="dxa"/>
            <w:vAlign w:val="center"/>
          </w:tcPr>
          <w:p w14:paraId="062AF3A2" w14:textId="77777777" w:rsidR="00F51E21" w:rsidRPr="00907534" w:rsidRDefault="008929D4" w:rsidP="00F51E21">
            <w:pPr>
              <w:spacing w:before="120"/>
              <w:jc w:val="center"/>
              <w:rPr>
                <w:rFonts w:cs="Arial"/>
                <w:sz w:val="18"/>
                <w:szCs w:val="18"/>
              </w:rPr>
            </w:pPr>
            <w:r>
              <w:rPr>
                <w:rFonts w:cs="Arial"/>
                <w:sz w:val="18"/>
                <w:szCs w:val="18"/>
              </w:rPr>
              <w:t>2</w:t>
            </w:r>
            <w:r w:rsidR="00F51E21" w:rsidRPr="00907534">
              <w:rPr>
                <w:rFonts w:cs="Arial"/>
                <w:sz w:val="18"/>
                <w:szCs w:val="18"/>
              </w:rPr>
              <w:t>1.5</w:t>
            </w:r>
            <w:r w:rsidR="000323AF" w:rsidRPr="00907534">
              <w:rPr>
                <w:rFonts w:cs="Arial"/>
                <w:sz w:val="18"/>
                <w:szCs w:val="18"/>
              </w:rPr>
              <w:t>*</w:t>
            </w:r>
          </w:p>
        </w:tc>
        <w:tc>
          <w:tcPr>
            <w:tcW w:w="1363" w:type="dxa"/>
            <w:vAlign w:val="center"/>
          </w:tcPr>
          <w:p w14:paraId="38D14261" w14:textId="77777777" w:rsidR="00F51E21" w:rsidRPr="00907534" w:rsidRDefault="008929D4" w:rsidP="00F51E21">
            <w:pPr>
              <w:spacing w:before="120"/>
              <w:jc w:val="center"/>
              <w:rPr>
                <w:sz w:val="18"/>
                <w:szCs w:val="18"/>
              </w:rPr>
            </w:pPr>
            <w:r>
              <w:rPr>
                <w:sz w:val="18"/>
                <w:szCs w:val="18"/>
              </w:rPr>
              <w:t>2</w:t>
            </w:r>
            <w:r w:rsidR="000323AF" w:rsidRPr="00907534">
              <w:rPr>
                <w:sz w:val="18"/>
                <w:szCs w:val="18"/>
              </w:rPr>
              <w:t>4.0</w:t>
            </w:r>
            <w:r w:rsidR="000323AF" w:rsidRPr="00907534">
              <w:rPr>
                <w:rFonts w:cs="Arial"/>
                <w:sz w:val="18"/>
                <w:szCs w:val="18"/>
              </w:rPr>
              <w:t>*</w:t>
            </w:r>
          </w:p>
        </w:tc>
        <w:tc>
          <w:tcPr>
            <w:tcW w:w="1402" w:type="dxa"/>
            <w:vAlign w:val="center"/>
          </w:tcPr>
          <w:p w14:paraId="4EEC4360" w14:textId="77777777" w:rsidR="00F51E21" w:rsidRPr="00907534" w:rsidRDefault="008929D4" w:rsidP="00F51E21">
            <w:pPr>
              <w:spacing w:before="120"/>
              <w:jc w:val="center"/>
              <w:rPr>
                <w:sz w:val="18"/>
                <w:szCs w:val="18"/>
              </w:rPr>
            </w:pPr>
            <w:r>
              <w:rPr>
                <w:sz w:val="18"/>
                <w:szCs w:val="18"/>
              </w:rPr>
              <w:t>1</w:t>
            </w:r>
            <w:r w:rsidR="000323AF" w:rsidRPr="00907534">
              <w:rPr>
                <w:sz w:val="18"/>
                <w:szCs w:val="18"/>
              </w:rPr>
              <w:t>9.0</w:t>
            </w:r>
          </w:p>
        </w:tc>
        <w:tc>
          <w:tcPr>
            <w:tcW w:w="1397" w:type="dxa"/>
            <w:vAlign w:val="center"/>
          </w:tcPr>
          <w:p w14:paraId="58E1A64C" w14:textId="77777777" w:rsidR="00F51E21" w:rsidRPr="00907534" w:rsidRDefault="008929D4" w:rsidP="00F51E21">
            <w:pPr>
              <w:spacing w:before="120"/>
              <w:jc w:val="center"/>
              <w:rPr>
                <w:sz w:val="18"/>
                <w:szCs w:val="18"/>
              </w:rPr>
            </w:pPr>
            <w:r>
              <w:rPr>
                <w:sz w:val="18"/>
                <w:szCs w:val="18"/>
              </w:rPr>
              <w:t>2</w:t>
            </w:r>
            <w:r w:rsidR="000323AF" w:rsidRPr="00907534">
              <w:rPr>
                <w:sz w:val="18"/>
                <w:szCs w:val="18"/>
              </w:rPr>
              <w:t>1.5</w:t>
            </w:r>
          </w:p>
        </w:tc>
      </w:tr>
      <w:tr w:rsidR="00F51E21" w:rsidRPr="00907534" w14:paraId="22B64959" w14:textId="77777777" w:rsidTr="00081C90">
        <w:trPr>
          <w:jc w:val="center"/>
        </w:trPr>
        <w:tc>
          <w:tcPr>
            <w:tcW w:w="1904" w:type="dxa"/>
            <w:vAlign w:val="center"/>
          </w:tcPr>
          <w:p w14:paraId="45BF3771" w14:textId="77777777" w:rsidR="00F51E21" w:rsidRPr="00907534" w:rsidRDefault="000323AF" w:rsidP="00B00911">
            <w:pPr>
              <w:spacing w:before="120"/>
              <w:jc w:val="left"/>
              <w:rPr>
                <w:rFonts w:cs="Arial"/>
                <w:sz w:val="18"/>
                <w:szCs w:val="18"/>
              </w:rPr>
            </w:pPr>
            <w:r w:rsidRPr="00907534">
              <w:rPr>
                <w:rFonts w:cs="Arial"/>
                <w:sz w:val="18"/>
                <w:szCs w:val="18"/>
              </w:rPr>
              <w:t>10</w:t>
            </w:r>
            <w:r w:rsidR="00B00911" w:rsidRPr="00907534">
              <w:rPr>
                <w:rFonts w:cs="Arial"/>
                <w:sz w:val="18"/>
                <w:szCs w:val="18"/>
              </w:rPr>
              <w:t>X</w:t>
            </w:r>
            <w:r w:rsidRPr="00907534">
              <w:rPr>
                <w:rFonts w:cs="Arial"/>
                <w:sz w:val="18"/>
                <w:szCs w:val="18"/>
              </w:rPr>
              <w:t xml:space="preserve"> </w:t>
            </w:r>
            <w:proofErr w:type="spellStart"/>
            <w:r w:rsidRPr="00907534">
              <w:rPr>
                <w:rFonts w:cs="Arial"/>
                <w:sz w:val="18"/>
                <w:szCs w:val="18"/>
              </w:rPr>
              <w:t>Ub</w:t>
            </w:r>
            <w:proofErr w:type="spellEnd"/>
            <w:r w:rsidRPr="00907534">
              <w:rPr>
                <w:rFonts w:cs="Arial"/>
                <w:sz w:val="18"/>
                <w:szCs w:val="18"/>
              </w:rPr>
              <w:t xml:space="preserve"> E3 ligase buffer</w:t>
            </w:r>
          </w:p>
        </w:tc>
        <w:tc>
          <w:tcPr>
            <w:tcW w:w="903" w:type="dxa"/>
            <w:vAlign w:val="center"/>
          </w:tcPr>
          <w:p w14:paraId="53BEC876" w14:textId="77777777" w:rsidR="00F51E21" w:rsidRPr="00907534" w:rsidRDefault="00F51E21" w:rsidP="00F51E21">
            <w:pPr>
              <w:spacing w:before="120"/>
              <w:jc w:val="center"/>
              <w:rPr>
                <w:sz w:val="18"/>
                <w:szCs w:val="18"/>
              </w:rPr>
            </w:pPr>
            <w:r w:rsidRPr="00907534">
              <w:rPr>
                <w:sz w:val="18"/>
                <w:szCs w:val="18"/>
              </w:rPr>
              <w:t>5</w:t>
            </w:r>
          </w:p>
        </w:tc>
        <w:tc>
          <w:tcPr>
            <w:tcW w:w="1363" w:type="dxa"/>
            <w:vAlign w:val="center"/>
          </w:tcPr>
          <w:p w14:paraId="591D2B9C" w14:textId="77777777" w:rsidR="00F51E21" w:rsidRPr="00907534" w:rsidRDefault="00F51E21" w:rsidP="00F51E21">
            <w:pPr>
              <w:spacing w:before="120"/>
              <w:jc w:val="center"/>
              <w:rPr>
                <w:sz w:val="18"/>
                <w:szCs w:val="18"/>
              </w:rPr>
            </w:pPr>
            <w:r w:rsidRPr="00907534">
              <w:rPr>
                <w:sz w:val="18"/>
                <w:szCs w:val="18"/>
              </w:rPr>
              <w:t>5</w:t>
            </w:r>
          </w:p>
        </w:tc>
        <w:tc>
          <w:tcPr>
            <w:tcW w:w="1402" w:type="dxa"/>
            <w:vAlign w:val="center"/>
          </w:tcPr>
          <w:p w14:paraId="4F1EEA38" w14:textId="77777777" w:rsidR="00F51E21" w:rsidRPr="00907534" w:rsidRDefault="00F51E21" w:rsidP="00F51E21">
            <w:pPr>
              <w:spacing w:before="120"/>
              <w:jc w:val="center"/>
              <w:rPr>
                <w:sz w:val="18"/>
                <w:szCs w:val="18"/>
              </w:rPr>
            </w:pPr>
            <w:r w:rsidRPr="00907534">
              <w:rPr>
                <w:sz w:val="18"/>
                <w:szCs w:val="18"/>
              </w:rPr>
              <w:t>5</w:t>
            </w:r>
          </w:p>
        </w:tc>
        <w:tc>
          <w:tcPr>
            <w:tcW w:w="1397" w:type="dxa"/>
            <w:vAlign w:val="center"/>
          </w:tcPr>
          <w:p w14:paraId="700C4B6B" w14:textId="77777777" w:rsidR="00F51E21" w:rsidRPr="00907534" w:rsidRDefault="00F51E21" w:rsidP="00F51E21">
            <w:pPr>
              <w:spacing w:before="120"/>
              <w:jc w:val="center"/>
              <w:rPr>
                <w:sz w:val="18"/>
                <w:szCs w:val="18"/>
              </w:rPr>
            </w:pPr>
            <w:r w:rsidRPr="00907534">
              <w:rPr>
                <w:sz w:val="18"/>
                <w:szCs w:val="18"/>
              </w:rPr>
              <w:t>5</w:t>
            </w:r>
          </w:p>
        </w:tc>
      </w:tr>
      <w:tr w:rsidR="000323AF" w:rsidRPr="00907534" w14:paraId="6C6F44B9" w14:textId="77777777" w:rsidTr="00081C90">
        <w:trPr>
          <w:jc w:val="center"/>
        </w:trPr>
        <w:tc>
          <w:tcPr>
            <w:tcW w:w="1904" w:type="dxa"/>
          </w:tcPr>
          <w:p w14:paraId="4628B060" w14:textId="77777777" w:rsidR="000323AF" w:rsidRPr="00907534" w:rsidRDefault="00B00911" w:rsidP="00B00911">
            <w:pPr>
              <w:jc w:val="left"/>
              <w:rPr>
                <w:rFonts w:cs="Arial"/>
                <w:sz w:val="18"/>
                <w:szCs w:val="18"/>
              </w:rPr>
            </w:pPr>
            <w:r w:rsidRPr="00907534">
              <w:rPr>
                <w:rFonts w:cs="Arial"/>
                <w:sz w:val="18"/>
                <w:szCs w:val="18"/>
              </w:rPr>
              <w:t>20X Ubiquitin Activating Enzyme Solution (E1)</w:t>
            </w:r>
          </w:p>
        </w:tc>
        <w:tc>
          <w:tcPr>
            <w:tcW w:w="903" w:type="dxa"/>
            <w:vAlign w:val="center"/>
          </w:tcPr>
          <w:p w14:paraId="220332EF" w14:textId="77777777" w:rsidR="000323AF" w:rsidRPr="00907534" w:rsidRDefault="000323AF" w:rsidP="00F51E21">
            <w:pPr>
              <w:spacing w:before="120"/>
              <w:jc w:val="center"/>
              <w:rPr>
                <w:sz w:val="18"/>
                <w:szCs w:val="18"/>
              </w:rPr>
            </w:pPr>
            <w:r w:rsidRPr="00907534">
              <w:rPr>
                <w:sz w:val="18"/>
                <w:szCs w:val="18"/>
              </w:rPr>
              <w:t>2.5</w:t>
            </w:r>
          </w:p>
        </w:tc>
        <w:tc>
          <w:tcPr>
            <w:tcW w:w="1363" w:type="dxa"/>
            <w:vAlign w:val="center"/>
          </w:tcPr>
          <w:p w14:paraId="6FC5CF6A" w14:textId="77777777" w:rsidR="000323AF" w:rsidRPr="00907534" w:rsidRDefault="000323AF" w:rsidP="00F51E21">
            <w:pPr>
              <w:spacing w:before="120"/>
              <w:jc w:val="center"/>
              <w:rPr>
                <w:sz w:val="18"/>
                <w:szCs w:val="18"/>
              </w:rPr>
            </w:pPr>
            <w:r w:rsidRPr="00907534">
              <w:rPr>
                <w:sz w:val="18"/>
                <w:szCs w:val="18"/>
              </w:rPr>
              <w:t>2.5</w:t>
            </w:r>
          </w:p>
        </w:tc>
        <w:tc>
          <w:tcPr>
            <w:tcW w:w="1402" w:type="dxa"/>
            <w:vAlign w:val="center"/>
          </w:tcPr>
          <w:p w14:paraId="12B3187C" w14:textId="77777777" w:rsidR="000323AF" w:rsidRPr="00907534" w:rsidRDefault="000323AF" w:rsidP="00F51E21">
            <w:pPr>
              <w:spacing w:before="120"/>
              <w:jc w:val="center"/>
              <w:rPr>
                <w:sz w:val="18"/>
                <w:szCs w:val="18"/>
              </w:rPr>
            </w:pPr>
            <w:r w:rsidRPr="00907534">
              <w:rPr>
                <w:sz w:val="18"/>
                <w:szCs w:val="18"/>
              </w:rPr>
              <w:t>2.5</w:t>
            </w:r>
          </w:p>
        </w:tc>
        <w:tc>
          <w:tcPr>
            <w:tcW w:w="1397" w:type="dxa"/>
            <w:vAlign w:val="center"/>
          </w:tcPr>
          <w:p w14:paraId="7BBF1400" w14:textId="77777777" w:rsidR="000323AF" w:rsidRPr="00907534" w:rsidRDefault="000323AF" w:rsidP="00F51E21">
            <w:pPr>
              <w:spacing w:before="120"/>
              <w:jc w:val="center"/>
              <w:rPr>
                <w:sz w:val="18"/>
                <w:szCs w:val="18"/>
              </w:rPr>
            </w:pPr>
            <w:r w:rsidRPr="00907534">
              <w:rPr>
                <w:sz w:val="18"/>
                <w:szCs w:val="18"/>
              </w:rPr>
              <w:t>2.5</w:t>
            </w:r>
          </w:p>
        </w:tc>
      </w:tr>
      <w:tr w:rsidR="000323AF" w:rsidRPr="00907534" w14:paraId="7E206F74" w14:textId="77777777" w:rsidTr="00081C90">
        <w:trPr>
          <w:jc w:val="center"/>
        </w:trPr>
        <w:tc>
          <w:tcPr>
            <w:tcW w:w="1904" w:type="dxa"/>
          </w:tcPr>
          <w:p w14:paraId="03AC6FD0" w14:textId="05B8C109" w:rsidR="000323AF" w:rsidRPr="00907534" w:rsidRDefault="00081C90" w:rsidP="00B00911">
            <w:pPr>
              <w:jc w:val="left"/>
              <w:rPr>
                <w:rFonts w:cs="Arial"/>
                <w:sz w:val="18"/>
                <w:szCs w:val="18"/>
              </w:rPr>
            </w:pPr>
            <w:r>
              <w:rPr>
                <w:rFonts w:cs="Arial"/>
                <w:sz w:val="18"/>
                <w:szCs w:val="18"/>
              </w:rPr>
              <w:t xml:space="preserve">20X </w:t>
            </w:r>
            <w:r w:rsidR="00B00911" w:rsidRPr="00907534">
              <w:rPr>
                <w:rFonts w:cs="Arial"/>
                <w:sz w:val="18"/>
                <w:szCs w:val="18"/>
              </w:rPr>
              <w:t>UbcH5a (Human, Recombinant)</w:t>
            </w:r>
          </w:p>
        </w:tc>
        <w:tc>
          <w:tcPr>
            <w:tcW w:w="903" w:type="dxa"/>
            <w:vAlign w:val="center"/>
          </w:tcPr>
          <w:p w14:paraId="094A22C2" w14:textId="77777777" w:rsidR="000323AF" w:rsidRPr="00907534" w:rsidRDefault="000323AF" w:rsidP="00F51E21">
            <w:pPr>
              <w:spacing w:before="120"/>
              <w:jc w:val="center"/>
              <w:rPr>
                <w:sz w:val="18"/>
                <w:szCs w:val="18"/>
              </w:rPr>
            </w:pPr>
            <w:r w:rsidRPr="00907534">
              <w:rPr>
                <w:sz w:val="18"/>
                <w:szCs w:val="18"/>
              </w:rPr>
              <w:t>2.5</w:t>
            </w:r>
          </w:p>
        </w:tc>
        <w:tc>
          <w:tcPr>
            <w:tcW w:w="1363" w:type="dxa"/>
            <w:vAlign w:val="center"/>
          </w:tcPr>
          <w:p w14:paraId="7C2415AF" w14:textId="77777777" w:rsidR="000323AF" w:rsidRPr="00907534" w:rsidRDefault="000323AF" w:rsidP="00F51E21">
            <w:pPr>
              <w:spacing w:before="120"/>
              <w:jc w:val="center"/>
              <w:rPr>
                <w:sz w:val="18"/>
                <w:szCs w:val="18"/>
              </w:rPr>
            </w:pPr>
            <w:r w:rsidRPr="00907534">
              <w:rPr>
                <w:sz w:val="18"/>
                <w:szCs w:val="18"/>
              </w:rPr>
              <w:t>2.5</w:t>
            </w:r>
          </w:p>
        </w:tc>
        <w:tc>
          <w:tcPr>
            <w:tcW w:w="1402" w:type="dxa"/>
            <w:vAlign w:val="center"/>
          </w:tcPr>
          <w:p w14:paraId="0F60D709" w14:textId="77777777" w:rsidR="000323AF" w:rsidRPr="00907534" w:rsidRDefault="000323AF" w:rsidP="00F51E21">
            <w:pPr>
              <w:spacing w:before="120"/>
              <w:jc w:val="center"/>
              <w:rPr>
                <w:sz w:val="18"/>
                <w:szCs w:val="18"/>
              </w:rPr>
            </w:pPr>
            <w:r w:rsidRPr="00907534">
              <w:rPr>
                <w:sz w:val="18"/>
                <w:szCs w:val="18"/>
              </w:rPr>
              <w:t>2.5</w:t>
            </w:r>
          </w:p>
        </w:tc>
        <w:tc>
          <w:tcPr>
            <w:tcW w:w="1397" w:type="dxa"/>
            <w:vAlign w:val="center"/>
          </w:tcPr>
          <w:p w14:paraId="11261C82" w14:textId="77777777" w:rsidR="000323AF" w:rsidRPr="00907534" w:rsidRDefault="000323AF" w:rsidP="00F51E21">
            <w:pPr>
              <w:spacing w:before="120"/>
              <w:jc w:val="center"/>
              <w:rPr>
                <w:sz w:val="18"/>
                <w:szCs w:val="18"/>
              </w:rPr>
            </w:pPr>
            <w:r w:rsidRPr="00907534">
              <w:rPr>
                <w:sz w:val="18"/>
                <w:szCs w:val="18"/>
              </w:rPr>
              <w:t>2.5</w:t>
            </w:r>
          </w:p>
        </w:tc>
      </w:tr>
      <w:tr w:rsidR="000323AF" w:rsidRPr="00907534" w14:paraId="0A46E5FB" w14:textId="77777777" w:rsidTr="00081C90">
        <w:trPr>
          <w:jc w:val="center"/>
        </w:trPr>
        <w:tc>
          <w:tcPr>
            <w:tcW w:w="1904" w:type="dxa"/>
          </w:tcPr>
          <w:p w14:paraId="3D60B93D" w14:textId="77777777" w:rsidR="000323AF" w:rsidRPr="00907534" w:rsidRDefault="000323AF" w:rsidP="00B00911">
            <w:pPr>
              <w:jc w:val="left"/>
              <w:rPr>
                <w:rFonts w:cs="Arial"/>
                <w:sz w:val="18"/>
                <w:szCs w:val="18"/>
              </w:rPr>
            </w:pPr>
            <w:r w:rsidRPr="00907534">
              <w:rPr>
                <w:rFonts w:cs="Arial"/>
                <w:sz w:val="18"/>
                <w:szCs w:val="18"/>
              </w:rPr>
              <w:t>10</w:t>
            </w:r>
            <w:r w:rsidR="00B00911" w:rsidRPr="00907534">
              <w:rPr>
                <w:rFonts w:cs="Arial"/>
                <w:sz w:val="18"/>
                <w:szCs w:val="18"/>
              </w:rPr>
              <w:t>X</w:t>
            </w:r>
            <w:r w:rsidRPr="00907534">
              <w:rPr>
                <w:rFonts w:cs="Arial"/>
                <w:sz w:val="18"/>
                <w:szCs w:val="18"/>
              </w:rPr>
              <w:t xml:space="preserve"> Ubiquitin</w:t>
            </w:r>
          </w:p>
        </w:tc>
        <w:tc>
          <w:tcPr>
            <w:tcW w:w="903" w:type="dxa"/>
            <w:vAlign w:val="center"/>
          </w:tcPr>
          <w:p w14:paraId="42AF3BFE" w14:textId="77777777" w:rsidR="000323AF" w:rsidRPr="00907534" w:rsidRDefault="000323AF" w:rsidP="00F51E21">
            <w:pPr>
              <w:spacing w:before="120"/>
              <w:jc w:val="center"/>
              <w:rPr>
                <w:sz w:val="18"/>
                <w:szCs w:val="18"/>
              </w:rPr>
            </w:pPr>
            <w:r w:rsidRPr="00907534">
              <w:rPr>
                <w:sz w:val="18"/>
                <w:szCs w:val="18"/>
              </w:rPr>
              <w:t>5</w:t>
            </w:r>
          </w:p>
        </w:tc>
        <w:tc>
          <w:tcPr>
            <w:tcW w:w="1363" w:type="dxa"/>
            <w:vAlign w:val="center"/>
          </w:tcPr>
          <w:p w14:paraId="579D4927" w14:textId="77777777" w:rsidR="000323AF" w:rsidRPr="00907534" w:rsidRDefault="000323AF" w:rsidP="00F51E21">
            <w:pPr>
              <w:spacing w:before="120"/>
              <w:jc w:val="center"/>
              <w:rPr>
                <w:sz w:val="18"/>
                <w:szCs w:val="18"/>
              </w:rPr>
            </w:pPr>
            <w:r w:rsidRPr="00907534">
              <w:rPr>
                <w:sz w:val="18"/>
                <w:szCs w:val="18"/>
              </w:rPr>
              <w:t>5</w:t>
            </w:r>
          </w:p>
        </w:tc>
        <w:tc>
          <w:tcPr>
            <w:tcW w:w="1402" w:type="dxa"/>
            <w:vAlign w:val="center"/>
          </w:tcPr>
          <w:p w14:paraId="480C3AC1" w14:textId="77777777" w:rsidR="000323AF" w:rsidRPr="00907534" w:rsidRDefault="000323AF" w:rsidP="00F51E21">
            <w:pPr>
              <w:spacing w:before="120"/>
              <w:jc w:val="center"/>
              <w:rPr>
                <w:sz w:val="18"/>
                <w:szCs w:val="18"/>
              </w:rPr>
            </w:pPr>
            <w:r w:rsidRPr="00907534">
              <w:rPr>
                <w:sz w:val="18"/>
                <w:szCs w:val="18"/>
              </w:rPr>
              <w:t>5</w:t>
            </w:r>
          </w:p>
        </w:tc>
        <w:tc>
          <w:tcPr>
            <w:tcW w:w="1397" w:type="dxa"/>
            <w:vAlign w:val="center"/>
          </w:tcPr>
          <w:p w14:paraId="1836D2EF" w14:textId="77777777" w:rsidR="000323AF" w:rsidRPr="00907534" w:rsidRDefault="000323AF" w:rsidP="00F51E21">
            <w:pPr>
              <w:spacing w:before="120"/>
              <w:jc w:val="center"/>
              <w:rPr>
                <w:sz w:val="18"/>
                <w:szCs w:val="18"/>
              </w:rPr>
            </w:pPr>
            <w:r w:rsidRPr="00907534">
              <w:rPr>
                <w:sz w:val="18"/>
                <w:szCs w:val="18"/>
              </w:rPr>
              <w:t>5</w:t>
            </w:r>
          </w:p>
        </w:tc>
      </w:tr>
      <w:tr w:rsidR="000323AF" w:rsidRPr="00907534" w14:paraId="2BF9EE93" w14:textId="77777777" w:rsidTr="00081C90">
        <w:trPr>
          <w:jc w:val="center"/>
        </w:trPr>
        <w:tc>
          <w:tcPr>
            <w:tcW w:w="1904" w:type="dxa"/>
          </w:tcPr>
          <w:p w14:paraId="5CF188C7" w14:textId="08148E0C" w:rsidR="000323AF" w:rsidRPr="00907534" w:rsidRDefault="00081C90" w:rsidP="00B00911">
            <w:pPr>
              <w:jc w:val="left"/>
              <w:rPr>
                <w:rFonts w:cs="Arial"/>
                <w:color w:val="000000"/>
                <w:sz w:val="18"/>
                <w:szCs w:val="18"/>
              </w:rPr>
            </w:pPr>
            <w:r>
              <w:rPr>
                <w:rFonts w:cs="Arial"/>
                <w:color w:val="000000"/>
                <w:sz w:val="18"/>
                <w:szCs w:val="18"/>
              </w:rPr>
              <w:t xml:space="preserve">20X </w:t>
            </w:r>
            <w:r w:rsidR="00B00911" w:rsidRPr="00907534">
              <w:rPr>
                <w:rFonts w:cs="Arial"/>
                <w:color w:val="000000"/>
                <w:sz w:val="18"/>
                <w:szCs w:val="18"/>
              </w:rPr>
              <w:t>Hdm2 (Human, Recombinant)</w:t>
            </w:r>
          </w:p>
        </w:tc>
        <w:tc>
          <w:tcPr>
            <w:tcW w:w="903" w:type="dxa"/>
            <w:vAlign w:val="center"/>
          </w:tcPr>
          <w:p w14:paraId="391915C8" w14:textId="77777777" w:rsidR="000323AF" w:rsidRPr="00907534" w:rsidRDefault="000323AF" w:rsidP="00F51E21">
            <w:pPr>
              <w:spacing w:before="120"/>
              <w:jc w:val="center"/>
              <w:rPr>
                <w:sz w:val="18"/>
                <w:szCs w:val="18"/>
              </w:rPr>
            </w:pPr>
            <w:r w:rsidRPr="00907534">
              <w:rPr>
                <w:sz w:val="18"/>
                <w:szCs w:val="18"/>
              </w:rPr>
              <w:t>-</w:t>
            </w:r>
          </w:p>
        </w:tc>
        <w:tc>
          <w:tcPr>
            <w:tcW w:w="1363" w:type="dxa"/>
            <w:vAlign w:val="center"/>
          </w:tcPr>
          <w:p w14:paraId="12656B2E" w14:textId="77777777" w:rsidR="000323AF" w:rsidRPr="00907534" w:rsidRDefault="000323AF" w:rsidP="00F51E21">
            <w:pPr>
              <w:spacing w:before="120"/>
              <w:jc w:val="center"/>
              <w:rPr>
                <w:sz w:val="18"/>
                <w:szCs w:val="18"/>
              </w:rPr>
            </w:pPr>
            <w:r w:rsidRPr="00907534">
              <w:rPr>
                <w:sz w:val="18"/>
                <w:szCs w:val="18"/>
              </w:rPr>
              <w:t>-</w:t>
            </w:r>
          </w:p>
        </w:tc>
        <w:tc>
          <w:tcPr>
            <w:tcW w:w="1402" w:type="dxa"/>
            <w:vAlign w:val="center"/>
          </w:tcPr>
          <w:p w14:paraId="57CD8F2A" w14:textId="77777777" w:rsidR="000323AF" w:rsidRPr="00907534" w:rsidRDefault="000323AF" w:rsidP="00F51E21">
            <w:pPr>
              <w:spacing w:before="120"/>
              <w:jc w:val="center"/>
              <w:rPr>
                <w:sz w:val="18"/>
                <w:szCs w:val="18"/>
              </w:rPr>
            </w:pPr>
            <w:r w:rsidRPr="00907534">
              <w:rPr>
                <w:sz w:val="18"/>
                <w:szCs w:val="18"/>
              </w:rPr>
              <w:t>2.5</w:t>
            </w:r>
          </w:p>
        </w:tc>
        <w:tc>
          <w:tcPr>
            <w:tcW w:w="1397" w:type="dxa"/>
            <w:vAlign w:val="center"/>
          </w:tcPr>
          <w:p w14:paraId="03FA14BB" w14:textId="77777777" w:rsidR="000323AF" w:rsidRPr="00907534" w:rsidRDefault="000323AF" w:rsidP="00F51E21">
            <w:pPr>
              <w:spacing w:before="120"/>
              <w:jc w:val="center"/>
              <w:rPr>
                <w:sz w:val="18"/>
                <w:szCs w:val="18"/>
              </w:rPr>
            </w:pPr>
            <w:r w:rsidRPr="00907534">
              <w:rPr>
                <w:sz w:val="18"/>
                <w:szCs w:val="18"/>
              </w:rPr>
              <w:t>2.5</w:t>
            </w:r>
          </w:p>
        </w:tc>
      </w:tr>
      <w:tr w:rsidR="000323AF" w:rsidRPr="00907534" w14:paraId="36A278EB" w14:textId="77777777" w:rsidTr="00081C90">
        <w:trPr>
          <w:jc w:val="center"/>
        </w:trPr>
        <w:tc>
          <w:tcPr>
            <w:tcW w:w="1904" w:type="dxa"/>
          </w:tcPr>
          <w:p w14:paraId="2E42506D" w14:textId="77777777" w:rsidR="000323AF" w:rsidRPr="00907534" w:rsidRDefault="000323AF" w:rsidP="00B00911">
            <w:pPr>
              <w:jc w:val="left"/>
              <w:rPr>
                <w:rFonts w:cs="Arial"/>
                <w:sz w:val="18"/>
                <w:szCs w:val="18"/>
              </w:rPr>
            </w:pPr>
            <w:r w:rsidRPr="00907534">
              <w:rPr>
                <w:rFonts w:cs="Arial"/>
                <w:sz w:val="18"/>
                <w:szCs w:val="18"/>
              </w:rPr>
              <w:t>*Sample E3 protein</w:t>
            </w:r>
          </w:p>
        </w:tc>
        <w:tc>
          <w:tcPr>
            <w:tcW w:w="903" w:type="dxa"/>
            <w:vAlign w:val="center"/>
          </w:tcPr>
          <w:p w14:paraId="411422F7" w14:textId="77777777" w:rsidR="000323AF" w:rsidRPr="00907534" w:rsidRDefault="000323AF" w:rsidP="00F51E21">
            <w:pPr>
              <w:spacing w:before="120"/>
              <w:jc w:val="center"/>
              <w:rPr>
                <w:sz w:val="18"/>
                <w:szCs w:val="18"/>
              </w:rPr>
            </w:pPr>
            <w:r w:rsidRPr="00907534">
              <w:rPr>
                <w:sz w:val="18"/>
                <w:szCs w:val="18"/>
              </w:rPr>
              <w:t>X</w:t>
            </w:r>
          </w:p>
        </w:tc>
        <w:tc>
          <w:tcPr>
            <w:tcW w:w="1363" w:type="dxa"/>
            <w:vAlign w:val="center"/>
          </w:tcPr>
          <w:p w14:paraId="3C8E2E81" w14:textId="77777777" w:rsidR="000323AF" w:rsidRPr="00907534" w:rsidRDefault="000323AF" w:rsidP="00F51E21">
            <w:pPr>
              <w:spacing w:before="120"/>
              <w:jc w:val="center"/>
              <w:rPr>
                <w:sz w:val="18"/>
                <w:szCs w:val="18"/>
              </w:rPr>
            </w:pPr>
            <w:r w:rsidRPr="00907534">
              <w:rPr>
                <w:sz w:val="18"/>
                <w:szCs w:val="18"/>
              </w:rPr>
              <w:t>X</w:t>
            </w:r>
          </w:p>
        </w:tc>
        <w:tc>
          <w:tcPr>
            <w:tcW w:w="1402" w:type="dxa"/>
            <w:vAlign w:val="center"/>
          </w:tcPr>
          <w:p w14:paraId="359ADD5C" w14:textId="77777777" w:rsidR="000323AF" w:rsidRPr="00907534" w:rsidRDefault="000323AF" w:rsidP="00F51E21">
            <w:pPr>
              <w:spacing w:before="120"/>
              <w:jc w:val="center"/>
              <w:rPr>
                <w:sz w:val="18"/>
                <w:szCs w:val="18"/>
              </w:rPr>
            </w:pPr>
            <w:r w:rsidRPr="00907534">
              <w:rPr>
                <w:sz w:val="18"/>
                <w:szCs w:val="18"/>
              </w:rPr>
              <w:t>-</w:t>
            </w:r>
          </w:p>
        </w:tc>
        <w:tc>
          <w:tcPr>
            <w:tcW w:w="1397" w:type="dxa"/>
            <w:vAlign w:val="center"/>
          </w:tcPr>
          <w:p w14:paraId="112AEBBD" w14:textId="77777777" w:rsidR="000323AF" w:rsidRPr="00907534" w:rsidRDefault="000323AF" w:rsidP="00F51E21">
            <w:pPr>
              <w:spacing w:before="120"/>
              <w:jc w:val="center"/>
              <w:rPr>
                <w:sz w:val="18"/>
                <w:szCs w:val="18"/>
              </w:rPr>
            </w:pPr>
            <w:r w:rsidRPr="00907534">
              <w:rPr>
                <w:sz w:val="18"/>
                <w:szCs w:val="18"/>
              </w:rPr>
              <w:t>-</w:t>
            </w:r>
          </w:p>
        </w:tc>
      </w:tr>
      <w:tr w:rsidR="000323AF" w:rsidRPr="00907534" w14:paraId="50708171" w14:textId="77777777" w:rsidTr="00081C90">
        <w:trPr>
          <w:jc w:val="center"/>
        </w:trPr>
        <w:tc>
          <w:tcPr>
            <w:tcW w:w="1904" w:type="dxa"/>
          </w:tcPr>
          <w:p w14:paraId="12059F3F" w14:textId="77777777" w:rsidR="000323AF" w:rsidRPr="00907534" w:rsidRDefault="000323AF" w:rsidP="00B00911">
            <w:pPr>
              <w:jc w:val="left"/>
              <w:rPr>
                <w:rFonts w:cs="Arial"/>
                <w:sz w:val="18"/>
                <w:szCs w:val="18"/>
              </w:rPr>
            </w:pPr>
            <w:r w:rsidRPr="00907534">
              <w:rPr>
                <w:rFonts w:cs="Arial"/>
                <w:sz w:val="18"/>
                <w:szCs w:val="18"/>
              </w:rPr>
              <w:t>50mM DTT</w:t>
            </w:r>
          </w:p>
        </w:tc>
        <w:tc>
          <w:tcPr>
            <w:tcW w:w="903" w:type="dxa"/>
            <w:vAlign w:val="center"/>
          </w:tcPr>
          <w:p w14:paraId="7CBAFF7C" w14:textId="77777777" w:rsidR="000323AF" w:rsidRPr="00907534" w:rsidRDefault="000323AF" w:rsidP="00F51E21">
            <w:pPr>
              <w:spacing w:before="120"/>
              <w:jc w:val="center"/>
              <w:rPr>
                <w:sz w:val="18"/>
                <w:szCs w:val="18"/>
              </w:rPr>
            </w:pPr>
            <w:r w:rsidRPr="00907534">
              <w:rPr>
                <w:sz w:val="18"/>
                <w:szCs w:val="18"/>
              </w:rPr>
              <w:t>1.0</w:t>
            </w:r>
          </w:p>
        </w:tc>
        <w:tc>
          <w:tcPr>
            <w:tcW w:w="1363" w:type="dxa"/>
            <w:vAlign w:val="center"/>
          </w:tcPr>
          <w:p w14:paraId="2CE842D1" w14:textId="77777777" w:rsidR="000323AF" w:rsidRPr="00907534" w:rsidRDefault="000323AF" w:rsidP="00F51E21">
            <w:pPr>
              <w:spacing w:before="120"/>
              <w:jc w:val="center"/>
              <w:rPr>
                <w:sz w:val="18"/>
                <w:szCs w:val="18"/>
              </w:rPr>
            </w:pPr>
            <w:r w:rsidRPr="00907534">
              <w:rPr>
                <w:sz w:val="18"/>
                <w:szCs w:val="18"/>
              </w:rPr>
              <w:t>1.0</w:t>
            </w:r>
          </w:p>
        </w:tc>
        <w:tc>
          <w:tcPr>
            <w:tcW w:w="1402" w:type="dxa"/>
            <w:vAlign w:val="center"/>
          </w:tcPr>
          <w:p w14:paraId="65580EAF" w14:textId="77777777" w:rsidR="000323AF" w:rsidRPr="00907534" w:rsidRDefault="000323AF" w:rsidP="00F51E21">
            <w:pPr>
              <w:spacing w:before="120"/>
              <w:jc w:val="center"/>
              <w:rPr>
                <w:sz w:val="18"/>
                <w:szCs w:val="18"/>
              </w:rPr>
            </w:pPr>
            <w:r w:rsidRPr="00907534">
              <w:rPr>
                <w:sz w:val="18"/>
                <w:szCs w:val="18"/>
              </w:rPr>
              <w:t>1.0</w:t>
            </w:r>
          </w:p>
        </w:tc>
        <w:tc>
          <w:tcPr>
            <w:tcW w:w="1397" w:type="dxa"/>
            <w:vAlign w:val="center"/>
          </w:tcPr>
          <w:p w14:paraId="7E3849B4" w14:textId="77777777" w:rsidR="000323AF" w:rsidRPr="00907534" w:rsidRDefault="000323AF" w:rsidP="00F51E21">
            <w:pPr>
              <w:spacing w:before="120"/>
              <w:jc w:val="center"/>
              <w:rPr>
                <w:sz w:val="18"/>
                <w:szCs w:val="18"/>
              </w:rPr>
            </w:pPr>
            <w:r w:rsidRPr="00907534">
              <w:rPr>
                <w:sz w:val="18"/>
                <w:szCs w:val="18"/>
              </w:rPr>
              <w:t>1.0</w:t>
            </w:r>
          </w:p>
        </w:tc>
      </w:tr>
      <w:tr w:rsidR="000323AF" w:rsidRPr="00907534" w14:paraId="601DADF0" w14:textId="77777777" w:rsidTr="00081C90">
        <w:trPr>
          <w:jc w:val="center"/>
        </w:trPr>
        <w:tc>
          <w:tcPr>
            <w:tcW w:w="1904" w:type="dxa"/>
          </w:tcPr>
          <w:p w14:paraId="07229A0E" w14:textId="77777777" w:rsidR="000323AF" w:rsidRPr="00907534" w:rsidRDefault="00B00911" w:rsidP="00B00911">
            <w:pPr>
              <w:jc w:val="left"/>
              <w:rPr>
                <w:rFonts w:cs="Arial"/>
                <w:sz w:val="18"/>
                <w:szCs w:val="18"/>
              </w:rPr>
            </w:pPr>
            <w:r w:rsidRPr="00907534">
              <w:rPr>
                <w:rFonts w:cs="Arial"/>
                <w:sz w:val="18"/>
                <w:szCs w:val="18"/>
              </w:rPr>
              <w:t xml:space="preserve">20X </w:t>
            </w:r>
            <w:r w:rsidR="000323AF" w:rsidRPr="00907534">
              <w:rPr>
                <w:rFonts w:cs="Arial"/>
                <w:sz w:val="18"/>
                <w:szCs w:val="18"/>
              </w:rPr>
              <w:t>Mg-ATP</w:t>
            </w:r>
          </w:p>
        </w:tc>
        <w:tc>
          <w:tcPr>
            <w:tcW w:w="903" w:type="dxa"/>
            <w:vAlign w:val="center"/>
          </w:tcPr>
          <w:p w14:paraId="557CC1EF" w14:textId="77777777" w:rsidR="000323AF" w:rsidRPr="00907534" w:rsidRDefault="000323AF" w:rsidP="00F51E21">
            <w:pPr>
              <w:spacing w:before="120"/>
              <w:jc w:val="center"/>
              <w:rPr>
                <w:sz w:val="18"/>
                <w:szCs w:val="18"/>
              </w:rPr>
            </w:pPr>
            <w:r w:rsidRPr="00907534">
              <w:rPr>
                <w:sz w:val="18"/>
                <w:szCs w:val="18"/>
              </w:rPr>
              <w:t>2.5</w:t>
            </w:r>
          </w:p>
        </w:tc>
        <w:tc>
          <w:tcPr>
            <w:tcW w:w="1363" w:type="dxa"/>
            <w:vAlign w:val="center"/>
          </w:tcPr>
          <w:p w14:paraId="2E28C62B" w14:textId="77777777" w:rsidR="000323AF" w:rsidRPr="00907534" w:rsidRDefault="000323AF" w:rsidP="00F51E21">
            <w:pPr>
              <w:spacing w:before="120"/>
              <w:jc w:val="center"/>
              <w:rPr>
                <w:sz w:val="18"/>
                <w:szCs w:val="18"/>
              </w:rPr>
            </w:pPr>
            <w:r w:rsidRPr="00907534">
              <w:rPr>
                <w:sz w:val="18"/>
                <w:szCs w:val="18"/>
              </w:rPr>
              <w:t>-</w:t>
            </w:r>
          </w:p>
        </w:tc>
        <w:tc>
          <w:tcPr>
            <w:tcW w:w="1402" w:type="dxa"/>
            <w:vAlign w:val="center"/>
          </w:tcPr>
          <w:p w14:paraId="6D471904" w14:textId="77777777" w:rsidR="000323AF" w:rsidRPr="00907534" w:rsidRDefault="000323AF" w:rsidP="00F51E21">
            <w:pPr>
              <w:spacing w:before="120"/>
              <w:jc w:val="center"/>
              <w:rPr>
                <w:sz w:val="18"/>
                <w:szCs w:val="18"/>
              </w:rPr>
            </w:pPr>
            <w:r w:rsidRPr="00907534">
              <w:rPr>
                <w:sz w:val="18"/>
                <w:szCs w:val="18"/>
              </w:rPr>
              <w:t>2.5</w:t>
            </w:r>
          </w:p>
        </w:tc>
        <w:tc>
          <w:tcPr>
            <w:tcW w:w="1397" w:type="dxa"/>
            <w:vAlign w:val="center"/>
          </w:tcPr>
          <w:p w14:paraId="5B978D89" w14:textId="77777777" w:rsidR="000323AF" w:rsidRPr="00907534" w:rsidRDefault="000323AF" w:rsidP="00F51E21">
            <w:pPr>
              <w:spacing w:before="120"/>
              <w:jc w:val="center"/>
              <w:rPr>
                <w:sz w:val="18"/>
                <w:szCs w:val="18"/>
              </w:rPr>
            </w:pPr>
            <w:r w:rsidRPr="00907534">
              <w:rPr>
                <w:sz w:val="18"/>
                <w:szCs w:val="18"/>
              </w:rPr>
              <w:t>-</w:t>
            </w:r>
          </w:p>
        </w:tc>
      </w:tr>
      <w:tr w:rsidR="00223AE5" w:rsidRPr="00907534" w14:paraId="4D97D99B" w14:textId="77777777" w:rsidTr="00081C90">
        <w:trPr>
          <w:jc w:val="center"/>
        </w:trPr>
        <w:tc>
          <w:tcPr>
            <w:tcW w:w="1904" w:type="dxa"/>
          </w:tcPr>
          <w:p w14:paraId="6DA6C2FA" w14:textId="77777777" w:rsidR="00223AE5" w:rsidRPr="00907534" w:rsidRDefault="00223AE5" w:rsidP="00B00911">
            <w:pPr>
              <w:jc w:val="left"/>
              <w:rPr>
                <w:rFonts w:cs="Arial"/>
                <w:sz w:val="18"/>
                <w:szCs w:val="18"/>
              </w:rPr>
            </w:pPr>
            <w:r>
              <w:rPr>
                <w:rFonts w:cs="Arial"/>
                <w:sz w:val="18"/>
                <w:szCs w:val="18"/>
              </w:rPr>
              <w:t>IPP</w:t>
            </w:r>
            <w:r w:rsidR="008929D4">
              <w:rPr>
                <w:rFonts w:cs="Arial"/>
                <w:sz w:val="18"/>
                <w:szCs w:val="18"/>
              </w:rPr>
              <w:t>**</w:t>
            </w:r>
            <w:r>
              <w:rPr>
                <w:rFonts w:cs="Arial"/>
                <w:sz w:val="18"/>
                <w:szCs w:val="18"/>
              </w:rPr>
              <w:t xml:space="preserve"> (100U/mL)</w:t>
            </w:r>
          </w:p>
        </w:tc>
        <w:tc>
          <w:tcPr>
            <w:tcW w:w="903" w:type="dxa"/>
            <w:vAlign w:val="center"/>
          </w:tcPr>
          <w:p w14:paraId="3192D527" w14:textId="77777777" w:rsidR="00223AE5" w:rsidRPr="00907534" w:rsidRDefault="00223AE5" w:rsidP="00F51E21">
            <w:pPr>
              <w:spacing w:before="120"/>
              <w:jc w:val="center"/>
              <w:rPr>
                <w:sz w:val="18"/>
                <w:szCs w:val="18"/>
              </w:rPr>
            </w:pPr>
            <w:r>
              <w:rPr>
                <w:sz w:val="18"/>
                <w:szCs w:val="18"/>
              </w:rPr>
              <w:t>10</w:t>
            </w:r>
          </w:p>
        </w:tc>
        <w:tc>
          <w:tcPr>
            <w:tcW w:w="1363" w:type="dxa"/>
            <w:vAlign w:val="center"/>
          </w:tcPr>
          <w:p w14:paraId="6907F509" w14:textId="77777777" w:rsidR="00223AE5" w:rsidRPr="00907534" w:rsidRDefault="00223AE5" w:rsidP="00F51E21">
            <w:pPr>
              <w:spacing w:before="120"/>
              <w:jc w:val="center"/>
              <w:rPr>
                <w:sz w:val="18"/>
                <w:szCs w:val="18"/>
              </w:rPr>
            </w:pPr>
            <w:r>
              <w:rPr>
                <w:sz w:val="18"/>
                <w:szCs w:val="18"/>
              </w:rPr>
              <w:t>10</w:t>
            </w:r>
          </w:p>
        </w:tc>
        <w:tc>
          <w:tcPr>
            <w:tcW w:w="1402" w:type="dxa"/>
            <w:vAlign w:val="center"/>
          </w:tcPr>
          <w:p w14:paraId="71503920" w14:textId="77777777" w:rsidR="00223AE5" w:rsidRPr="00907534" w:rsidRDefault="00223AE5" w:rsidP="00F51E21">
            <w:pPr>
              <w:spacing w:before="120"/>
              <w:jc w:val="center"/>
              <w:rPr>
                <w:sz w:val="18"/>
                <w:szCs w:val="18"/>
              </w:rPr>
            </w:pPr>
            <w:r>
              <w:rPr>
                <w:sz w:val="18"/>
                <w:szCs w:val="18"/>
              </w:rPr>
              <w:t>10</w:t>
            </w:r>
          </w:p>
        </w:tc>
        <w:tc>
          <w:tcPr>
            <w:tcW w:w="1397" w:type="dxa"/>
            <w:vAlign w:val="center"/>
          </w:tcPr>
          <w:p w14:paraId="2DAC7F2E" w14:textId="77777777" w:rsidR="00223AE5" w:rsidRPr="00907534" w:rsidRDefault="00223AE5" w:rsidP="00F51E21">
            <w:pPr>
              <w:spacing w:before="120"/>
              <w:jc w:val="center"/>
              <w:rPr>
                <w:sz w:val="18"/>
                <w:szCs w:val="18"/>
              </w:rPr>
            </w:pPr>
            <w:r>
              <w:rPr>
                <w:sz w:val="18"/>
                <w:szCs w:val="18"/>
              </w:rPr>
              <w:t>10</w:t>
            </w:r>
          </w:p>
        </w:tc>
      </w:tr>
    </w:tbl>
    <w:p w14:paraId="5583FD9A" w14:textId="77777777" w:rsidR="00907534" w:rsidRDefault="00907534">
      <w:pPr>
        <w:spacing w:before="0" w:line="240" w:lineRule="auto"/>
        <w:jc w:val="left"/>
        <w:rPr>
          <w:b/>
        </w:rPr>
      </w:pPr>
      <w:r>
        <w:rPr>
          <w:b/>
        </w:rPr>
        <w:br w:type="page"/>
      </w:r>
    </w:p>
    <w:p w14:paraId="43A4E52C" w14:textId="77777777" w:rsidR="00F51E21" w:rsidRDefault="00F51E21" w:rsidP="00F51E21">
      <w:r w:rsidRPr="00F51E21">
        <w:rPr>
          <w:b/>
        </w:rPr>
        <w:lastRenderedPageBreak/>
        <w:t>Set-up assays/controls required (keep all enzymes on ice</w:t>
      </w:r>
      <w:r>
        <w:rPr>
          <w:b/>
        </w:rPr>
        <w:t xml:space="preserve"> </w:t>
      </w:r>
      <w:r w:rsidRPr="00F51E21">
        <w:rPr>
          <w:b/>
        </w:rPr>
        <w:t>throughout)</w:t>
      </w:r>
    </w:p>
    <w:p w14:paraId="27F895DD" w14:textId="77777777" w:rsidR="00F51E21" w:rsidRDefault="00F51E21" w:rsidP="00F51E21">
      <w:pPr>
        <w:pStyle w:val="ListParagraph"/>
        <w:numPr>
          <w:ilvl w:val="1"/>
          <w:numId w:val="23"/>
        </w:numPr>
        <w:spacing w:before="0"/>
        <w:ind w:left="357" w:hanging="357"/>
      </w:pPr>
      <w:r>
        <w:t>Add assay components to 0.5</w:t>
      </w:r>
      <w:r w:rsidR="00522BB5">
        <w:t xml:space="preserve"> </w:t>
      </w:r>
      <w:r>
        <w:t>mL Eppendorf tube(s) in order shown above.</w:t>
      </w:r>
    </w:p>
    <w:p w14:paraId="069A00B4" w14:textId="77777777" w:rsidR="00F51E21" w:rsidRDefault="00F51E21" w:rsidP="00F51E21">
      <w:pPr>
        <w:pStyle w:val="ListParagraph"/>
        <w:numPr>
          <w:ilvl w:val="1"/>
          <w:numId w:val="23"/>
        </w:numPr>
        <w:ind w:left="357" w:hanging="357"/>
      </w:pPr>
      <w:r>
        <w:t>Mix tube contents gently.</w:t>
      </w:r>
    </w:p>
    <w:p w14:paraId="5D199C75" w14:textId="77777777" w:rsidR="00F51E21" w:rsidRDefault="00EB082B" w:rsidP="00F51E21">
      <w:pPr>
        <w:pStyle w:val="ListParagraph"/>
        <w:numPr>
          <w:ilvl w:val="1"/>
          <w:numId w:val="23"/>
        </w:numPr>
        <w:ind w:left="357" w:hanging="357"/>
      </w:pPr>
      <w:r>
        <w:t>Incubate at 37ºC for 1 hour</w:t>
      </w:r>
      <w:r w:rsidR="00F51E21">
        <w:t>.</w:t>
      </w:r>
    </w:p>
    <w:p w14:paraId="3A940EA5" w14:textId="77777777" w:rsidR="00522BB5" w:rsidRDefault="00F51E21" w:rsidP="00522BB5">
      <w:pPr>
        <w:pStyle w:val="ListParagraph"/>
        <w:numPr>
          <w:ilvl w:val="1"/>
          <w:numId w:val="23"/>
        </w:numPr>
        <w:spacing w:before="0"/>
        <w:ind w:left="357" w:hanging="357"/>
        <w:rPr>
          <w:rFonts w:cs="Arial"/>
          <w:szCs w:val="20"/>
        </w:rPr>
      </w:pPr>
      <w:r>
        <w:t xml:space="preserve">Quench </w:t>
      </w:r>
      <w:r w:rsidRPr="00EB082B">
        <w:rPr>
          <w:rFonts w:cs="Arial"/>
          <w:szCs w:val="20"/>
        </w:rPr>
        <w:t xml:space="preserve">assays by </w:t>
      </w:r>
      <w:r w:rsidR="00EB082B" w:rsidRPr="00EB082B">
        <w:rPr>
          <w:rFonts w:cs="Arial"/>
          <w:szCs w:val="20"/>
        </w:rPr>
        <w:t>addition of 50</w:t>
      </w:r>
      <w:r w:rsidR="00522BB5">
        <w:rPr>
          <w:rFonts w:cs="Arial"/>
          <w:szCs w:val="20"/>
        </w:rPr>
        <w:t> μ</w:t>
      </w:r>
      <w:r w:rsidR="00EB082B" w:rsidRPr="00EB082B">
        <w:rPr>
          <w:rFonts w:cs="Arial"/>
          <w:szCs w:val="20"/>
        </w:rPr>
        <w:t>L 2x SDS-PAGE gel loading buffer followed by heating to 95ºC for 5 minutes.</w:t>
      </w:r>
    </w:p>
    <w:p w14:paraId="5D02971F" w14:textId="77777777" w:rsidR="00F51E21" w:rsidRPr="00EB082B" w:rsidRDefault="00EB082B" w:rsidP="00522BB5">
      <w:pPr>
        <w:pStyle w:val="ListParagraph"/>
        <w:ind w:left="357" w:firstLine="0"/>
        <w:contextualSpacing w:val="0"/>
        <w:rPr>
          <w:rFonts w:cs="Arial"/>
          <w:szCs w:val="20"/>
        </w:rPr>
      </w:pPr>
      <w:r w:rsidRPr="00EB082B">
        <w:rPr>
          <w:rFonts w:cs="Arial"/>
          <w:b/>
          <w:szCs w:val="20"/>
        </w:rPr>
        <w:t>Note</w:t>
      </w:r>
      <w:r w:rsidRPr="00EB082B">
        <w:rPr>
          <w:rFonts w:cs="Arial"/>
          <w:szCs w:val="20"/>
        </w:rPr>
        <w:t xml:space="preserve">: This step removes all </w:t>
      </w:r>
      <w:proofErr w:type="spellStart"/>
      <w:r w:rsidRPr="00EB082B">
        <w:rPr>
          <w:rFonts w:cs="Arial"/>
          <w:szCs w:val="20"/>
        </w:rPr>
        <w:t>Ub</w:t>
      </w:r>
      <w:proofErr w:type="spellEnd"/>
      <w:r w:rsidRPr="00EB082B">
        <w:rPr>
          <w:rFonts w:cs="Arial"/>
          <w:szCs w:val="20"/>
        </w:rPr>
        <w:t xml:space="preserve"> thioester linked species (Ub-E1/Ub-E2) so only </w:t>
      </w:r>
      <w:proofErr w:type="spellStart"/>
      <w:r w:rsidRPr="00EB082B">
        <w:rPr>
          <w:rFonts w:cs="Arial"/>
          <w:szCs w:val="20"/>
        </w:rPr>
        <w:t>isopeptide</w:t>
      </w:r>
      <w:proofErr w:type="spellEnd"/>
      <w:r w:rsidRPr="00EB082B">
        <w:rPr>
          <w:rFonts w:cs="Arial"/>
          <w:szCs w:val="20"/>
        </w:rPr>
        <w:t xml:space="preserve"> linked Ub-E3 species are detected using ubiquitin antibody/Western blotting</w:t>
      </w:r>
      <w:r w:rsidR="00F51E21" w:rsidRPr="00EB082B">
        <w:rPr>
          <w:rFonts w:cs="Arial"/>
          <w:szCs w:val="20"/>
        </w:rPr>
        <w:t>.</w:t>
      </w:r>
    </w:p>
    <w:p w14:paraId="476C6F88" w14:textId="77777777" w:rsidR="00F51E21" w:rsidRDefault="00F51E21" w:rsidP="00522BB5">
      <w:pPr>
        <w:pStyle w:val="ListParagraph"/>
        <w:numPr>
          <w:ilvl w:val="1"/>
          <w:numId w:val="23"/>
        </w:numPr>
        <w:ind w:left="357" w:hanging="357"/>
        <w:contextualSpacing w:val="0"/>
      </w:pPr>
      <w:r>
        <w:t>Proceed directly to “Western Blot</w:t>
      </w:r>
      <w:r w:rsidRPr="00F51E21">
        <w:t xml:space="preserve"> </w:t>
      </w:r>
      <w:r>
        <w:t>Analysis” or store at -20ºC until ready.</w:t>
      </w:r>
    </w:p>
    <w:p w14:paraId="25FF8422" w14:textId="77777777" w:rsidR="00907534" w:rsidRDefault="00907534">
      <w:pPr>
        <w:spacing w:before="0" w:line="240" w:lineRule="auto"/>
        <w:jc w:val="left"/>
        <w:rPr>
          <w:rFonts w:eastAsiaTheme="minorHAnsi" w:cstheme="minorBidi"/>
          <w:b/>
        </w:rPr>
      </w:pPr>
      <w:r>
        <w:rPr>
          <w:b/>
        </w:rPr>
        <w:br w:type="page"/>
      </w:r>
    </w:p>
    <w:p w14:paraId="567CCA04" w14:textId="77777777" w:rsidR="00F51E21" w:rsidRDefault="00F51E21" w:rsidP="00F51E21">
      <w:pPr>
        <w:pStyle w:val="ListParagraph"/>
        <w:numPr>
          <w:ilvl w:val="0"/>
          <w:numId w:val="11"/>
        </w:numPr>
        <w:ind w:left="357" w:hanging="357"/>
        <w:contextualSpacing w:val="0"/>
        <w:rPr>
          <w:b/>
        </w:rPr>
      </w:pPr>
      <w:r>
        <w:rPr>
          <w:b/>
        </w:rPr>
        <w:lastRenderedPageBreak/>
        <w:t>Western Blot Analysis</w:t>
      </w:r>
    </w:p>
    <w:p w14:paraId="0C5EE81A" w14:textId="77777777" w:rsidR="00F51E21" w:rsidRPr="00F51E21" w:rsidRDefault="00F51E21" w:rsidP="00F51E21">
      <w:pPr>
        <w:pStyle w:val="ListParagraph"/>
        <w:ind w:left="351" w:hanging="357"/>
        <w:contextualSpacing w:val="0"/>
        <w:rPr>
          <w:b/>
        </w:rPr>
      </w:pPr>
      <w:r w:rsidRPr="00F51E21">
        <w:rPr>
          <w:b/>
        </w:rPr>
        <w:t>Summary of analysis steps</w:t>
      </w:r>
    </w:p>
    <w:p w14:paraId="2FFAEF75" w14:textId="77777777" w:rsidR="00F51E21" w:rsidRPr="00EB082B" w:rsidRDefault="00F51E21" w:rsidP="00EB082B">
      <w:pPr>
        <w:pStyle w:val="ListParagraph"/>
        <w:numPr>
          <w:ilvl w:val="0"/>
          <w:numId w:val="25"/>
        </w:numPr>
        <w:ind w:left="357" w:hanging="357"/>
        <w:rPr>
          <w:rFonts w:cs="Arial"/>
          <w:szCs w:val="20"/>
        </w:rPr>
      </w:pPr>
      <w:r w:rsidRPr="00EB082B">
        <w:rPr>
          <w:rFonts w:cs="Arial"/>
          <w:szCs w:val="20"/>
        </w:rPr>
        <w:t>Separate proteins by SDS-PAGE.</w:t>
      </w:r>
    </w:p>
    <w:p w14:paraId="48C13651" w14:textId="77777777" w:rsidR="00F51E21" w:rsidRPr="00EB082B" w:rsidRDefault="00F51E21" w:rsidP="00EB082B">
      <w:pPr>
        <w:pStyle w:val="ListParagraph"/>
        <w:numPr>
          <w:ilvl w:val="0"/>
          <w:numId w:val="25"/>
        </w:numPr>
        <w:ind w:left="357" w:hanging="357"/>
        <w:rPr>
          <w:rFonts w:cs="Arial"/>
          <w:szCs w:val="20"/>
        </w:rPr>
      </w:pPr>
      <w:r w:rsidRPr="00EB082B">
        <w:rPr>
          <w:rFonts w:cs="Arial"/>
          <w:szCs w:val="20"/>
        </w:rPr>
        <w:t>Western Transfer to nitrocellulose/PVDF membrane.</w:t>
      </w:r>
    </w:p>
    <w:p w14:paraId="374DA0F6" w14:textId="77777777" w:rsidR="00EB082B" w:rsidRPr="00EB082B" w:rsidRDefault="00EB082B" w:rsidP="00EB082B">
      <w:pPr>
        <w:pStyle w:val="ListParagraph"/>
        <w:ind w:left="357" w:firstLine="0"/>
        <w:contextualSpacing w:val="0"/>
        <w:rPr>
          <w:rFonts w:cs="Arial"/>
          <w:szCs w:val="20"/>
        </w:rPr>
      </w:pPr>
      <w:r w:rsidRPr="00EB082B">
        <w:rPr>
          <w:rFonts w:cs="Arial"/>
          <w:b/>
          <w:szCs w:val="20"/>
        </w:rPr>
        <w:t>Note</w:t>
      </w:r>
      <w:r w:rsidRPr="00EB082B">
        <w:rPr>
          <w:rFonts w:cs="Arial"/>
          <w:szCs w:val="20"/>
        </w:rPr>
        <w:t>: Western blotting conditions appropriate for the transfer of large proteins may be required to ensure good transfer of Ubiquitinylated-E3 protein to PVDF membrane.</w:t>
      </w:r>
      <w:r w:rsidR="00522BB5">
        <w:rPr>
          <w:rFonts w:cs="Arial"/>
          <w:szCs w:val="20"/>
        </w:rPr>
        <w:t> </w:t>
      </w:r>
      <w:r w:rsidRPr="00EB082B">
        <w:rPr>
          <w:rFonts w:cs="Arial"/>
          <w:szCs w:val="20"/>
        </w:rPr>
        <w:t>For example, use BSN transfer buffer 48</w:t>
      </w:r>
      <w:r w:rsidR="000207B9">
        <w:rPr>
          <w:rFonts w:cs="Arial"/>
          <w:szCs w:val="20"/>
        </w:rPr>
        <w:t xml:space="preserve"> </w:t>
      </w:r>
      <w:r w:rsidRPr="00EB082B">
        <w:rPr>
          <w:rFonts w:cs="Arial"/>
          <w:szCs w:val="20"/>
        </w:rPr>
        <w:t>mM Tris, pH</w:t>
      </w:r>
      <w:r w:rsidR="000207B9">
        <w:rPr>
          <w:rFonts w:cs="Arial"/>
          <w:szCs w:val="20"/>
        </w:rPr>
        <w:t xml:space="preserve"> </w:t>
      </w:r>
      <w:r w:rsidRPr="00EB082B">
        <w:rPr>
          <w:rFonts w:cs="Arial"/>
          <w:szCs w:val="20"/>
        </w:rPr>
        <w:t>9.2, 39</w:t>
      </w:r>
      <w:r w:rsidR="000207B9">
        <w:rPr>
          <w:rFonts w:cs="Arial"/>
          <w:szCs w:val="20"/>
        </w:rPr>
        <w:t xml:space="preserve"> </w:t>
      </w:r>
      <w:r w:rsidRPr="00EB082B">
        <w:rPr>
          <w:rFonts w:cs="Arial"/>
          <w:szCs w:val="20"/>
        </w:rPr>
        <w:t>mM glycine with 10% MeOH and 0.0375% SDS</w:t>
      </w:r>
      <w:r>
        <w:rPr>
          <w:rFonts w:cs="Arial"/>
          <w:szCs w:val="20"/>
        </w:rPr>
        <w:t>.</w:t>
      </w:r>
    </w:p>
    <w:p w14:paraId="3824C78C" w14:textId="77777777" w:rsidR="00F51E21" w:rsidRDefault="00F51E21" w:rsidP="00522BB5">
      <w:pPr>
        <w:pStyle w:val="ListParagraph"/>
        <w:numPr>
          <w:ilvl w:val="0"/>
          <w:numId w:val="25"/>
        </w:numPr>
        <w:ind w:left="357" w:hanging="357"/>
        <w:contextualSpacing w:val="0"/>
        <w:rPr>
          <w:rFonts w:cs="Arial"/>
          <w:szCs w:val="20"/>
        </w:rPr>
      </w:pPr>
      <w:r w:rsidRPr="00EB082B">
        <w:rPr>
          <w:rFonts w:cs="Arial"/>
          <w:szCs w:val="20"/>
        </w:rPr>
        <w:t>Block membrane with BSA/TBS-T solution.</w:t>
      </w:r>
    </w:p>
    <w:p w14:paraId="760818F4" w14:textId="77777777" w:rsidR="00EB082B" w:rsidRPr="00EB082B" w:rsidRDefault="00F51E21" w:rsidP="00EB082B">
      <w:pPr>
        <w:pStyle w:val="ListParagraph"/>
        <w:numPr>
          <w:ilvl w:val="0"/>
          <w:numId w:val="25"/>
        </w:numPr>
        <w:ind w:left="357" w:hanging="357"/>
        <w:rPr>
          <w:rFonts w:cs="Arial"/>
          <w:szCs w:val="20"/>
        </w:rPr>
      </w:pPr>
      <w:r w:rsidRPr="00EB082B">
        <w:rPr>
          <w:rFonts w:cs="Arial"/>
          <w:szCs w:val="20"/>
        </w:rPr>
        <w:t xml:space="preserve">Probe with </w:t>
      </w:r>
      <w:r w:rsidR="00EB082B" w:rsidRPr="00EB082B">
        <w:rPr>
          <w:rFonts w:cs="Arial"/>
          <w:szCs w:val="20"/>
        </w:rPr>
        <w:t>either:</w:t>
      </w:r>
    </w:p>
    <w:p w14:paraId="2FB23357" w14:textId="77777777" w:rsidR="00EB082B" w:rsidRPr="00EB082B" w:rsidRDefault="000207B9" w:rsidP="00EB082B">
      <w:pPr>
        <w:pStyle w:val="ListParagraph"/>
        <w:numPr>
          <w:ilvl w:val="1"/>
          <w:numId w:val="29"/>
        </w:numPr>
        <w:spacing w:before="0" w:after="60"/>
        <w:jc w:val="left"/>
        <w:rPr>
          <w:rFonts w:cs="Arial"/>
          <w:szCs w:val="20"/>
        </w:rPr>
      </w:pPr>
      <w:r w:rsidRPr="000207B9">
        <w:rPr>
          <w:rFonts w:cs="Arial"/>
          <w:szCs w:val="20"/>
        </w:rPr>
        <w:t>Ubiquitin Antibody Solution (pAb)</w:t>
      </w:r>
      <w:r>
        <w:rPr>
          <w:rFonts w:cs="Arial"/>
          <w:szCs w:val="20"/>
        </w:rPr>
        <w:t xml:space="preserve"> </w:t>
      </w:r>
      <w:r w:rsidR="00EB082B" w:rsidRPr="00EB082B">
        <w:rPr>
          <w:rFonts w:cs="Arial"/>
          <w:szCs w:val="20"/>
        </w:rPr>
        <w:t xml:space="preserve">supplied or </w:t>
      </w:r>
    </w:p>
    <w:p w14:paraId="62685D41" w14:textId="77777777" w:rsidR="00EB082B" w:rsidRPr="00EB082B" w:rsidRDefault="00EB082B" w:rsidP="00EB082B">
      <w:pPr>
        <w:pStyle w:val="ListParagraph"/>
        <w:numPr>
          <w:ilvl w:val="1"/>
          <w:numId w:val="29"/>
        </w:numPr>
        <w:spacing w:before="0" w:after="60"/>
        <w:jc w:val="left"/>
        <w:rPr>
          <w:rFonts w:cs="Arial"/>
          <w:szCs w:val="20"/>
        </w:rPr>
      </w:pPr>
      <w:r w:rsidRPr="00EB082B">
        <w:rPr>
          <w:rFonts w:cs="Arial"/>
          <w:szCs w:val="20"/>
        </w:rPr>
        <w:t xml:space="preserve">appropriate target protein specific primary antibody in conjunction with suitable secondary antibodies </w:t>
      </w:r>
    </w:p>
    <w:p w14:paraId="58CE7FD9" w14:textId="77777777" w:rsidR="00F51E21" w:rsidRPr="00EB082B" w:rsidRDefault="00F51E21" w:rsidP="00EB082B">
      <w:pPr>
        <w:pStyle w:val="ListParagraph"/>
        <w:numPr>
          <w:ilvl w:val="0"/>
          <w:numId w:val="25"/>
        </w:numPr>
        <w:spacing w:before="0" w:after="60"/>
        <w:ind w:left="357" w:hanging="357"/>
        <w:jc w:val="left"/>
        <w:rPr>
          <w:rFonts w:cs="Arial"/>
          <w:szCs w:val="20"/>
        </w:rPr>
      </w:pPr>
      <w:r w:rsidRPr="00EB082B">
        <w:rPr>
          <w:rFonts w:cs="Arial"/>
          <w:szCs w:val="20"/>
        </w:rPr>
        <w:t>Develop with western blotting detection reagents.</w:t>
      </w:r>
    </w:p>
    <w:p w14:paraId="050B7DA1" w14:textId="77777777" w:rsidR="00EB082B" w:rsidRPr="00EB082B" w:rsidRDefault="00EB082B" w:rsidP="00522BB5">
      <w:pPr>
        <w:pStyle w:val="ListParagraph"/>
        <w:ind w:left="357" w:firstLine="0"/>
        <w:contextualSpacing w:val="0"/>
        <w:jc w:val="left"/>
        <w:rPr>
          <w:rFonts w:cs="Arial"/>
          <w:szCs w:val="20"/>
        </w:rPr>
      </w:pPr>
      <w:r w:rsidRPr="00EB082B">
        <w:rPr>
          <w:rFonts w:cs="Arial"/>
          <w:b/>
          <w:szCs w:val="20"/>
        </w:rPr>
        <w:t>Note</w:t>
      </w:r>
      <w:r w:rsidRPr="00EB082B">
        <w:rPr>
          <w:rFonts w:cs="Arial"/>
          <w:szCs w:val="20"/>
        </w:rPr>
        <w:t>: Do NOT use milk in blocking/antibody binding solutions. Please use 1% BSA in PBS or TBS Tween instead.</w:t>
      </w:r>
    </w:p>
    <w:p w14:paraId="24DF3C24" w14:textId="77777777" w:rsidR="00440FED" w:rsidRPr="00440FED" w:rsidRDefault="00440FED" w:rsidP="00430BBD">
      <w:pPr>
        <w:spacing w:before="0" w:line="240" w:lineRule="auto"/>
        <w:jc w:val="left"/>
        <w:rPr>
          <w:b/>
        </w:rPr>
      </w:pPr>
      <w:r>
        <w:rPr>
          <w:b/>
        </w:rPr>
        <w:br w:type="page"/>
      </w:r>
      <w:r w:rsidR="00430BBD">
        <w:rPr>
          <w:b/>
        </w:rPr>
        <w:lastRenderedPageBreak/>
        <w:t>E</w:t>
      </w:r>
      <w:r w:rsidRPr="00440FED">
        <w:rPr>
          <w:b/>
        </w:rPr>
        <w:t>xample procedure for Western blotting</w:t>
      </w:r>
    </w:p>
    <w:p w14:paraId="231302D4" w14:textId="77777777" w:rsidR="00440FED" w:rsidRDefault="00440FED" w:rsidP="000207B9">
      <w:r>
        <w:t>Note: This protocol has been optimized using the materials indicated above. Using materials other than those listed may require additional optimization.</w:t>
      </w:r>
    </w:p>
    <w:p w14:paraId="2B603903" w14:textId="77777777" w:rsidR="00440FED" w:rsidRDefault="00440FED" w:rsidP="00440FED">
      <w:pPr>
        <w:pStyle w:val="ListParagraph"/>
        <w:numPr>
          <w:ilvl w:val="0"/>
          <w:numId w:val="26"/>
        </w:numPr>
        <w:ind w:left="357" w:hanging="357"/>
      </w:pPr>
      <w:r>
        <w:t>Apply ~20</w:t>
      </w:r>
      <w:r w:rsidR="00522BB5">
        <w:t> μ</w:t>
      </w:r>
      <w:r w:rsidR="00332FAF">
        <w:t>L</w:t>
      </w:r>
      <w:r>
        <w:t xml:space="preserve"> of each quenched assay solution to the gel, alongside selected molecular weight markers, electrophorese and transfer protein to membrane according to standard procedures.</w:t>
      </w:r>
    </w:p>
    <w:p w14:paraId="2577F232" w14:textId="77777777" w:rsidR="00440FED" w:rsidRDefault="00440FED" w:rsidP="00440FED">
      <w:pPr>
        <w:pStyle w:val="ListParagraph"/>
        <w:numPr>
          <w:ilvl w:val="0"/>
          <w:numId w:val="26"/>
        </w:numPr>
        <w:ind w:left="357" w:hanging="357"/>
      </w:pPr>
      <w:r>
        <w:t>Remove membrane from the transfer unit and block membrane with BSA/PBS-T blocking solution for 1 hour at room temperature on a rocking platform, or overnight at 4ºC.</w:t>
      </w:r>
    </w:p>
    <w:p w14:paraId="0593344C" w14:textId="77777777" w:rsidR="00C91172" w:rsidRPr="00C91172" w:rsidRDefault="00C91172" w:rsidP="00C91172">
      <w:pPr>
        <w:pStyle w:val="ListParagraph"/>
        <w:ind w:left="357" w:firstLine="0"/>
        <w:contextualSpacing w:val="0"/>
        <w:rPr>
          <w:rFonts w:cs="Arial"/>
          <w:szCs w:val="20"/>
        </w:rPr>
      </w:pPr>
      <w:r w:rsidRPr="00C91172">
        <w:rPr>
          <w:rFonts w:cs="Arial"/>
          <w:b/>
          <w:szCs w:val="20"/>
        </w:rPr>
        <w:t>Note</w:t>
      </w:r>
      <w:r w:rsidRPr="00C91172">
        <w:rPr>
          <w:rFonts w:cs="Arial"/>
          <w:szCs w:val="20"/>
        </w:rPr>
        <w:t>: Drying PVDF membrane prior to blocking, as per Manufacturers’ instructions, may considerably enhance results.</w:t>
      </w:r>
    </w:p>
    <w:p w14:paraId="7B49E9B3" w14:textId="77777777" w:rsidR="00440FED" w:rsidRDefault="00440FED" w:rsidP="00522BB5">
      <w:pPr>
        <w:pStyle w:val="ListParagraph"/>
        <w:numPr>
          <w:ilvl w:val="0"/>
          <w:numId w:val="26"/>
        </w:numPr>
        <w:ind w:left="357" w:hanging="357"/>
        <w:contextualSpacing w:val="0"/>
      </w:pPr>
      <w:r>
        <w:t>Wash membrane for 3 x 10mins with PBS-T on a rocking platform.</w:t>
      </w:r>
    </w:p>
    <w:p w14:paraId="5D976AAB" w14:textId="77777777" w:rsidR="00440FED" w:rsidRDefault="00440FED" w:rsidP="00440FED">
      <w:pPr>
        <w:pStyle w:val="ListParagraph"/>
        <w:numPr>
          <w:ilvl w:val="0"/>
          <w:numId w:val="26"/>
        </w:numPr>
        <w:ind w:left="357" w:hanging="357"/>
      </w:pPr>
      <w:r>
        <w:t xml:space="preserve">Dilute </w:t>
      </w:r>
      <w:r w:rsidR="000207B9" w:rsidRPr="000207B9">
        <w:t xml:space="preserve">Ubiquitin Antibody Solution </w:t>
      </w:r>
      <w:r w:rsidR="00C91172">
        <w:t>1</w:t>
      </w:r>
      <w:r w:rsidR="000207B9">
        <w:t>/</w:t>
      </w:r>
      <w:r w:rsidR="00C91172">
        <w:t xml:space="preserve">500 or </w:t>
      </w:r>
      <w:r>
        <w:t>1</w:t>
      </w:r>
      <w:r w:rsidR="000207B9">
        <w:t>/</w:t>
      </w:r>
      <w:r>
        <w:t>1000 in BSA/PBST.</w:t>
      </w:r>
    </w:p>
    <w:p w14:paraId="14E3F8AB" w14:textId="77777777" w:rsidR="00440FED" w:rsidRDefault="00440FED" w:rsidP="00440FED">
      <w:pPr>
        <w:pStyle w:val="ListParagraph"/>
        <w:numPr>
          <w:ilvl w:val="0"/>
          <w:numId w:val="26"/>
        </w:numPr>
        <w:ind w:left="357" w:hanging="357"/>
      </w:pPr>
      <w:r>
        <w:t xml:space="preserve">Incubate membrane with </w:t>
      </w:r>
      <w:r w:rsidRPr="00440FED">
        <w:t xml:space="preserve">Ubiquitin Antibody Solution </w:t>
      </w:r>
      <w:r w:rsidR="00C91172">
        <w:t xml:space="preserve">overnight at 4ºC </w:t>
      </w:r>
      <w:r>
        <w:t>on a rocking platform.</w:t>
      </w:r>
    </w:p>
    <w:p w14:paraId="08C763BC" w14:textId="77777777" w:rsidR="00440FED" w:rsidRDefault="00440FED" w:rsidP="00440FED">
      <w:pPr>
        <w:pStyle w:val="ListParagraph"/>
        <w:numPr>
          <w:ilvl w:val="0"/>
          <w:numId w:val="26"/>
        </w:numPr>
        <w:ind w:left="357" w:hanging="357"/>
      </w:pPr>
      <w:r>
        <w:t>Wash membrane for 3 x 10mins with PBS-T on a rocking platform.</w:t>
      </w:r>
    </w:p>
    <w:p w14:paraId="6449CBD5" w14:textId="77777777" w:rsidR="009D6E32" w:rsidRDefault="00440FED" w:rsidP="009D6E32">
      <w:pPr>
        <w:pStyle w:val="ListParagraph"/>
        <w:numPr>
          <w:ilvl w:val="0"/>
          <w:numId w:val="26"/>
        </w:numPr>
        <w:ind w:left="357" w:hanging="357"/>
      </w:pPr>
      <w:r>
        <w:t>Dilute selected anti-</w:t>
      </w:r>
      <w:r w:rsidR="00C91172">
        <w:t>rabbit</w:t>
      </w:r>
      <w:r>
        <w:t xml:space="preserve"> IgG secondary antibody according to the manufacturer’s instructions.</w:t>
      </w:r>
      <w:r w:rsidR="009D6E32" w:rsidRPr="009D6E32">
        <w:t xml:space="preserve"> </w:t>
      </w:r>
    </w:p>
    <w:p w14:paraId="7E1D8E7B" w14:textId="77777777" w:rsidR="009D6E32" w:rsidRDefault="009D6E32" w:rsidP="009D6E32">
      <w:pPr>
        <w:pStyle w:val="ListParagraph"/>
        <w:ind w:left="357" w:firstLine="0"/>
        <w:contextualSpacing w:val="0"/>
      </w:pPr>
      <w:r w:rsidRPr="00514C83">
        <w:rPr>
          <w:b/>
        </w:rPr>
        <w:t>N</w:t>
      </w:r>
      <w:r w:rsidR="00514C83">
        <w:rPr>
          <w:b/>
        </w:rPr>
        <w:t>ote</w:t>
      </w:r>
      <w:r w:rsidRPr="00514C83">
        <w:rPr>
          <w:b/>
        </w:rPr>
        <w:t>:</w:t>
      </w:r>
      <w:r>
        <w:t xml:space="preserve"> W</w:t>
      </w:r>
      <w:r w:rsidRPr="00E34A8E">
        <w:t>e recommend using Goat polyclonal secondary antibody to rabbit IgG-H&amp;L (HRP) (ab97051)</w:t>
      </w:r>
      <w:r>
        <w:t>.</w:t>
      </w:r>
    </w:p>
    <w:p w14:paraId="4EEFF84C" w14:textId="77777777" w:rsidR="009D6E32" w:rsidRDefault="009D6E32" w:rsidP="009D6E32">
      <w:pPr>
        <w:pStyle w:val="ListParagraph"/>
        <w:ind w:left="357" w:firstLine="0"/>
      </w:pPr>
    </w:p>
    <w:p w14:paraId="67155FF0" w14:textId="77777777" w:rsidR="00440FED" w:rsidRDefault="00440FED" w:rsidP="00440FED">
      <w:pPr>
        <w:pStyle w:val="ListParagraph"/>
        <w:numPr>
          <w:ilvl w:val="0"/>
          <w:numId w:val="26"/>
        </w:numPr>
        <w:ind w:left="357" w:hanging="357"/>
      </w:pPr>
      <w:r>
        <w:lastRenderedPageBreak/>
        <w:t>Incubate membrane with secondary antibody solution for 1 hour at room temperature on a rocking platform, or as specified by the manufacturer.</w:t>
      </w:r>
    </w:p>
    <w:p w14:paraId="3A0E5C58" w14:textId="77777777" w:rsidR="00440FED" w:rsidRDefault="00C91172" w:rsidP="00440FED">
      <w:pPr>
        <w:pStyle w:val="ListParagraph"/>
        <w:numPr>
          <w:ilvl w:val="0"/>
          <w:numId w:val="26"/>
        </w:numPr>
        <w:ind w:left="357" w:hanging="357"/>
      </w:pPr>
      <w:r>
        <w:t>Wash membrane for 6</w:t>
      </w:r>
      <w:r w:rsidR="00440FED">
        <w:t xml:space="preserve"> x 10 mins with PBS-T on a rocking platform.</w:t>
      </w:r>
    </w:p>
    <w:p w14:paraId="53F973DC" w14:textId="77777777" w:rsidR="00440FED" w:rsidRDefault="00440FED" w:rsidP="00440FED">
      <w:pPr>
        <w:pStyle w:val="ListParagraph"/>
        <w:numPr>
          <w:ilvl w:val="0"/>
          <w:numId w:val="26"/>
        </w:numPr>
        <w:ind w:left="357" w:hanging="357"/>
      </w:pPr>
      <w:r>
        <w:t>Prepare Western blotting detection reagent according to the manufacturer’s instructions. (e.g. Pierce ECL Western Blotting Substrate: Mix equal amounts of Reagent A and B and allow to stand for 1 minute).</w:t>
      </w:r>
    </w:p>
    <w:p w14:paraId="23DE9B3C" w14:textId="77777777" w:rsidR="00440FED" w:rsidRDefault="00440FED" w:rsidP="00440FED">
      <w:pPr>
        <w:pStyle w:val="ListParagraph"/>
        <w:numPr>
          <w:ilvl w:val="0"/>
          <w:numId w:val="26"/>
        </w:numPr>
        <w:ind w:left="357" w:hanging="357"/>
      </w:pPr>
      <w:r>
        <w:t xml:space="preserve">Incubate membrane with Western blotting detection reagent for </w:t>
      </w:r>
      <w:r w:rsidR="00C91172">
        <w:t>appropriate time</w:t>
      </w:r>
      <w:r>
        <w:t>.</w:t>
      </w:r>
    </w:p>
    <w:p w14:paraId="2DF61E3F" w14:textId="77777777" w:rsidR="006973E4" w:rsidRDefault="00440FED" w:rsidP="00440FED">
      <w:pPr>
        <w:pStyle w:val="ListParagraph"/>
        <w:numPr>
          <w:ilvl w:val="0"/>
          <w:numId w:val="26"/>
        </w:numPr>
        <w:ind w:left="357" w:hanging="357"/>
      </w:pPr>
      <w:r>
        <w:t xml:space="preserve">Detect emitted signal by </w:t>
      </w:r>
      <w:proofErr w:type="spellStart"/>
      <w:r>
        <w:t>Luminography</w:t>
      </w:r>
      <w:proofErr w:type="spellEnd"/>
      <w:r>
        <w:t xml:space="preserve"> or CCD imaging instrument.</w:t>
      </w:r>
    </w:p>
    <w:p w14:paraId="55F31B5F" w14:textId="77777777" w:rsidR="00440FED" w:rsidRDefault="00440FED">
      <w:pPr>
        <w:spacing w:before="0" w:line="240" w:lineRule="auto"/>
        <w:jc w:val="left"/>
        <w:rPr>
          <w:rFonts w:eastAsia="Times New Roman"/>
          <w:b/>
          <w:bCs/>
          <w:sz w:val="28"/>
          <w:szCs w:val="28"/>
        </w:rPr>
      </w:pPr>
      <w:bookmarkStart w:id="23" w:name="_Toc271554840"/>
      <w:bookmarkStart w:id="24" w:name="_Toc273532559"/>
      <w:r>
        <w:br w:type="page"/>
      </w:r>
    </w:p>
    <w:p w14:paraId="6A6DE619" w14:textId="77777777" w:rsidR="002E4C48" w:rsidRDefault="0014298E" w:rsidP="00BC41E1">
      <w:pPr>
        <w:pStyle w:val="Heading1"/>
        <w:spacing w:before="240"/>
      </w:pPr>
      <w:bookmarkStart w:id="25" w:name="_Toc353458013"/>
      <w:r>
        <w:lastRenderedPageBreak/>
        <w:t>Data Analysis</w:t>
      </w:r>
      <w:bookmarkEnd w:id="25"/>
    </w:p>
    <w:p w14:paraId="15213E14" w14:textId="77777777" w:rsidR="0004154C" w:rsidRDefault="00440FED" w:rsidP="00440FED">
      <w:pPr>
        <w:rPr>
          <w:b/>
        </w:rPr>
      </w:pPr>
      <w:bookmarkStart w:id="26" w:name="_Toc315440415"/>
      <w:r w:rsidRPr="00440FED">
        <w:rPr>
          <w:b/>
        </w:rPr>
        <w:t>Example results for Western blotting</w:t>
      </w:r>
    </w:p>
    <w:p w14:paraId="37573572" w14:textId="7C91BAFF" w:rsidR="00440FED" w:rsidRDefault="00233D0B" w:rsidP="00440FED">
      <w:pPr>
        <w:spacing w:before="0"/>
        <w:jc w:val="center"/>
      </w:pPr>
      <w:r w:rsidRPr="00233D0B">
        <w:rPr>
          <w:noProof/>
        </w:rPr>
        <w:drawing>
          <wp:inline distT="0" distB="0" distL="0" distR="0" wp14:anchorId="010354D0" wp14:editId="25F48CAC">
            <wp:extent cx="2247900" cy="220906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0509" cy="2221460"/>
                    </a:xfrm>
                    <a:prstGeom prst="rect">
                      <a:avLst/>
                    </a:prstGeom>
                  </pic:spPr>
                </pic:pic>
              </a:graphicData>
            </a:graphic>
          </wp:inline>
        </w:drawing>
      </w:r>
    </w:p>
    <w:p w14:paraId="27AA2863" w14:textId="77777777" w:rsidR="00440FED" w:rsidRPr="00175B96" w:rsidRDefault="00440FED" w:rsidP="00440FED">
      <w:pPr>
        <w:spacing w:before="0" w:line="276" w:lineRule="auto"/>
        <w:rPr>
          <w:rFonts w:cs="Arial"/>
          <w:sz w:val="18"/>
          <w:szCs w:val="18"/>
        </w:rPr>
      </w:pPr>
      <w:r w:rsidRPr="00175B96">
        <w:rPr>
          <w:rFonts w:cs="Arial"/>
          <w:b/>
          <w:sz w:val="18"/>
          <w:szCs w:val="18"/>
        </w:rPr>
        <w:t>Figure 1:</w:t>
      </w:r>
      <w:r w:rsidRPr="00175B96">
        <w:rPr>
          <w:rFonts w:cs="Arial"/>
          <w:sz w:val="18"/>
          <w:szCs w:val="18"/>
        </w:rPr>
        <w:t xml:space="preserve"> </w:t>
      </w:r>
      <w:r w:rsidR="00175B96" w:rsidRPr="00175B96">
        <w:rPr>
          <w:rFonts w:cs="Arial"/>
          <w:sz w:val="18"/>
          <w:szCs w:val="18"/>
        </w:rPr>
        <w:t xml:space="preserve">Western blot analysis of control </w:t>
      </w:r>
      <w:proofErr w:type="spellStart"/>
      <w:r w:rsidR="00175B96" w:rsidRPr="00175B96">
        <w:rPr>
          <w:rFonts w:cs="Arial"/>
          <w:sz w:val="18"/>
          <w:szCs w:val="18"/>
        </w:rPr>
        <w:t>Ub</w:t>
      </w:r>
      <w:proofErr w:type="spellEnd"/>
      <w:r w:rsidR="00175B96" w:rsidRPr="00175B96">
        <w:rPr>
          <w:rFonts w:cs="Arial"/>
          <w:sz w:val="18"/>
          <w:szCs w:val="18"/>
        </w:rPr>
        <w:t xml:space="preserve"> E3 ligase Hdm2 RING domain auto-</w:t>
      </w:r>
      <w:proofErr w:type="spellStart"/>
      <w:r w:rsidR="00175B96" w:rsidRPr="00175B96">
        <w:rPr>
          <w:rFonts w:cs="Arial"/>
          <w:sz w:val="18"/>
          <w:szCs w:val="18"/>
        </w:rPr>
        <w:t>ubiquitinylation</w:t>
      </w:r>
      <w:proofErr w:type="spellEnd"/>
      <w:r w:rsidR="00175B96" w:rsidRPr="00175B96">
        <w:rPr>
          <w:rFonts w:cs="Arial"/>
          <w:sz w:val="18"/>
          <w:szCs w:val="18"/>
        </w:rPr>
        <w:t xml:space="preserve"> assays. Auto-</w:t>
      </w:r>
      <w:proofErr w:type="spellStart"/>
      <w:r w:rsidR="00175B96" w:rsidRPr="00175B96">
        <w:rPr>
          <w:rFonts w:cs="Arial"/>
          <w:sz w:val="18"/>
          <w:szCs w:val="18"/>
        </w:rPr>
        <w:t>ubiquitinylation</w:t>
      </w:r>
      <w:proofErr w:type="spellEnd"/>
      <w:r w:rsidR="00175B96" w:rsidRPr="00175B96">
        <w:rPr>
          <w:rFonts w:cs="Arial"/>
          <w:sz w:val="18"/>
          <w:szCs w:val="18"/>
        </w:rPr>
        <w:t xml:space="preserve"> assays set-up and run as described in “Assay protocol”. Ubiquitinylated E3 ligase species were detected by Western blotting as described in “</w:t>
      </w:r>
      <w:r w:rsidR="00175B96">
        <w:rPr>
          <w:rFonts w:cs="Arial"/>
          <w:sz w:val="18"/>
          <w:szCs w:val="18"/>
        </w:rPr>
        <w:t>Western Blot Analysis</w:t>
      </w:r>
      <w:r w:rsidR="00175B96" w:rsidRPr="00175B96">
        <w:rPr>
          <w:rFonts w:cs="Arial"/>
          <w:sz w:val="18"/>
          <w:szCs w:val="18"/>
        </w:rPr>
        <w:t>”, using t</w:t>
      </w:r>
      <w:r w:rsidR="00175B96">
        <w:rPr>
          <w:rFonts w:cs="Arial"/>
          <w:sz w:val="18"/>
          <w:szCs w:val="18"/>
        </w:rPr>
        <w:t xml:space="preserve">he provided </w:t>
      </w:r>
      <w:r w:rsidR="000207B9" w:rsidRPr="000207B9">
        <w:rPr>
          <w:rFonts w:cs="Arial"/>
          <w:sz w:val="18"/>
          <w:szCs w:val="18"/>
        </w:rPr>
        <w:t>Ubiquitin Antibody Solution (pAb)</w:t>
      </w:r>
      <w:r w:rsidR="000207B9">
        <w:rPr>
          <w:rFonts w:cs="Arial"/>
          <w:sz w:val="18"/>
          <w:szCs w:val="18"/>
        </w:rPr>
        <w:t xml:space="preserve"> </w:t>
      </w:r>
      <w:r w:rsidR="00430BBD">
        <w:rPr>
          <w:rFonts w:cs="Arial"/>
          <w:sz w:val="18"/>
          <w:szCs w:val="18"/>
        </w:rPr>
        <w:t>at a dilution of 1/</w:t>
      </w:r>
      <w:r w:rsidR="00175B96" w:rsidRPr="00175B96">
        <w:rPr>
          <w:rFonts w:cs="Arial"/>
          <w:sz w:val="18"/>
          <w:szCs w:val="18"/>
        </w:rPr>
        <w:t>1000 dilution</w:t>
      </w:r>
      <w:r w:rsidRPr="00175B96">
        <w:rPr>
          <w:rFonts w:cs="Arial"/>
          <w:sz w:val="18"/>
          <w:szCs w:val="18"/>
        </w:rPr>
        <w:t>.</w:t>
      </w:r>
    </w:p>
    <w:bookmarkEnd w:id="23"/>
    <w:bookmarkEnd w:id="24"/>
    <w:bookmarkEnd w:id="26"/>
    <w:p w14:paraId="09790F95" w14:textId="17E553C5" w:rsidR="004E0533" w:rsidRDefault="004E0533">
      <w:pPr>
        <w:spacing w:before="0" w:line="240" w:lineRule="auto"/>
        <w:jc w:val="left"/>
      </w:pPr>
    </w:p>
    <w:p w14:paraId="6A8DC670" w14:textId="77777777" w:rsidR="00081C90" w:rsidRDefault="00081C90" w:rsidP="00081C90">
      <w:pPr>
        <w:spacing w:before="0" w:line="240" w:lineRule="auto"/>
        <w:jc w:val="left"/>
        <w:rPr>
          <w:rFonts w:eastAsia="Times New Roman"/>
          <w:b/>
          <w:bCs/>
          <w:sz w:val="24"/>
          <w:szCs w:val="28"/>
        </w:rPr>
      </w:pPr>
    </w:p>
    <w:p w14:paraId="6BE7C043" w14:textId="77777777" w:rsidR="00081C90" w:rsidRDefault="00081C90" w:rsidP="00081C90">
      <w:pPr>
        <w:spacing w:before="0" w:line="240" w:lineRule="auto"/>
        <w:jc w:val="left"/>
        <w:rPr>
          <w:rFonts w:eastAsia="Times New Roman"/>
          <w:b/>
          <w:bCs/>
          <w:sz w:val="24"/>
          <w:szCs w:val="28"/>
        </w:rPr>
      </w:pPr>
    </w:p>
    <w:p w14:paraId="77191D31" w14:textId="34C7B1D1" w:rsidR="00233D0B" w:rsidRPr="00081C90" w:rsidRDefault="00233D0B" w:rsidP="00081C90">
      <w:pPr>
        <w:spacing w:before="0" w:line="240" w:lineRule="auto"/>
        <w:jc w:val="left"/>
      </w:pPr>
      <w:r w:rsidRPr="00291DE0">
        <w:rPr>
          <w:rFonts w:eastAsia="Times New Roman"/>
          <w:b/>
          <w:bCs/>
          <w:sz w:val="24"/>
          <w:szCs w:val="28"/>
        </w:rPr>
        <w:t>Technical Support</w:t>
      </w:r>
    </w:p>
    <w:p w14:paraId="0965ABDC" w14:textId="77777777" w:rsidR="00081C90" w:rsidRDefault="00233D0B" w:rsidP="00081C90">
      <w:pPr>
        <w:spacing w:before="0"/>
        <w:rPr>
          <w:sz w:val="18"/>
          <w:szCs w:val="18"/>
        </w:rPr>
      </w:pPr>
      <w:r>
        <w:rPr>
          <w:sz w:val="18"/>
          <w:szCs w:val="18"/>
        </w:rPr>
        <w:t>Copyright © 202</w:t>
      </w:r>
      <w:r w:rsidR="00081C90">
        <w:rPr>
          <w:sz w:val="18"/>
          <w:szCs w:val="18"/>
        </w:rPr>
        <w:t>2</w:t>
      </w:r>
      <w:r w:rsidRPr="00291DE0">
        <w:rPr>
          <w:sz w:val="18"/>
          <w:szCs w:val="18"/>
        </w:rPr>
        <w:t xml:space="preserve"> Abcam, All Rights</w:t>
      </w:r>
      <w:r>
        <w:rPr>
          <w:sz w:val="18"/>
          <w:szCs w:val="18"/>
        </w:rPr>
        <w:t xml:space="preserve"> </w:t>
      </w:r>
      <w:r w:rsidRPr="00291DE0">
        <w:rPr>
          <w:sz w:val="18"/>
          <w:szCs w:val="18"/>
        </w:rPr>
        <w:t>Reserved.  The Abcam logo is a registered trademark. All information / detail is correct at time of going to print.</w:t>
      </w:r>
    </w:p>
    <w:p w14:paraId="681193D3" w14:textId="30996FE0" w:rsidR="00233D0B" w:rsidRPr="00081C90" w:rsidRDefault="00233D0B" w:rsidP="00081C90">
      <w:pPr>
        <w:spacing w:before="0"/>
        <w:rPr>
          <w:sz w:val="18"/>
          <w:szCs w:val="18"/>
        </w:rPr>
      </w:pPr>
      <w:r>
        <w:rPr>
          <w:rFonts w:ascii="Century Gothic" w:hAnsi="Century Gothic" w:cs="Calibri"/>
          <w:b/>
          <w:bCs/>
          <w:szCs w:val="20"/>
        </w:rPr>
        <w:t>For all technical or commercial enquiries please go to:</w:t>
      </w:r>
    </w:p>
    <w:p w14:paraId="0560ED82" w14:textId="77777777" w:rsidR="00233D0B" w:rsidRDefault="00081C90" w:rsidP="00081C90">
      <w:pPr>
        <w:pStyle w:val="NormalWeb"/>
        <w:spacing w:before="0" w:beforeAutospacing="0" w:after="0" w:afterAutospacing="0"/>
        <w:rPr>
          <w:rFonts w:ascii="Calibri" w:hAnsi="Calibri" w:cs="Calibri"/>
          <w:sz w:val="22"/>
          <w:szCs w:val="22"/>
        </w:rPr>
      </w:pPr>
      <w:hyperlink r:id="rId10" w:history="1">
        <w:r w:rsidR="00233D0B">
          <w:rPr>
            <w:rStyle w:val="Hyperlink"/>
            <w:rFonts w:ascii="Century Gothic" w:hAnsi="Century Gothic" w:cs="Calibri"/>
            <w:sz w:val="20"/>
            <w:szCs w:val="20"/>
            <w:lang w:val="en-US"/>
          </w:rPr>
          <w:t>www.abcam.com/contactus</w:t>
        </w:r>
      </w:hyperlink>
    </w:p>
    <w:p w14:paraId="4F483030" w14:textId="77777777" w:rsidR="00081C90" w:rsidRDefault="00081C90" w:rsidP="00081C90">
      <w:pPr>
        <w:pStyle w:val="NormalWeb"/>
        <w:spacing w:before="0" w:beforeAutospacing="0" w:after="0" w:afterAutospacing="0"/>
        <w:rPr>
          <w:rFonts w:ascii="Calibri" w:hAnsi="Calibri" w:cs="Calibri"/>
          <w:sz w:val="22"/>
          <w:szCs w:val="22"/>
        </w:rPr>
      </w:pPr>
      <w:hyperlink r:id="rId11" w:history="1">
        <w:r w:rsidR="00233D0B">
          <w:rPr>
            <w:rStyle w:val="Hyperlink"/>
            <w:rFonts w:ascii="Century Gothic" w:hAnsi="Century Gothic" w:cs="Calibri"/>
            <w:sz w:val="20"/>
            <w:szCs w:val="20"/>
            <w:lang w:val="en-US"/>
          </w:rPr>
          <w:t>www.abcam.cn/contactus</w:t>
        </w:r>
      </w:hyperlink>
      <w:r w:rsidR="00233D0B">
        <w:rPr>
          <w:rFonts w:ascii="Century Gothic" w:hAnsi="Century Gothic" w:cs="Calibri"/>
          <w:sz w:val="20"/>
          <w:szCs w:val="20"/>
          <w:lang w:val="en-US"/>
        </w:rPr>
        <w:t xml:space="preserve"> (China)</w:t>
      </w:r>
    </w:p>
    <w:p w14:paraId="5655665B" w14:textId="0C8FFB21" w:rsidR="00233D0B" w:rsidRDefault="00081C90" w:rsidP="00081C90">
      <w:pPr>
        <w:pStyle w:val="NormalWeb"/>
        <w:spacing w:before="0" w:beforeAutospacing="0" w:after="0" w:afterAutospacing="0"/>
        <w:rPr>
          <w:rFonts w:ascii="Calibri" w:hAnsi="Calibri" w:cs="Calibri"/>
          <w:sz w:val="22"/>
          <w:szCs w:val="22"/>
        </w:rPr>
      </w:pPr>
      <w:hyperlink r:id="rId12" w:history="1">
        <w:r w:rsidRPr="00AE7163">
          <w:rPr>
            <w:rStyle w:val="Hyperlink"/>
            <w:rFonts w:ascii="Century Gothic" w:hAnsi="Century Gothic" w:cs="Calibri"/>
            <w:sz w:val="20"/>
            <w:szCs w:val="20"/>
            <w:lang w:val="en-US"/>
          </w:rPr>
          <w:t>www.abcam.co.jp/contactus</w:t>
        </w:r>
      </w:hyperlink>
      <w:r w:rsidR="00233D0B">
        <w:rPr>
          <w:rFonts w:ascii="Century Gothic" w:hAnsi="Century Gothic" w:cs="Calibri"/>
          <w:sz w:val="20"/>
          <w:szCs w:val="20"/>
          <w:lang w:val="en-US"/>
        </w:rPr>
        <w:t xml:space="preserve"> (Japan)</w:t>
      </w:r>
    </w:p>
    <w:p w14:paraId="31851F84" w14:textId="35E200DB" w:rsidR="00DC1372" w:rsidRPr="00175B96" w:rsidRDefault="00DC1372" w:rsidP="00233D0B">
      <w:pPr>
        <w:spacing w:before="0" w:line="240" w:lineRule="auto"/>
        <w:jc w:val="left"/>
        <w:rPr>
          <w:sz w:val="16"/>
        </w:rPr>
      </w:pPr>
    </w:p>
    <w:sectPr w:rsidR="00DC1372" w:rsidRPr="00175B96" w:rsidSect="00A57F5A">
      <w:headerReference w:type="even" r:id="rId13"/>
      <w:headerReference w:type="default" r:id="rId14"/>
      <w:footerReference w:type="even" r:id="rId15"/>
      <w:footerReference w:type="default" r:id="rId16"/>
      <w:footerReference w:type="first" r:id="rId17"/>
      <w:pgSz w:w="7920" w:h="12240"/>
      <w:pgMar w:top="1418" w:right="907" w:bottom="1418" w:left="907" w:header="708" w:footer="73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6243" w14:textId="77777777" w:rsidR="00AB2E89" w:rsidRDefault="00AB2E89" w:rsidP="00DC1372">
      <w:r>
        <w:separator/>
      </w:r>
    </w:p>
  </w:endnote>
  <w:endnote w:type="continuationSeparator" w:id="0">
    <w:p w14:paraId="30312886" w14:textId="77777777" w:rsidR="00AB2E89" w:rsidRDefault="00AB2E89"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8CF4" w14:textId="77777777" w:rsidR="00514C83" w:rsidRDefault="00514C83"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65158D6" w14:textId="77777777" w:rsidR="00514C83" w:rsidRDefault="00514C83"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09AA" w14:textId="77777777" w:rsidR="00514C83" w:rsidRPr="0001222D" w:rsidRDefault="00514C83" w:rsidP="00422E11">
    <w:pPr>
      <w:pStyle w:val="Footer"/>
      <w:framePr w:wrap="around" w:vAnchor="text" w:hAnchor="margin" w:xAlign="right" w:y="1"/>
      <w:rPr>
        <w:rStyle w:val="PageNumber"/>
      </w:rPr>
    </w:pPr>
    <w:r w:rsidRPr="0001222D">
      <w:rPr>
        <w:rStyle w:val="PageNumber"/>
      </w:rPr>
      <w:fldChar w:fldCharType="begin"/>
    </w:r>
    <w:r w:rsidRPr="0001222D">
      <w:rPr>
        <w:rStyle w:val="PageNumber"/>
      </w:rPr>
      <w:instrText>PAGE</w:instrText>
    </w:r>
    <w:r w:rsidRPr="0001222D">
      <w:rPr>
        <w:rStyle w:val="PageNumber"/>
      </w:rPr>
      <w:fldChar w:fldCharType="separate"/>
    </w:r>
    <w:r w:rsidR="00CD071B">
      <w:rPr>
        <w:rStyle w:val="PageNumber"/>
        <w:noProof/>
      </w:rPr>
      <w:t>11</w:t>
    </w:r>
    <w:r w:rsidRPr="0001222D">
      <w:rPr>
        <w:rStyle w:val="PageNumber"/>
      </w:rPr>
      <w:fldChar w:fldCharType="end"/>
    </w:r>
  </w:p>
  <w:p w14:paraId="083D75AF" w14:textId="77777777" w:rsidR="00514C83" w:rsidRDefault="00514C83">
    <w:pPr>
      <w:pStyle w:val="Footer"/>
      <w:jc w:val="right"/>
    </w:pPr>
  </w:p>
  <w:p w14:paraId="38D87385" w14:textId="77777777" w:rsidR="00514C83" w:rsidRDefault="00514C83"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C01A" w14:textId="75BC331B" w:rsidR="00514C83" w:rsidRPr="009D6E32" w:rsidRDefault="00514C83" w:rsidP="009D6E32">
    <w:pPr>
      <w:pStyle w:val="Footer"/>
      <w:tabs>
        <w:tab w:val="clear" w:pos="4320"/>
        <w:tab w:val="clear" w:pos="8640"/>
        <w:tab w:val="left" w:pos="3500"/>
      </w:tabs>
      <w:rPr>
        <w:sz w:val="18"/>
      </w:rPr>
    </w:pPr>
    <w:r w:rsidRPr="00F76B7C">
      <w:rPr>
        <w:sz w:val="18"/>
      </w:rPr>
      <w:t xml:space="preserve">Version </w:t>
    </w:r>
    <w:r w:rsidR="00081C90">
      <w:rPr>
        <w:sz w:val="18"/>
      </w:rPr>
      <w:t>4</w:t>
    </w:r>
    <w:r w:rsidRPr="00F76B7C">
      <w:rPr>
        <w:sz w:val="18"/>
      </w:rPr>
      <w:t xml:space="preserve"> Last Updated </w:t>
    </w:r>
    <w:r>
      <w:rPr>
        <w:sz w:val="18"/>
      </w:rPr>
      <w:fldChar w:fldCharType="begin"/>
    </w:r>
    <w:r>
      <w:rPr>
        <w:sz w:val="18"/>
      </w:rPr>
      <w:instrText xml:space="preserve"> DATE  \@ "d MMMM yyyy"  \* MERGEFORMAT </w:instrText>
    </w:r>
    <w:r>
      <w:rPr>
        <w:sz w:val="18"/>
      </w:rPr>
      <w:fldChar w:fldCharType="separate"/>
    </w:r>
    <w:r w:rsidR="00081C90">
      <w:rPr>
        <w:noProof/>
        <w:sz w:val="18"/>
      </w:rPr>
      <w:t>3 November 2022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1A7C" w14:textId="77777777" w:rsidR="00AB2E89" w:rsidRDefault="00AB2E89" w:rsidP="00DC1372">
      <w:r>
        <w:separator/>
      </w:r>
    </w:p>
  </w:footnote>
  <w:footnote w:type="continuationSeparator" w:id="0">
    <w:p w14:paraId="20F15C97" w14:textId="77777777" w:rsidR="00AB2E89" w:rsidRDefault="00AB2E89"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4A1" w14:textId="77777777" w:rsidR="00514C83" w:rsidRDefault="00514C83">
    <w:pPr>
      <w:pStyle w:val="Header"/>
    </w:pPr>
    <w:r>
      <w:rPr>
        <w:noProof/>
        <w:lang w:val="en-GB" w:eastAsia="en-GB"/>
      </w:rPr>
      <w:drawing>
        <wp:anchor distT="0" distB="0" distL="114300" distR="114300" simplePos="0" relativeHeight="251657728" behindDoc="1" locked="0" layoutInCell="1" allowOverlap="1" wp14:anchorId="2D8A7736" wp14:editId="340C22CB">
          <wp:simplePos x="0" y="0"/>
          <wp:positionH relativeFrom="margin">
            <wp:align>center</wp:align>
          </wp:positionH>
          <wp:positionV relativeFrom="margin">
            <wp:align>center</wp:align>
          </wp:positionV>
          <wp:extent cx="5111750" cy="7847965"/>
          <wp:effectExtent l="0" t="0" r="0" b="0"/>
          <wp:wrapNone/>
          <wp:docPr id="11" name="Picture 11" descr="Indvdl_Prtcls_US_Stateme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vdl_Prtcls_US_Stateme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0" cy="784796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8233" w14:textId="77777777" w:rsidR="00514C83" w:rsidRPr="00885DC3" w:rsidRDefault="00514C83"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F10"/>
    <w:multiLevelType w:val="hybridMultilevel"/>
    <w:tmpl w:val="64B29958"/>
    <w:lvl w:ilvl="0" w:tplc="F50C6D2E">
      <w:start w:val="1"/>
      <w:numFmt w:val="decimal"/>
      <w:lvlText w:val="%1."/>
      <w:lvlJc w:val="left"/>
      <w:pPr>
        <w:ind w:left="717" w:hanging="360"/>
      </w:pPr>
      <w:rPr>
        <w:rFonts w:hint="default"/>
        <w:color w:val="auto"/>
        <w:sz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3B32D5"/>
    <w:multiLevelType w:val="hybridMultilevel"/>
    <w:tmpl w:val="BBAC2C0A"/>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A2DF9"/>
    <w:multiLevelType w:val="hybridMultilevel"/>
    <w:tmpl w:val="B352FC5E"/>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63744"/>
    <w:multiLevelType w:val="hybridMultilevel"/>
    <w:tmpl w:val="922C2898"/>
    <w:lvl w:ilvl="0" w:tplc="A08EE9E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5B441F"/>
    <w:multiLevelType w:val="hybridMultilevel"/>
    <w:tmpl w:val="19A63D82"/>
    <w:lvl w:ilvl="0" w:tplc="F50C6D2E">
      <w:start w:val="1"/>
      <w:numFmt w:val="decimal"/>
      <w:lvlText w:val="%1."/>
      <w:lvlJc w:val="left"/>
      <w:pPr>
        <w:ind w:left="720" w:hanging="360"/>
      </w:pPr>
      <w:rPr>
        <w:rFonts w:hint="default"/>
        <w:color w:val="auto"/>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D64A3"/>
    <w:multiLevelType w:val="hybridMultilevel"/>
    <w:tmpl w:val="64B29958"/>
    <w:lvl w:ilvl="0" w:tplc="F50C6D2E">
      <w:start w:val="1"/>
      <w:numFmt w:val="decimal"/>
      <w:lvlText w:val="%1."/>
      <w:lvlJc w:val="left"/>
      <w:pPr>
        <w:ind w:left="717" w:hanging="360"/>
      </w:pPr>
      <w:rPr>
        <w:rFonts w:hint="default"/>
        <w:color w:val="auto"/>
        <w:sz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3134730"/>
    <w:multiLevelType w:val="hybridMultilevel"/>
    <w:tmpl w:val="64B29958"/>
    <w:lvl w:ilvl="0" w:tplc="F50C6D2E">
      <w:start w:val="1"/>
      <w:numFmt w:val="decimal"/>
      <w:lvlText w:val="%1."/>
      <w:lvlJc w:val="left"/>
      <w:pPr>
        <w:ind w:left="717" w:hanging="360"/>
      </w:pPr>
      <w:rPr>
        <w:rFonts w:hint="default"/>
        <w:color w:val="auto"/>
        <w:sz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23360A71"/>
    <w:multiLevelType w:val="hybridMultilevel"/>
    <w:tmpl w:val="7F22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32E8"/>
    <w:multiLevelType w:val="hybridMultilevel"/>
    <w:tmpl w:val="C654205A"/>
    <w:lvl w:ilvl="0" w:tplc="452E637A">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0" w15:restartNumberingAfterBreak="0">
    <w:nsid w:val="23F9494E"/>
    <w:multiLevelType w:val="hybridMultilevel"/>
    <w:tmpl w:val="E8549B70"/>
    <w:lvl w:ilvl="0" w:tplc="7494CB6E">
      <w:start w:val="1"/>
      <w:numFmt w:val="upperLetter"/>
      <w:lvlText w:val="%1."/>
      <w:lvlJc w:val="left"/>
      <w:pPr>
        <w:ind w:left="720" w:hanging="360"/>
      </w:pPr>
      <w:rPr>
        <w:rFonts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FC260B2"/>
    <w:multiLevelType w:val="hybridMultilevel"/>
    <w:tmpl w:val="59F2EACC"/>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D3FD9"/>
    <w:multiLevelType w:val="hybridMultilevel"/>
    <w:tmpl w:val="85D6E8BC"/>
    <w:lvl w:ilvl="0" w:tplc="181653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46F74"/>
    <w:multiLevelType w:val="hybridMultilevel"/>
    <w:tmpl w:val="37263AA4"/>
    <w:lvl w:ilvl="0" w:tplc="DD2205D6">
      <w:start w:val="1"/>
      <w:numFmt w:val="decimal"/>
      <w:lvlText w:val="%1)"/>
      <w:lvlJc w:val="left"/>
      <w:pPr>
        <w:ind w:left="720" w:hanging="360"/>
      </w:pPr>
      <w:rPr>
        <w:rFonts w:hint="default"/>
        <w:color w:val="auto"/>
        <w:sz w:val="20"/>
      </w:rPr>
    </w:lvl>
    <w:lvl w:ilvl="1" w:tplc="FF42275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84234"/>
    <w:multiLevelType w:val="hybridMultilevel"/>
    <w:tmpl w:val="95821A5E"/>
    <w:lvl w:ilvl="0" w:tplc="F50C6D2E">
      <w:start w:val="1"/>
      <w:numFmt w:val="decimal"/>
      <w:lvlText w:val="%1."/>
      <w:lvlJc w:val="left"/>
      <w:pPr>
        <w:ind w:left="720" w:hanging="360"/>
      </w:pPr>
      <w:rPr>
        <w:rFonts w:hint="default"/>
        <w:color w:val="auto"/>
        <w:sz w:val="20"/>
      </w:rPr>
    </w:lvl>
    <w:lvl w:ilvl="1" w:tplc="F50C6D2E">
      <w:start w:val="1"/>
      <w:numFmt w:val="decimal"/>
      <w:lvlText w:val="%2."/>
      <w:lvlJc w:val="left"/>
      <w:pPr>
        <w:ind w:left="1440" w:hanging="360"/>
      </w:pPr>
      <w:rPr>
        <w:rFonts w:hint="default"/>
        <w:color w:val="auto"/>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B41DE"/>
    <w:multiLevelType w:val="hybridMultilevel"/>
    <w:tmpl w:val="48D6884A"/>
    <w:lvl w:ilvl="0" w:tplc="0409000F">
      <w:start w:val="1"/>
      <w:numFmt w:val="decimal"/>
      <w:lvlText w:val="%1."/>
      <w:lvlJc w:val="left"/>
      <w:pPr>
        <w:ind w:left="720" w:hanging="360"/>
      </w:pPr>
      <w:rPr>
        <w:rFonts w:hint="default"/>
      </w:rPr>
    </w:lvl>
    <w:lvl w:ilvl="1" w:tplc="FC70E0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3667D"/>
    <w:multiLevelType w:val="hybridMultilevel"/>
    <w:tmpl w:val="09566C08"/>
    <w:lvl w:ilvl="0" w:tplc="37BED212">
      <w:start w:val="1"/>
      <w:numFmt w:val="lowerLetter"/>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D04626"/>
    <w:multiLevelType w:val="hybridMultilevel"/>
    <w:tmpl w:val="C06A5322"/>
    <w:lvl w:ilvl="0" w:tplc="F5AC7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0F0F72"/>
    <w:multiLevelType w:val="hybridMultilevel"/>
    <w:tmpl w:val="9146C126"/>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8E6375"/>
    <w:multiLevelType w:val="hybridMultilevel"/>
    <w:tmpl w:val="A81488E8"/>
    <w:lvl w:ilvl="0" w:tplc="F50C6D2E">
      <w:start w:val="1"/>
      <w:numFmt w:val="decimal"/>
      <w:lvlText w:val="%1."/>
      <w:lvlJc w:val="left"/>
      <w:pPr>
        <w:ind w:left="717" w:hanging="360"/>
      </w:pPr>
      <w:rPr>
        <w:rFonts w:hint="default"/>
        <w:color w:val="auto"/>
        <w:sz w:val="2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6BA15C3C"/>
    <w:multiLevelType w:val="hybridMultilevel"/>
    <w:tmpl w:val="64B29958"/>
    <w:lvl w:ilvl="0" w:tplc="F50C6D2E">
      <w:start w:val="1"/>
      <w:numFmt w:val="decimal"/>
      <w:lvlText w:val="%1."/>
      <w:lvlJc w:val="left"/>
      <w:pPr>
        <w:ind w:left="717" w:hanging="360"/>
      </w:pPr>
      <w:rPr>
        <w:rFonts w:hint="default"/>
        <w:color w:val="auto"/>
        <w:sz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3" w15:restartNumberingAfterBreak="0">
    <w:nsid w:val="6BBD06EB"/>
    <w:multiLevelType w:val="hybridMultilevel"/>
    <w:tmpl w:val="3AC63778"/>
    <w:lvl w:ilvl="0" w:tplc="F50C6D2E">
      <w:start w:val="1"/>
      <w:numFmt w:val="decimal"/>
      <w:lvlText w:val="%1."/>
      <w:lvlJc w:val="left"/>
      <w:pPr>
        <w:ind w:left="1440" w:hanging="360"/>
      </w:pPr>
      <w:rPr>
        <w:rFonts w:hint="default"/>
        <w:color w:val="auto"/>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AD586D"/>
    <w:multiLevelType w:val="hybridMultilevel"/>
    <w:tmpl w:val="34D09090"/>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387506"/>
    <w:multiLevelType w:val="hybridMultilevel"/>
    <w:tmpl w:val="5874DB9A"/>
    <w:lvl w:ilvl="0" w:tplc="F50C6D2E">
      <w:start w:val="1"/>
      <w:numFmt w:val="decimal"/>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792498"/>
    <w:multiLevelType w:val="hybridMultilevel"/>
    <w:tmpl w:val="158E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748DE"/>
    <w:multiLevelType w:val="hybridMultilevel"/>
    <w:tmpl w:val="5A7E1738"/>
    <w:lvl w:ilvl="0" w:tplc="219E1B3A">
      <w:start w:val="1"/>
      <w:numFmt w:val="upperLetter"/>
      <w:pStyle w:val="Dataanalysisheaders"/>
      <w:lvlText w:val="%1."/>
      <w:lvlJc w:val="left"/>
      <w:pPr>
        <w:ind w:left="720" w:hanging="360"/>
      </w:pPr>
      <w:rPr>
        <w:rFonts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11"/>
  </w:num>
  <w:num w:numId="5">
    <w:abstractNumId w:val="8"/>
  </w:num>
  <w:num w:numId="6">
    <w:abstractNumId w:val="25"/>
  </w:num>
  <w:num w:numId="7">
    <w:abstractNumId w:val="19"/>
  </w:num>
  <w:num w:numId="8">
    <w:abstractNumId w:val="3"/>
  </w:num>
  <w:num w:numId="9">
    <w:abstractNumId w:val="18"/>
  </w:num>
  <w:num w:numId="10">
    <w:abstractNumId w:val="24"/>
  </w:num>
  <w:num w:numId="11">
    <w:abstractNumId w:val="10"/>
  </w:num>
  <w:num w:numId="12">
    <w:abstractNumId w:val="12"/>
  </w:num>
  <w:num w:numId="13">
    <w:abstractNumId w:val="9"/>
  </w:num>
  <w:num w:numId="14">
    <w:abstractNumId w:val="20"/>
  </w:num>
  <w:num w:numId="15">
    <w:abstractNumId w:val="0"/>
  </w:num>
  <w:num w:numId="16">
    <w:abstractNumId w:val="6"/>
  </w:num>
  <w:num w:numId="17">
    <w:abstractNumId w:val="22"/>
  </w:num>
  <w:num w:numId="18">
    <w:abstractNumId w:val="27"/>
  </w:num>
  <w:num w:numId="19">
    <w:abstractNumId w:val="7"/>
  </w:num>
  <w:num w:numId="20">
    <w:abstractNumId w:val="4"/>
  </w:num>
  <w:num w:numId="21">
    <w:abstractNumId w:val="14"/>
  </w:num>
  <w:num w:numId="22">
    <w:abstractNumId w:val="5"/>
  </w:num>
  <w:num w:numId="23">
    <w:abstractNumId w:val="16"/>
  </w:num>
  <w:num w:numId="24">
    <w:abstractNumId w:val="21"/>
  </w:num>
  <w:num w:numId="25">
    <w:abstractNumId w:val="23"/>
  </w:num>
  <w:num w:numId="26">
    <w:abstractNumId w:val="2"/>
  </w:num>
  <w:num w:numId="27">
    <w:abstractNumId w:val="4"/>
  </w:num>
  <w:num w:numId="28">
    <w:abstractNumId w:val="13"/>
  </w:num>
  <w:num w:numId="29">
    <w:abstractNumId w:val="17"/>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207B9"/>
    <w:rsid w:val="000208E5"/>
    <w:rsid w:val="000323AF"/>
    <w:rsid w:val="00037533"/>
    <w:rsid w:val="0004154C"/>
    <w:rsid w:val="0004755F"/>
    <w:rsid w:val="000519C2"/>
    <w:rsid w:val="00081C90"/>
    <w:rsid w:val="0009567D"/>
    <w:rsid w:val="00096223"/>
    <w:rsid w:val="000A2075"/>
    <w:rsid w:val="000B2751"/>
    <w:rsid w:val="000C3D02"/>
    <w:rsid w:val="000C4C39"/>
    <w:rsid w:val="000D3B74"/>
    <w:rsid w:val="000E62E9"/>
    <w:rsid w:val="00114F9B"/>
    <w:rsid w:val="001326E7"/>
    <w:rsid w:val="00134656"/>
    <w:rsid w:val="001406B4"/>
    <w:rsid w:val="0014298E"/>
    <w:rsid w:val="00143322"/>
    <w:rsid w:val="00145631"/>
    <w:rsid w:val="00146054"/>
    <w:rsid w:val="00175B96"/>
    <w:rsid w:val="00177CD8"/>
    <w:rsid w:val="00186642"/>
    <w:rsid w:val="001B25D3"/>
    <w:rsid w:val="001B4460"/>
    <w:rsid w:val="001C6CF5"/>
    <w:rsid w:val="001C6EE8"/>
    <w:rsid w:val="001C75CE"/>
    <w:rsid w:val="001E00DE"/>
    <w:rsid w:val="001E0F74"/>
    <w:rsid w:val="001F59DC"/>
    <w:rsid w:val="001F7272"/>
    <w:rsid w:val="00220404"/>
    <w:rsid w:val="00221910"/>
    <w:rsid w:val="00223AE5"/>
    <w:rsid w:val="00226565"/>
    <w:rsid w:val="00233D0B"/>
    <w:rsid w:val="002564F5"/>
    <w:rsid w:val="00280946"/>
    <w:rsid w:val="002D28E9"/>
    <w:rsid w:val="002D2D55"/>
    <w:rsid w:val="002E4C48"/>
    <w:rsid w:val="002E5377"/>
    <w:rsid w:val="002F7788"/>
    <w:rsid w:val="003136AC"/>
    <w:rsid w:val="00314E9E"/>
    <w:rsid w:val="0032606C"/>
    <w:rsid w:val="00327C3F"/>
    <w:rsid w:val="00332997"/>
    <w:rsid w:val="00332FAF"/>
    <w:rsid w:val="00337F9E"/>
    <w:rsid w:val="00364C85"/>
    <w:rsid w:val="0037392D"/>
    <w:rsid w:val="003740E4"/>
    <w:rsid w:val="003A7601"/>
    <w:rsid w:val="003E61A7"/>
    <w:rsid w:val="003F0DE4"/>
    <w:rsid w:val="00400ECB"/>
    <w:rsid w:val="00422E11"/>
    <w:rsid w:val="00430BBD"/>
    <w:rsid w:val="00434C00"/>
    <w:rsid w:val="00437F06"/>
    <w:rsid w:val="00440EAC"/>
    <w:rsid w:val="00440FED"/>
    <w:rsid w:val="00444F39"/>
    <w:rsid w:val="00445BED"/>
    <w:rsid w:val="0045138D"/>
    <w:rsid w:val="00456929"/>
    <w:rsid w:val="004666E6"/>
    <w:rsid w:val="00467FA7"/>
    <w:rsid w:val="004B7ED7"/>
    <w:rsid w:val="004C47BE"/>
    <w:rsid w:val="004C5558"/>
    <w:rsid w:val="004E0533"/>
    <w:rsid w:val="004E3227"/>
    <w:rsid w:val="004E3305"/>
    <w:rsid w:val="004F5B23"/>
    <w:rsid w:val="00514C83"/>
    <w:rsid w:val="00515A62"/>
    <w:rsid w:val="005171C8"/>
    <w:rsid w:val="00522BB5"/>
    <w:rsid w:val="00524169"/>
    <w:rsid w:val="005326D2"/>
    <w:rsid w:val="00535BCF"/>
    <w:rsid w:val="00550109"/>
    <w:rsid w:val="00557DE0"/>
    <w:rsid w:val="005667B6"/>
    <w:rsid w:val="005B4251"/>
    <w:rsid w:val="005C622E"/>
    <w:rsid w:val="005D33A7"/>
    <w:rsid w:val="005D34F5"/>
    <w:rsid w:val="005D5667"/>
    <w:rsid w:val="005F012E"/>
    <w:rsid w:val="00612D00"/>
    <w:rsid w:val="006131C7"/>
    <w:rsid w:val="0063081E"/>
    <w:rsid w:val="0063269A"/>
    <w:rsid w:val="00634F7F"/>
    <w:rsid w:val="00650486"/>
    <w:rsid w:val="00661167"/>
    <w:rsid w:val="006744C1"/>
    <w:rsid w:val="00687FF8"/>
    <w:rsid w:val="006973E4"/>
    <w:rsid w:val="006A3390"/>
    <w:rsid w:val="006B087B"/>
    <w:rsid w:val="006B761C"/>
    <w:rsid w:val="006C005E"/>
    <w:rsid w:val="0070563E"/>
    <w:rsid w:val="007078EB"/>
    <w:rsid w:val="00715D41"/>
    <w:rsid w:val="00757649"/>
    <w:rsid w:val="00762322"/>
    <w:rsid w:val="0077766D"/>
    <w:rsid w:val="00792251"/>
    <w:rsid w:val="00792930"/>
    <w:rsid w:val="007B4CED"/>
    <w:rsid w:val="007C288F"/>
    <w:rsid w:val="007D16D1"/>
    <w:rsid w:val="007E7F18"/>
    <w:rsid w:val="00800692"/>
    <w:rsid w:val="008130AB"/>
    <w:rsid w:val="008312E4"/>
    <w:rsid w:val="00851F11"/>
    <w:rsid w:val="00882994"/>
    <w:rsid w:val="008929D4"/>
    <w:rsid w:val="008B2920"/>
    <w:rsid w:val="008C2889"/>
    <w:rsid w:val="008C457A"/>
    <w:rsid w:val="008E25AB"/>
    <w:rsid w:val="008E2776"/>
    <w:rsid w:val="00901E8F"/>
    <w:rsid w:val="00902F5D"/>
    <w:rsid w:val="00907534"/>
    <w:rsid w:val="00920CA4"/>
    <w:rsid w:val="00931F5C"/>
    <w:rsid w:val="00944FC0"/>
    <w:rsid w:val="0095129E"/>
    <w:rsid w:val="009514D8"/>
    <w:rsid w:val="009653B3"/>
    <w:rsid w:val="00971D31"/>
    <w:rsid w:val="009A74B9"/>
    <w:rsid w:val="009D34DA"/>
    <w:rsid w:val="009D4A11"/>
    <w:rsid w:val="009D6E32"/>
    <w:rsid w:val="009F7477"/>
    <w:rsid w:val="00A12D7D"/>
    <w:rsid w:val="00A12E28"/>
    <w:rsid w:val="00A13A45"/>
    <w:rsid w:val="00A33280"/>
    <w:rsid w:val="00A40639"/>
    <w:rsid w:val="00A41692"/>
    <w:rsid w:val="00A443C8"/>
    <w:rsid w:val="00A54EA3"/>
    <w:rsid w:val="00A57F5A"/>
    <w:rsid w:val="00A61EE0"/>
    <w:rsid w:val="00A657A0"/>
    <w:rsid w:val="00A835F2"/>
    <w:rsid w:val="00A9291D"/>
    <w:rsid w:val="00A93842"/>
    <w:rsid w:val="00AB2E89"/>
    <w:rsid w:val="00AD1780"/>
    <w:rsid w:val="00AE75A1"/>
    <w:rsid w:val="00AE7FE4"/>
    <w:rsid w:val="00AF3A40"/>
    <w:rsid w:val="00AF4F0A"/>
    <w:rsid w:val="00B00911"/>
    <w:rsid w:val="00B23AAD"/>
    <w:rsid w:val="00B317E5"/>
    <w:rsid w:val="00B66EBB"/>
    <w:rsid w:val="00B8255E"/>
    <w:rsid w:val="00B83BCC"/>
    <w:rsid w:val="00B931F1"/>
    <w:rsid w:val="00BA41B4"/>
    <w:rsid w:val="00BA4CF4"/>
    <w:rsid w:val="00BC41E1"/>
    <w:rsid w:val="00BC66AE"/>
    <w:rsid w:val="00BD25D3"/>
    <w:rsid w:val="00BD72EC"/>
    <w:rsid w:val="00C10933"/>
    <w:rsid w:val="00C12998"/>
    <w:rsid w:val="00C134D7"/>
    <w:rsid w:val="00C25D9A"/>
    <w:rsid w:val="00C35487"/>
    <w:rsid w:val="00C37A61"/>
    <w:rsid w:val="00C430D7"/>
    <w:rsid w:val="00C555B3"/>
    <w:rsid w:val="00C55A9F"/>
    <w:rsid w:val="00C64C45"/>
    <w:rsid w:val="00C657FD"/>
    <w:rsid w:val="00C70359"/>
    <w:rsid w:val="00C854AF"/>
    <w:rsid w:val="00C903CB"/>
    <w:rsid w:val="00C91172"/>
    <w:rsid w:val="00CB1B2D"/>
    <w:rsid w:val="00CB512A"/>
    <w:rsid w:val="00CD071B"/>
    <w:rsid w:val="00CD17E5"/>
    <w:rsid w:val="00CD558E"/>
    <w:rsid w:val="00D015F3"/>
    <w:rsid w:val="00D36450"/>
    <w:rsid w:val="00D44B97"/>
    <w:rsid w:val="00D45758"/>
    <w:rsid w:val="00D50132"/>
    <w:rsid w:val="00D6414F"/>
    <w:rsid w:val="00DA79B0"/>
    <w:rsid w:val="00DC1372"/>
    <w:rsid w:val="00DD74C9"/>
    <w:rsid w:val="00DE1900"/>
    <w:rsid w:val="00E00AD1"/>
    <w:rsid w:val="00E042B3"/>
    <w:rsid w:val="00E10D96"/>
    <w:rsid w:val="00E2575A"/>
    <w:rsid w:val="00E6748A"/>
    <w:rsid w:val="00E732BA"/>
    <w:rsid w:val="00E76A62"/>
    <w:rsid w:val="00E80001"/>
    <w:rsid w:val="00EB082B"/>
    <w:rsid w:val="00EC0570"/>
    <w:rsid w:val="00EC0F0A"/>
    <w:rsid w:val="00EF0F60"/>
    <w:rsid w:val="00F0018B"/>
    <w:rsid w:val="00F1211E"/>
    <w:rsid w:val="00F20BC2"/>
    <w:rsid w:val="00F264D2"/>
    <w:rsid w:val="00F51E21"/>
    <w:rsid w:val="00F542E2"/>
    <w:rsid w:val="00F61151"/>
    <w:rsid w:val="00F87898"/>
    <w:rsid w:val="00F93C20"/>
    <w:rsid w:val="00FB6552"/>
    <w:rsid w:val="00FC2374"/>
    <w:rsid w:val="00FD18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44B9BC"/>
  <w15:docId w15:val="{177514EB-8945-43F6-B9F4-96B06AC1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rsid w:val="00A54EA3"/>
    <w:rPr>
      <w:color w:val="808080"/>
    </w:rPr>
  </w:style>
  <w:style w:type="paragraph" w:customStyle="1" w:styleId="Dataanalysisheaders">
    <w:name w:val="Data analysis headers"/>
    <w:basedOn w:val="ListParagraph"/>
    <w:link w:val="DataanalysisheadersChar"/>
    <w:qFormat/>
    <w:rsid w:val="00902F5D"/>
    <w:pPr>
      <w:numPr>
        <w:numId w:val="18"/>
      </w:numPr>
      <w:ind w:left="357" w:hanging="357"/>
    </w:pPr>
    <w:rPr>
      <w:b/>
    </w:rPr>
  </w:style>
  <w:style w:type="character" w:customStyle="1" w:styleId="ListParagraphChar">
    <w:name w:val="List Paragraph Char"/>
    <w:basedOn w:val="DefaultParagraphFont"/>
    <w:link w:val="ListParagraph"/>
    <w:uiPriority w:val="34"/>
    <w:rsid w:val="00902F5D"/>
    <w:rPr>
      <w:rFonts w:ascii="Arial" w:eastAsiaTheme="minorHAnsi" w:hAnsi="Arial" w:cstheme="minorBidi"/>
      <w:szCs w:val="24"/>
    </w:rPr>
  </w:style>
  <w:style w:type="character" w:customStyle="1" w:styleId="DataanalysisheadersChar">
    <w:name w:val="Data analysis headers Char"/>
    <w:basedOn w:val="ListParagraphChar"/>
    <w:link w:val="Dataanalysisheaders"/>
    <w:rsid w:val="00902F5D"/>
    <w:rPr>
      <w:rFonts w:ascii="Arial" w:eastAsiaTheme="minorHAnsi" w:hAnsi="Arial" w:cstheme="minorBidi"/>
      <w:szCs w:val="24"/>
    </w:rPr>
  </w:style>
  <w:style w:type="paragraph" w:styleId="NormalWeb">
    <w:name w:val="Normal (Web)"/>
    <w:basedOn w:val="Normal"/>
    <w:uiPriority w:val="99"/>
    <w:semiHidden/>
    <w:unhideWhenUsed/>
    <w:rsid w:val="00233D0B"/>
    <w:pPr>
      <w:spacing w:before="100" w:beforeAutospacing="1" w:after="100" w:afterAutospacing="1" w:line="240" w:lineRule="auto"/>
      <w:jc w:val="left"/>
    </w:pPr>
    <w:rPr>
      <w:rFonts w:ascii="Times New Roman" w:eastAsia="Times New Roman" w:hAnsi="Times New Roman"/>
      <w:sz w:val="24"/>
      <w:lang w:val="en-GB" w:eastAsia="en-GB"/>
    </w:rPr>
  </w:style>
  <w:style w:type="character" w:styleId="UnresolvedMention">
    <w:name w:val="Unresolved Mention"/>
    <w:basedOn w:val="DefaultParagraphFont"/>
    <w:uiPriority w:val="99"/>
    <w:semiHidden/>
    <w:unhideWhenUsed/>
    <w:rsid w:val="0008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45507">
      <w:bodyDiv w:val="1"/>
      <w:marLeft w:val="0"/>
      <w:marRight w:val="0"/>
      <w:marTop w:val="0"/>
      <w:marBottom w:val="0"/>
      <w:divBdr>
        <w:top w:val="none" w:sz="0" w:space="0" w:color="auto"/>
        <w:left w:val="none" w:sz="0" w:space="0" w:color="auto"/>
        <w:bottom w:val="none" w:sz="0" w:space="0" w:color="auto"/>
        <w:right w:val="none" w:sz="0" w:space="0" w:color="auto"/>
      </w:divBdr>
    </w:div>
    <w:div w:id="922881559">
      <w:bodyDiv w:val="1"/>
      <w:marLeft w:val="0"/>
      <w:marRight w:val="0"/>
      <w:marTop w:val="0"/>
      <w:marBottom w:val="0"/>
      <w:divBdr>
        <w:top w:val="none" w:sz="0" w:space="0" w:color="auto"/>
        <w:left w:val="none" w:sz="0" w:space="0" w:color="auto"/>
        <w:bottom w:val="none" w:sz="0" w:space="0" w:color="auto"/>
        <w:right w:val="none" w:sz="0" w:space="0" w:color="auto"/>
      </w:divBdr>
    </w:div>
    <w:div w:id="956105669">
      <w:bodyDiv w:val="1"/>
      <w:marLeft w:val="0"/>
      <w:marRight w:val="0"/>
      <w:marTop w:val="0"/>
      <w:marBottom w:val="0"/>
      <w:divBdr>
        <w:top w:val="none" w:sz="0" w:space="0" w:color="auto"/>
        <w:left w:val="none" w:sz="0" w:space="0" w:color="auto"/>
        <w:bottom w:val="none" w:sz="0" w:space="0" w:color="auto"/>
        <w:right w:val="none" w:sz="0" w:space="0" w:color="auto"/>
      </w:divBdr>
    </w:div>
    <w:div w:id="1537159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am.co.jp/contact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n/contact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bcam.com/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0FCE-83C6-415C-8097-5BFF8355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Cheryl Fuller</cp:lastModifiedBy>
  <cp:revision>2</cp:revision>
  <cp:lastPrinted>2013-04-11T14:14:00Z</cp:lastPrinted>
  <dcterms:created xsi:type="dcterms:W3CDTF">2022-11-03T13:47:00Z</dcterms:created>
  <dcterms:modified xsi:type="dcterms:W3CDTF">2022-11-03T13:47:00Z</dcterms:modified>
</cp:coreProperties>
</file>