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59CB" w14:textId="77777777" w:rsidR="00DC1372" w:rsidRPr="006E17B3" w:rsidRDefault="001326E7" w:rsidP="00DC1372">
      <w:pPr>
        <w:rPr>
          <w:rFonts w:cs="Arial"/>
          <w:lang w:val="en-GB"/>
        </w:rPr>
      </w:pPr>
      <w:r>
        <w:rPr>
          <w:rFonts w:cs="Arial"/>
          <w:noProof/>
          <w:lang w:val="en-GB" w:eastAsia="en-GB"/>
        </w:rPr>
        <w:drawing>
          <wp:anchor distT="0" distB="0" distL="114300" distR="114300" simplePos="0" relativeHeight="251657728" behindDoc="1" locked="0" layoutInCell="1" allowOverlap="1" wp14:anchorId="0BE30B9F" wp14:editId="20418DB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19D38B14" w14:textId="77777777" w:rsidR="00DC1372" w:rsidRPr="006E17B3" w:rsidRDefault="00DC1372"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C1372" w14:paraId="2AF9B7DA" w14:textId="77777777" w:rsidTr="00C12998">
        <w:trPr>
          <w:trHeight w:hRule="exact" w:val="3402"/>
        </w:trPr>
        <w:tc>
          <w:tcPr>
            <w:tcW w:w="6096" w:type="dxa"/>
            <w:vAlign w:val="center"/>
          </w:tcPr>
          <w:p w14:paraId="6F140B47" w14:textId="77777777" w:rsidR="00A04347" w:rsidRPr="00A04347" w:rsidRDefault="00DD3F8B" w:rsidP="00A04347">
            <w:pPr>
              <w:ind w:left="34"/>
              <w:jc w:val="left"/>
              <w:rPr>
                <w:b/>
                <w:sz w:val="48"/>
              </w:rPr>
            </w:pPr>
            <w:r>
              <w:rPr>
                <w:b/>
                <w:sz w:val="48"/>
              </w:rPr>
              <w:t>ab155900</w:t>
            </w:r>
          </w:p>
          <w:p w14:paraId="6F01968E" w14:textId="77777777" w:rsidR="00DC1372" w:rsidRPr="00DC1372" w:rsidRDefault="00DD3F8B" w:rsidP="005610F8">
            <w:pPr>
              <w:ind w:left="34"/>
              <w:jc w:val="left"/>
              <w:rPr>
                <w:b/>
                <w:sz w:val="48"/>
              </w:rPr>
            </w:pPr>
            <w:r w:rsidRPr="00DD3F8B">
              <w:rPr>
                <w:b/>
                <w:bCs/>
                <w:sz w:val="48"/>
                <w:lang w:val="en-GB"/>
              </w:rPr>
              <w:t xml:space="preserve">Xanthine/Hypoxanthine Assay Kit   </w:t>
            </w:r>
          </w:p>
        </w:tc>
      </w:tr>
    </w:tbl>
    <w:p w14:paraId="195D2B82" w14:textId="10993557" w:rsidR="002427FD" w:rsidRDefault="00DC1372" w:rsidP="002427FD">
      <w:pPr>
        <w:jc w:val="left"/>
        <w:rPr>
          <w:rFonts w:cs="Arial"/>
          <w:sz w:val="24"/>
          <w:lang w:val="en-GB"/>
        </w:rPr>
      </w:pPr>
      <w:r w:rsidRPr="00E30980">
        <w:rPr>
          <w:rFonts w:cs="Arial"/>
          <w:sz w:val="24"/>
          <w:lang w:val="en-GB"/>
        </w:rPr>
        <w:t>Instructions for Use</w:t>
      </w:r>
      <w:r w:rsidR="00054443">
        <w:rPr>
          <w:rFonts w:cs="Arial"/>
          <w:sz w:val="24"/>
          <w:lang w:val="en-GB"/>
        </w:rPr>
        <w:t xml:space="preserve"> </w:t>
      </w:r>
    </w:p>
    <w:p w14:paraId="5F86EAAE" w14:textId="5AE15E3A" w:rsidR="00DC1372" w:rsidRPr="00E30980" w:rsidRDefault="00A04347" w:rsidP="002427FD">
      <w:pPr>
        <w:jc w:val="left"/>
        <w:rPr>
          <w:rFonts w:cs="Arial"/>
          <w:sz w:val="28"/>
          <w:szCs w:val="28"/>
          <w:lang w:val="en-GB"/>
        </w:rPr>
      </w:pPr>
      <w:r w:rsidRPr="00E30980">
        <w:rPr>
          <w:rFonts w:cs="Arial"/>
          <w:szCs w:val="20"/>
        </w:rPr>
        <w:t xml:space="preserve">For the sensitive and accurate measurement of </w:t>
      </w:r>
      <w:r w:rsidR="00DD3F8B" w:rsidRPr="00E30980">
        <w:rPr>
          <w:rFonts w:cs="Arial"/>
          <w:szCs w:val="20"/>
        </w:rPr>
        <w:t>Xanthine/Hypoxanthine in various tissues/cells and body fluids and the analysis of purine metabolism and cell signaling.</w:t>
      </w:r>
      <w:hyperlink w:history="1">
        <w:r w:rsidR="002427FD" w:rsidRPr="00885B74">
          <w:rPr>
            <w:rStyle w:val="Hyperlink"/>
            <w:sz w:val="18"/>
            <w:szCs w:val="18"/>
          </w:rPr>
          <w:br/>
          <w:t>View kit datasheet: www.abcam.com/ab155900</w:t>
        </w:r>
      </w:hyperlink>
      <w:r w:rsidRPr="00E30980">
        <w:rPr>
          <w:sz w:val="10"/>
          <w:szCs w:val="18"/>
        </w:rPr>
        <w:br/>
      </w:r>
      <w:r w:rsidRPr="00E30980">
        <w:rPr>
          <w:sz w:val="12"/>
          <w:szCs w:val="20"/>
        </w:rPr>
        <w:t xml:space="preserve">(use </w:t>
      </w:r>
      <w:hyperlink r:id="rId9">
        <w:r w:rsidRPr="00E30980">
          <w:rPr>
            <w:color w:val="0000FF" w:themeColor="hyperlink"/>
            <w:sz w:val="12"/>
            <w:szCs w:val="20"/>
            <w:u w:val="single"/>
          </w:rPr>
          <w:t>www.abcam.cn/ab155900</w:t>
        </w:r>
      </w:hyperlink>
      <w:r w:rsidRPr="00E30980">
        <w:rPr>
          <w:sz w:val="12"/>
          <w:szCs w:val="20"/>
        </w:rPr>
        <w:t xml:space="preserve"> for China, or </w:t>
      </w:r>
      <w:hyperlink r:id="rId10">
        <w:r w:rsidRPr="00E30980">
          <w:rPr>
            <w:color w:val="0000FF" w:themeColor="hyperlink"/>
            <w:sz w:val="12"/>
            <w:szCs w:val="20"/>
            <w:u w:val="single"/>
          </w:rPr>
          <w:t>www.abcam.co.jp/ab155900</w:t>
        </w:r>
      </w:hyperlink>
      <w:r w:rsidRPr="00E30980">
        <w:rPr>
          <w:sz w:val="12"/>
          <w:szCs w:val="20"/>
        </w:rPr>
        <w:t xml:space="preserve"> for Japan)</w:t>
      </w:r>
    </w:p>
    <w:p w14:paraId="55E60CB8" w14:textId="77777777" w:rsidR="00DC1372" w:rsidRPr="00E30980" w:rsidRDefault="00DC1372" w:rsidP="00DC1372">
      <w:pPr>
        <w:autoSpaceDE w:val="0"/>
        <w:autoSpaceDN w:val="0"/>
        <w:adjustRightInd w:val="0"/>
        <w:spacing w:before="0" w:line="240" w:lineRule="auto"/>
        <w:jc w:val="left"/>
        <w:rPr>
          <w:rFonts w:cs="Arial"/>
          <w:szCs w:val="20"/>
        </w:rPr>
      </w:pPr>
    </w:p>
    <w:p w14:paraId="20DD4070" w14:textId="68453F94" w:rsidR="002427FD" w:rsidRDefault="00DC1372" w:rsidP="00DC1372">
      <w:pPr>
        <w:autoSpaceDE w:val="0"/>
        <w:autoSpaceDN w:val="0"/>
        <w:adjustRightInd w:val="0"/>
        <w:spacing w:before="0" w:line="240" w:lineRule="auto"/>
        <w:jc w:val="left"/>
        <w:rPr>
          <w:rFonts w:cs="Arial"/>
          <w:szCs w:val="20"/>
        </w:rPr>
      </w:pPr>
      <w:r w:rsidRPr="00E30980">
        <w:rPr>
          <w:rFonts w:cs="Arial"/>
          <w:szCs w:val="20"/>
        </w:rPr>
        <w:t>This product is for research use only and is not intended for diagnostic use.</w:t>
      </w:r>
    </w:p>
    <w:p w14:paraId="52DF0FEF" w14:textId="77777777" w:rsidR="002427FD" w:rsidRDefault="002427FD" w:rsidP="00DC1372">
      <w:pPr>
        <w:autoSpaceDE w:val="0"/>
        <w:autoSpaceDN w:val="0"/>
        <w:adjustRightInd w:val="0"/>
        <w:spacing w:before="0" w:line="240" w:lineRule="auto"/>
        <w:jc w:val="left"/>
        <w:rPr>
          <w:rFonts w:cs="Arial"/>
          <w:szCs w:val="20"/>
        </w:rPr>
      </w:pPr>
    </w:p>
    <w:p w14:paraId="12BAEC19" w14:textId="78FA35FE" w:rsidR="00E30980" w:rsidRPr="00E30980" w:rsidRDefault="002427FD" w:rsidP="00DC1372">
      <w:pPr>
        <w:autoSpaceDE w:val="0"/>
        <w:autoSpaceDN w:val="0"/>
        <w:adjustRightInd w:val="0"/>
        <w:spacing w:before="0" w:line="240" w:lineRule="auto"/>
        <w:jc w:val="left"/>
        <w:rPr>
          <w:rFonts w:cs="Arial"/>
          <w:szCs w:val="20"/>
        </w:rPr>
      </w:pPr>
      <w:r w:rsidRPr="002427FD">
        <w:rPr>
          <w:rFonts w:cs="Arial"/>
          <w:szCs w:val="20"/>
        </w:rPr>
        <w:t xml:space="preserve">PLEASE NOTE: With the acquisition of </w:t>
      </w:r>
      <w:proofErr w:type="spellStart"/>
      <w:r w:rsidRPr="002427FD">
        <w:rPr>
          <w:rFonts w:cs="Arial"/>
          <w:szCs w:val="20"/>
        </w:rPr>
        <w:t>BioVision</w:t>
      </w:r>
      <w:proofErr w:type="spellEnd"/>
      <w:r w:rsidRPr="002427FD">
        <w:rPr>
          <w:rFonts w:cs="Arial"/>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3978A3C9" w14:textId="77777777" w:rsidR="008B2920" w:rsidRPr="0096591D" w:rsidRDefault="004E7C53">
      <w:pPr>
        <w:spacing w:before="0" w:line="240" w:lineRule="auto"/>
        <w:jc w:val="left"/>
        <w:rPr>
          <w:rFonts w:cs="Arial"/>
          <w:sz w:val="28"/>
          <w:szCs w:val="28"/>
        </w:rPr>
      </w:pPr>
      <w:r>
        <w:rPr>
          <w:rFonts w:cs="Arial"/>
          <w:sz w:val="28"/>
          <w:szCs w:val="28"/>
        </w:rPr>
        <w:br w:type="page"/>
      </w:r>
      <w:r w:rsidR="008B2920">
        <w:rPr>
          <w:rFonts w:cs="Arial"/>
          <w:lang w:val="en-AU"/>
        </w:rPr>
        <w:lastRenderedPageBreak/>
        <w:br w:type="page"/>
      </w:r>
    </w:p>
    <w:p w14:paraId="64301F39" w14:textId="77777777" w:rsidR="009C1E8B" w:rsidRDefault="009C1E8B" w:rsidP="009C1E8B">
      <w:pPr>
        <w:pStyle w:val="Heading1"/>
        <w:numPr>
          <w:ilvl w:val="0"/>
          <w:numId w:val="0"/>
        </w:numPr>
        <w:spacing w:before="0"/>
      </w:pPr>
      <w:bookmarkStart w:id="0" w:name="_Toc315440409"/>
      <w:bookmarkStart w:id="1" w:name="_Toc318703571"/>
      <w:bookmarkStart w:id="2" w:name="_Toc328465706"/>
      <w:r>
        <w:lastRenderedPageBreak/>
        <w:t>Table of Contents</w:t>
      </w:r>
      <w:bookmarkEnd w:id="0"/>
      <w:bookmarkEnd w:id="1"/>
      <w:bookmarkEnd w:id="2"/>
    </w:p>
    <w:p w14:paraId="252AB94E" w14:textId="77777777" w:rsidR="00A04347" w:rsidRDefault="009F2DAB">
      <w:pPr>
        <w:pStyle w:val="TOC1"/>
        <w:rPr>
          <w:rFonts w:asciiTheme="minorHAnsi" w:eastAsiaTheme="minorEastAsia" w:hAnsiTheme="minorHAnsi" w:cstheme="minorBidi"/>
          <w:noProof/>
          <w:sz w:val="22"/>
          <w:szCs w:val="22"/>
        </w:rPr>
      </w:pPr>
      <w:r>
        <w:fldChar w:fldCharType="begin"/>
      </w:r>
      <w:r w:rsidR="00A04347">
        <w:instrText xml:space="preserve"> TOC  \* MERGEFORMAT </w:instrText>
      </w:r>
      <w:r>
        <w:fldChar w:fldCharType="separate"/>
      </w:r>
      <w:r w:rsidR="00A04347" w:rsidRPr="00F74C3D">
        <w:rPr>
          <w:rFonts w:cs="Wingdings"/>
          <w:noProof/>
          <w:snapToGrid w:val="0"/>
          <w:color w:val="000000"/>
          <w:w w:val="0"/>
        </w:rPr>
        <w:t>1.</w:t>
      </w:r>
      <w:r w:rsidR="00A04347">
        <w:rPr>
          <w:rFonts w:asciiTheme="minorHAnsi" w:eastAsiaTheme="minorEastAsia" w:hAnsiTheme="minorHAnsi" w:cstheme="minorBidi"/>
          <w:noProof/>
          <w:sz w:val="22"/>
          <w:szCs w:val="22"/>
        </w:rPr>
        <w:tab/>
      </w:r>
      <w:r w:rsidR="00A04347">
        <w:rPr>
          <w:noProof/>
        </w:rPr>
        <w:t>Overview</w:t>
      </w:r>
      <w:r w:rsidR="00A04347">
        <w:rPr>
          <w:noProof/>
        </w:rPr>
        <w:tab/>
      </w:r>
      <w:r>
        <w:rPr>
          <w:noProof/>
        </w:rPr>
        <w:fldChar w:fldCharType="begin"/>
      </w:r>
      <w:r w:rsidR="00A04347">
        <w:rPr>
          <w:noProof/>
        </w:rPr>
        <w:instrText xml:space="preserve"> PAGEREF _Toc328465707 \h </w:instrText>
      </w:r>
      <w:r>
        <w:rPr>
          <w:noProof/>
        </w:rPr>
      </w:r>
      <w:r>
        <w:rPr>
          <w:noProof/>
        </w:rPr>
        <w:fldChar w:fldCharType="separate"/>
      </w:r>
      <w:r w:rsidR="00931DD8">
        <w:rPr>
          <w:noProof/>
        </w:rPr>
        <w:t>3</w:t>
      </w:r>
      <w:r>
        <w:rPr>
          <w:noProof/>
        </w:rPr>
        <w:fldChar w:fldCharType="end"/>
      </w:r>
    </w:p>
    <w:p w14:paraId="7313B8E1" w14:textId="77777777" w:rsidR="00A04347" w:rsidRDefault="00A04347">
      <w:pPr>
        <w:pStyle w:val="TOC1"/>
        <w:rPr>
          <w:rFonts w:asciiTheme="minorHAnsi" w:eastAsiaTheme="minorEastAsia" w:hAnsiTheme="minorHAnsi" w:cstheme="minorBidi"/>
          <w:noProof/>
          <w:sz w:val="22"/>
          <w:szCs w:val="22"/>
        </w:rPr>
      </w:pPr>
      <w:r w:rsidRPr="00F74C3D">
        <w:rPr>
          <w:rFonts w:cs="Wingdings"/>
          <w:noProof/>
          <w:snapToGrid w:val="0"/>
          <w:color w:val="000000"/>
          <w:w w:val="0"/>
        </w:rPr>
        <w:t>2.</w:t>
      </w:r>
      <w:r>
        <w:rPr>
          <w:rFonts w:asciiTheme="minorHAnsi" w:eastAsiaTheme="minorEastAsia" w:hAnsiTheme="minorHAnsi" w:cstheme="minorBidi"/>
          <w:noProof/>
          <w:sz w:val="22"/>
          <w:szCs w:val="22"/>
        </w:rPr>
        <w:tab/>
      </w:r>
      <w:r>
        <w:rPr>
          <w:noProof/>
        </w:rPr>
        <w:t>Protocol Summary</w:t>
      </w:r>
      <w:r>
        <w:rPr>
          <w:noProof/>
        </w:rPr>
        <w:tab/>
      </w:r>
      <w:r w:rsidR="009F2DAB">
        <w:rPr>
          <w:noProof/>
        </w:rPr>
        <w:fldChar w:fldCharType="begin"/>
      </w:r>
      <w:r>
        <w:rPr>
          <w:noProof/>
        </w:rPr>
        <w:instrText xml:space="preserve"> PAGEREF _Toc328465708 \h </w:instrText>
      </w:r>
      <w:r w:rsidR="009F2DAB">
        <w:rPr>
          <w:noProof/>
        </w:rPr>
      </w:r>
      <w:r w:rsidR="009F2DAB">
        <w:rPr>
          <w:noProof/>
        </w:rPr>
        <w:fldChar w:fldCharType="separate"/>
      </w:r>
      <w:r w:rsidR="00931DD8">
        <w:rPr>
          <w:noProof/>
        </w:rPr>
        <w:t>4</w:t>
      </w:r>
      <w:r w:rsidR="009F2DAB">
        <w:rPr>
          <w:noProof/>
        </w:rPr>
        <w:fldChar w:fldCharType="end"/>
      </w:r>
    </w:p>
    <w:p w14:paraId="56A87DE2" w14:textId="77777777" w:rsidR="00A04347" w:rsidRDefault="00A04347">
      <w:pPr>
        <w:pStyle w:val="TOC1"/>
        <w:rPr>
          <w:rFonts w:asciiTheme="minorHAnsi" w:eastAsiaTheme="minorEastAsia" w:hAnsiTheme="minorHAnsi" w:cstheme="minorBidi"/>
          <w:noProof/>
          <w:sz w:val="22"/>
          <w:szCs w:val="22"/>
        </w:rPr>
      </w:pPr>
      <w:r w:rsidRPr="00F74C3D">
        <w:rPr>
          <w:rFonts w:cs="Wingdings"/>
          <w:noProof/>
          <w:snapToGrid w:val="0"/>
          <w:color w:val="000000"/>
          <w:w w:val="0"/>
        </w:rPr>
        <w:t>3.</w:t>
      </w:r>
      <w:r>
        <w:rPr>
          <w:rFonts w:asciiTheme="minorHAnsi" w:eastAsiaTheme="minorEastAsia" w:hAnsiTheme="minorHAnsi" w:cstheme="minorBidi"/>
          <w:noProof/>
          <w:sz w:val="22"/>
          <w:szCs w:val="22"/>
        </w:rPr>
        <w:tab/>
      </w:r>
      <w:r>
        <w:rPr>
          <w:noProof/>
        </w:rPr>
        <w:t>Components and Storage</w:t>
      </w:r>
      <w:r>
        <w:rPr>
          <w:noProof/>
        </w:rPr>
        <w:tab/>
      </w:r>
      <w:r w:rsidR="009F2DAB">
        <w:rPr>
          <w:noProof/>
        </w:rPr>
        <w:fldChar w:fldCharType="begin"/>
      </w:r>
      <w:r>
        <w:rPr>
          <w:noProof/>
        </w:rPr>
        <w:instrText xml:space="preserve"> PAGEREF _Toc328465709 \h </w:instrText>
      </w:r>
      <w:r w:rsidR="009F2DAB">
        <w:rPr>
          <w:noProof/>
        </w:rPr>
      </w:r>
      <w:r w:rsidR="009F2DAB">
        <w:rPr>
          <w:noProof/>
        </w:rPr>
        <w:fldChar w:fldCharType="separate"/>
      </w:r>
      <w:r w:rsidR="00931DD8">
        <w:rPr>
          <w:noProof/>
        </w:rPr>
        <w:t>5</w:t>
      </w:r>
      <w:r w:rsidR="009F2DAB">
        <w:rPr>
          <w:noProof/>
        </w:rPr>
        <w:fldChar w:fldCharType="end"/>
      </w:r>
    </w:p>
    <w:p w14:paraId="18F2218B" w14:textId="77777777" w:rsidR="00A04347" w:rsidRDefault="00A04347">
      <w:pPr>
        <w:pStyle w:val="TOC1"/>
        <w:rPr>
          <w:rFonts w:asciiTheme="minorHAnsi" w:eastAsiaTheme="minorEastAsia" w:hAnsiTheme="minorHAnsi" w:cstheme="minorBidi"/>
          <w:noProof/>
          <w:sz w:val="22"/>
          <w:szCs w:val="22"/>
        </w:rPr>
      </w:pPr>
      <w:r w:rsidRPr="00F74C3D">
        <w:rPr>
          <w:rFonts w:cs="Wingdings"/>
          <w:noProof/>
          <w:snapToGrid w:val="0"/>
          <w:color w:val="000000"/>
          <w:w w:val="0"/>
        </w:rPr>
        <w:t>4.</w:t>
      </w:r>
      <w:r>
        <w:rPr>
          <w:rFonts w:asciiTheme="minorHAnsi" w:eastAsiaTheme="minorEastAsia" w:hAnsiTheme="minorHAnsi" w:cstheme="minorBidi"/>
          <w:noProof/>
          <w:sz w:val="22"/>
          <w:szCs w:val="22"/>
        </w:rPr>
        <w:tab/>
      </w:r>
      <w:r>
        <w:rPr>
          <w:noProof/>
        </w:rPr>
        <w:t>Assay Protocol</w:t>
      </w:r>
      <w:r>
        <w:rPr>
          <w:noProof/>
        </w:rPr>
        <w:tab/>
      </w:r>
      <w:r w:rsidR="009F2DAB">
        <w:rPr>
          <w:noProof/>
        </w:rPr>
        <w:fldChar w:fldCharType="begin"/>
      </w:r>
      <w:r>
        <w:rPr>
          <w:noProof/>
        </w:rPr>
        <w:instrText xml:space="preserve"> PAGEREF _Toc328465710 \h </w:instrText>
      </w:r>
      <w:r w:rsidR="009F2DAB">
        <w:rPr>
          <w:noProof/>
        </w:rPr>
      </w:r>
      <w:r w:rsidR="009F2DAB">
        <w:rPr>
          <w:noProof/>
        </w:rPr>
        <w:fldChar w:fldCharType="separate"/>
      </w:r>
      <w:r w:rsidR="00931DD8">
        <w:rPr>
          <w:noProof/>
        </w:rPr>
        <w:t>7</w:t>
      </w:r>
      <w:r w:rsidR="009F2DAB">
        <w:rPr>
          <w:noProof/>
        </w:rPr>
        <w:fldChar w:fldCharType="end"/>
      </w:r>
    </w:p>
    <w:p w14:paraId="1BFD8E31" w14:textId="77777777" w:rsidR="00A04347" w:rsidRDefault="00A04347">
      <w:pPr>
        <w:pStyle w:val="TOC1"/>
        <w:rPr>
          <w:rFonts w:asciiTheme="minorHAnsi" w:eastAsiaTheme="minorEastAsia" w:hAnsiTheme="minorHAnsi" w:cstheme="minorBidi"/>
          <w:noProof/>
          <w:sz w:val="22"/>
          <w:szCs w:val="22"/>
        </w:rPr>
      </w:pPr>
      <w:r w:rsidRPr="00F74C3D">
        <w:rPr>
          <w:rFonts w:cs="Wingdings"/>
          <w:noProof/>
          <w:snapToGrid w:val="0"/>
          <w:color w:val="000000"/>
          <w:w w:val="0"/>
        </w:rPr>
        <w:t>5.</w:t>
      </w:r>
      <w:r>
        <w:rPr>
          <w:rFonts w:asciiTheme="minorHAnsi" w:eastAsiaTheme="minorEastAsia" w:hAnsiTheme="minorHAnsi" w:cstheme="minorBidi"/>
          <w:noProof/>
          <w:sz w:val="22"/>
          <w:szCs w:val="22"/>
        </w:rPr>
        <w:tab/>
      </w:r>
      <w:r>
        <w:rPr>
          <w:noProof/>
        </w:rPr>
        <w:t>Data Analysis</w:t>
      </w:r>
      <w:r>
        <w:rPr>
          <w:noProof/>
        </w:rPr>
        <w:tab/>
      </w:r>
      <w:r w:rsidR="009F2DAB">
        <w:rPr>
          <w:noProof/>
        </w:rPr>
        <w:fldChar w:fldCharType="begin"/>
      </w:r>
      <w:r>
        <w:rPr>
          <w:noProof/>
        </w:rPr>
        <w:instrText xml:space="preserve"> PAGEREF _Toc328465711 \h </w:instrText>
      </w:r>
      <w:r w:rsidR="009F2DAB">
        <w:rPr>
          <w:noProof/>
        </w:rPr>
      </w:r>
      <w:r w:rsidR="009F2DAB">
        <w:rPr>
          <w:noProof/>
        </w:rPr>
        <w:fldChar w:fldCharType="separate"/>
      </w:r>
      <w:r w:rsidR="00931DD8">
        <w:rPr>
          <w:noProof/>
        </w:rPr>
        <w:t>10</w:t>
      </w:r>
      <w:r w:rsidR="009F2DAB">
        <w:rPr>
          <w:noProof/>
        </w:rPr>
        <w:fldChar w:fldCharType="end"/>
      </w:r>
    </w:p>
    <w:p w14:paraId="6944A638" w14:textId="77777777" w:rsidR="00A04347" w:rsidRDefault="00A04347">
      <w:pPr>
        <w:pStyle w:val="TOC1"/>
        <w:rPr>
          <w:rFonts w:asciiTheme="minorHAnsi" w:eastAsiaTheme="minorEastAsia" w:hAnsiTheme="minorHAnsi" w:cstheme="minorBidi"/>
          <w:noProof/>
          <w:sz w:val="22"/>
          <w:szCs w:val="22"/>
        </w:rPr>
      </w:pPr>
      <w:r w:rsidRPr="00F74C3D">
        <w:rPr>
          <w:rFonts w:cs="Wingdings"/>
          <w:noProof/>
          <w:snapToGrid w:val="0"/>
          <w:color w:val="000000"/>
          <w:w w:val="0"/>
        </w:rPr>
        <w:t>6.</w:t>
      </w:r>
      <w:r>
        <w:rPr>
          <w:rFonts w:asciiTheme="minorHAnsi" w:eastAsiaTheme="minorEastAsia" w:hAnsiTheme="minorHAnsi" w:cstheme="minorBidi"/>
          <w:noProof/>
          <w:sz w:val="22"/>
          <w:szCs w:val="22"/>
        </w:rPr>
        <w:tab/>
      </w:r>
      <w:r>
        <w:rPr>
          <w:noProof/>
        </w:rPr>
        <w:t>Troubleshooting</w:t>
      </w:r>
      <w:r>
        <w:rPr>
          <w:noProof/>
        </w:rPr>
        <w:tab/>
      </w:r>
      <w:r w:rsidR="009F2DAB">
        <w:rPr>
          <w:noProof/>
        </w:rPr>
        <w:fldChar w:fldCharType="begin"/>
      </w:r>
      <w:r>
        <w:rPr>
          <w:noProof/>
        </w:rPr>
        <w:instrText xml:space="preserve"> PAGEREF _Toc328465712 \h </w:instrText>
      </w:r>
      <w:r w:rsidR="009F2DAB">
        <w:rPr>
          <w:noProof/>
        </w:rPr>
      </w:r>
      <w:r w:rsidR="009F2DAB">
        <w:rPr>
          <w:noProof/>
        </w:rPr>
        <w:fldChar w:fldCharType="separate"/>
      </w:r>
      <w:r w:rsidR="00931DD8">
        <w:rPr>
          <w:noProof/>
        </w:rPr>
        <w:t>12</w:t>
      </w:r>
      <w:r w:rsidR="009F2DAB">
        <w:rPr>
          <w:noProof/>
        </w:rPr>
        <w:fldChar w:fldCharType="end"/>
      </w:r>
    </w:p>
    <w:p w14:paraId="09A9A9EF" w14:textId="77777777" w:rsidR="009C1E8B" w:rsidRDefault="009F2DAB" w:rsidP="00A04347">
      <w:pPr>
        <w:pStyle w:val="TOC1"/>
        <w:rPr>
          <w:noProof/>
        </w:rPr>
      </w:pPr>
      <w:r>
        <w:fldChar w:fldCharType="end"/>
      </w:r>
      <w:r>
        <w:fldChar w:fldCharType="begin"/>
      </w:r>
      <w:r w:rsidR="009C1E8B">
        <w:instrText xml:space="preserve"> TOC \o "1-1" \u </w:instrText>
      </w:r>
      <w:r>
        <w:fldChar w:fldCharType="separate"/>
      </w:r>
    </w:p>
    <w:p w14:paraId="4CE8E567" w14:textId="77777777" w:rsidR="00A04347" w:rsidRDefault="00A04347">
      <w:pPr>
        <w:spacing w:before="0" w:line="240" w:lineRule="auto"/>
        <w:jc w:val="left"/>
        <w:rPr>
          <w:noProof/>
        </w:rPr>
      </w:pPr>
      <w:r>
        <w:rPr>
          <w:noProof/>
        </w:rPr>
        <w:br w:type="page"/>
      </w:r>
    </w:p>
    <w:p w14:paraId="1DB5875F" w14:textId="77777777" w:rsidR="009C1E8B" w:rsidRDefault="009F2DAB" w:rsidP="00A04347">
      <w:pPr>
        <w:pStyle w:val="Heading1"/>
        <w:spacing w:before="0"/>
        <w:ind w:left="502" w:hanging="502"/>
      </w:pPr>
      <w:r>
        <w:lastRenderedPageBreak/>
        <w:fldChar w:fldCharType="end"/>
      </w:r>
      <w:bookmarkStart w:id="3" w:name="_Toc315440410"/>
      <w:bookmarkStart w:id="4" w:name="_Toc318703572"/>
      <w:bookmarkStart w:id="5" w:name="_Toc328465707"/>
      <w:r w:rsidR="009C1E8B">
        <w:t>Overview</w:t>
      </w:r>
      <w:bookmarkEnd w:id="3"/>
      <w:bookmarkEnd w:id="4"/>
      <w:bookmarkEnd w:id="5"/>
    </w:p>
    <w:p w14:paraId="58171104" w14:textId="6AB8E72A" w:rsidR="00C33A74" w:rsidRDefault="00AD1D71" w:rsidP="009636A4">
      <w:pPr>
        <w:rPr>
          <w:noProof/>
          <w:lang w:val="en-GB" w:eastAsia="en-GB"/>
        </w:rPr>
      </w:pPr>
      <w:r w:rsidRPr="00AD1D71">
        <w:t xml:space="preserve">Xanthine, a catabolic product of purine metabolism, is present in body fluids, muscle tissue and certain plants. Structurally like caffeine, Xanthine has a stimulant effect and is used clinically to treat the congestive diseases such as asthma and chronic obstructive pulmonary disease. Xanthine is metabolized into uric acid and superoxide by Xanthine oxidase. Xanthine oxidase deficiency causes the rare genetic disorder-Xanthinuria, and leads to Xanthine accumulation in urine and blood, which ultimately progresses to renal failure. Recent studies show that Xanthine levels are elevated following ischemic injury, thus Xanthine can serve as a useful marker for tissue hypoxia. Early detection of Xanthine alteration in biological fluids is crucial for metabolic studies and for diagnostic and therapeutic monitoring. In </w:t>
      </w:r>
      <w:r>
        <w:t>Abcam</w:t>
      </w:r>
      <w:r w:rsidRPr="00AD1D71">
        <w:t xml:space="preserve">’s Xanthine/Hypoxanthine Assay kit, Xanthine/Hypoxanthine is specifically oxidized by the Xanthine </w:t>
      </w:r>
      <w:r w:rsidR="00E30980">
        <w:t>Development Enzyme Mix VIII/</w:t>
      </w:r>
      <w:r w:rsidRPr="00AD1D71">
        <w:t xml:space="preserve">Enzyme Mix to form an intermediate, which reacts with </w:t>
      </w:r>
      <w:r w:rsidR="00E30980">
        <w:t>Developer Solution V/</w:t>
      </w:r>
      <w:r w:rsidRPr="00AD1D71">
        <w:t xml:space="preserve">Developer &amp; Probe to form a product that can be measured </w:t>
      </w:r>
      <w:proofErr w:type="spellStart"/>
      <w:r w:rsidRPr="00AD1D71">
        <w:t>colorimetrically</w:t>
      </w:r>
      <w:proofErr w:type="spellEnd"/>
      <w:r w:rsidRPr="00AD1D71">
        <w:t xml:space="preserve"> (λ = 570 nm) or fluorometrically (Ex/</w:t>
      </w:r>
      <w:proofErr w:type="spellStart"/>
      <w:r w:rsidRPr="00AD1D71">
        <w:t>Em</w:t>
      </w:r>
      <w:proofErr w:type="spellEnd"/>
      <w:r w:rsidRPr="00AD1D71">
        <w:t xml:space="preserve"> = 535/587 nm). Xanthine/Hypoxanthine Assay kit is rapid, </w:t>
      </w:r>
      <w:proofErr w:type="gramStart"/>
      <w:r w:rsidRPr="00AD1D71">
        <w:t>simple</w:t>
      </w:r>
      <w:proofErr w:type="gramEnd"/>
      <w:r w:rsidRPr="00AD1D71">
        <w:t xml:space="preserve"> and </w:t>
      </w:r>
      <w:r w:rsidRPr="00AD1D71">
        <w:rPr>
          <w:bCs/>
        </w:rPr>
        <w:t>sensitive</w:t>
      </w:r>
      <w:r w:rsidRPr="00AD1D71">
        <w:t xml:space="preserve">. </w:t>
      </w:r>
      <w:r w:rsidRPr="00AD1D71">
        <w:rPr>
          <w:bCs/>
        </w:rPr>
        <w:t xml:space="preserve">This high-throughput suitable assay kit </w:t>
      </w:r>
      <w:r w:rsidRPr="00AD1D71">
        <w:t>can detect Xanthine levels as low as 0.4 µM in various biological samples.</w:t>
      </w:r>
    </w:p>
    <w:p w14:paraId="07F4A790" w14:textId="77777777" w:rsidR="00ED55F2" w:rsidRDefault="00AD1D71" w:rsidP="009636A4">
      <w:pPr>
        <w:rPr>
          <w:noProof/>
          <w:lang w:val="en-GB" w:eastAsia="en-GB"/>
        </w:rPr>
      </w:pPr>
      <w:r>
        <w:rPr>
          <w:noProof/>
          <w:lang w:val="en-GB" w:eastAsia="en-GB"/>
        </w:rPr>
        <w:lastRenderedPageBreak/>
        <w:drawing>
          <wp:inline distT="0" distB="0" distL="0" distR="0" wp14:anchorId="0DE716E7" wp14:editId="756658D5">
            <wp:extent cx="387731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xanth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7310" cy="609600"/>
                    </a:xfrm>
                    <a:prstGeom prst="rect">
                      <a:avLst/>
                    </a:prstGeom>
                  </pic:spPr>
                </pic:pic>
              </a:graphicData>
            </a:graphic>
          </wp:inline>
        </w:drawing>
      </w:r>
    </w:p>
    <w:p w14:paraId="4FCD025F" w14:textId="77777777" w:rsidR="009C1E8B" w:rsidRDefault="009C1E8B" w:rsidP="00A04347">
      <w:pPr>
        <w:pStyle w:val="Heading1"/>
        <w:spacing w:before="240"/>
        <w:ind w:left="502" w:hanging="502"/>
      </w:pPr>
      <w:bookmarkStart w:id="6" w:name="_Toc315440411"/>
      <w:bookmarkStart w:id="7" w:name="_Toc318703573"/>
      <w:bookmarkStart w:id="8" w:name="_Toc328465708"/>
      <w:r>
        <w:t>Protocol Summary</w:t>
      </w:r>
      <w:bookmarkEnd w:id="6"/>
      <w:bookmarkEnd w:id="7"/>
      <w:bookmarkEnd w:id="8"/>
    </w:p>
    <w:bookmarkStart w:id="9" w:name="_Toc315440412"/>
    <w:bookmarkStart w:id="10" w:name="_Toc318703574"/>
    <w:bookmarkStart w:id="11" w:name="_Toc271554832"/>
    <w:bookmarkStart w:id="12" w:name="_Toc273532551"/>
    <w:p w14:paraId="06E0E629" w14:textId="4A1C3358" w:rsidR="00A04347" w:rsidRPr="00503C3E" w:rsidRDefault="00D05B6C" w:rsidP="00A04347">
      <w:pPr>
        <w:jc w:val="center"/>
      </w:pPr>
      <w:r>
        <w:rPr>
          <w:noProof/>
          <w:lang w:val="en-GB" w:eastAsia="en-GB"/>
        </w:rPr>
        <mc:AlternateContent>
          <mc:Choice Requires="wps">
            <w:drawing>
              <wp:anchor distT="0" distB="0" distL="114300" distR="114300" simplePos="0" relativeHeight="251660800" behindDoc="0" locked="0" layoutInCell="1" allowOverlap="1" wp14:anchorId="7CEA58BB" wp14:editId="30D3D842">
                <wp:simplePos x="0" y="0"/>
                <wp:positionH relativeFrom="margin">
                  <wp:posOffset>1834515</wp:posOffset>
                </wp:positionH>
                <wp:positionV relativeFrom="paragraph">
                  <wp:posOffset>291465</wp:posOffset>
                </wp:positionV>
                <wp:extent cx="180975" cy="231140"/>
                <wp:effectExtent l="38100" t="0" r="9525" b="1651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B9C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144.45pt;margin-top:22.95pt;width:14.25pt;height:18.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">
                <w10:wrap anchorx="margin"/>
              </v:shape>
            </w:pict>
          </mc:Fallback>
        </mc:AlternateContent>
      </w:r>
      <w:r w:rsidR="00503C3E" w:rsidRPr="00503C3E">
        <w:rPr>
          <w:noProof/>
          <w:lang w:val="en-GB" w:eastAsia="en-GB"/>
        </w:rPr>
        <w:t>Reagent</w:t>
      </w:r>
      <w:r w:rsidR="00A04347" w:rsidRPr="00503C3E">
        <w:t xml:space="preserve"> Preparation</w:t>
      </w:r>
    </w:p>
    <w:p w14:paraId="4D44C85D" w14:textId="1AE98F7A" w:rsidR="00A04347" w:rsidRPr="00503C3E" w:rsidRDefault="00D05B6C" w:rsidP="00A04347">
      <w:pPr>
        <w:jc w:val="center"/>
      </w:pPr>
      <w:r>
        <w:rPr>
          <w:noProof/>
          <w:lang w:val="en-GB" w:eastAsia="en-GB"/>
        </w:rPr>
        <mc:AlternateContent>
          <mc:Choice Requires="wps">
            <w:drawing>
              <wp:anchor distT="0" distB="0" distL="114300" distR="114300" simplePos="0" relativeHeight="251661824" behindDoc="0" locked="0" layoutInCell="1" allowOverlap="1" wp14:anchorId="62C76E8D" wp14:editId="0648336D">
                <wp:simplePos x="0" y="0"/>
                <wp:positionH relativeFrom="margin">
                  <wp:posOffset>1834515</wp:posOffset>
                </wp:positionH>
                <wp:positionV relativeFrom="paragraph">
                  <wp:posOffset>288925</wp:posOffset>
                </wp:positionV>
                <wp:extent cx="180975" cy="231140"/>
                <wp:effectExtent l="38100" t="0" r="9525" b="1651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3E7F" id="AutoShape 12" o:spid="_x0000_s1026" type="#_x0000_t67" style="position:absolute;margin-left:144.45pt;margin-top:22.75pt;width:14.25pt;height:18.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">
                <w10:wrap anchorx="margin"/>
              </v:shape>
            </w:pict>
          </mc:Fallback>
        </mc:AlternateContent>
      </w:r>
      <w:r w:rsidR="00503C3E" w:rsidRPr="00503C3E">
        <w:rPr>
          <w:noProof/>
          <w:lang w:val="en-GB" w:eastAsia="en-GB"/>
        </w:rPr>
        <w:t>Standard Curve Preparation</w:t>
      </w:r>
    </w:p>
    <w:p w14:paraId="6068EDFB" w14:textId="1B11F5FB" w:rsidR="00A04347" w:rsidRPr="00503C3E" w:rsidRDefault="00D05B6C" w:rsidP="00A04347">
      <w:pPr>
        <w:jc w:val="center"/>
      </w:pPr>
      <w:r>
        <w:rPr>
          <w:noProof/>
          <w:lang w:val="en-GB" w:eastAsia="en-GB"/>
        </w:rPr>
        <mc:AlternateContent>
          <mc:Choice Requires="wps">
            <w:drawing>
              <wp:anchor distT="0" distB="0" distL="114300" distR="114300" simplePos="0" relativeHeight="251662848" behindDoc="0" locked="0" layoutInCell="1" allowOverlap="1" wp14:anchorId="347E9B6A" wp14:editId="69CDE689">
                <wp:simplePos x="0" y="0"/>
                <wp:positionH relativeFrom="margin">
                  <wp:posOffset>1834515</wp:posOffset>
                </wp:positionH>
                <wp:positionV relativeFrom="paragraph">
                  <wp:posOffset>310515</wp:posOffset>
                </wp:positionV>
                <wp:extent cx="180975" cy="231140"/>
                <wp:effectExtent l="38100" t="0" r="9525" b="1651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241D" id="AutoShape 13" o:spid="_x0000_s1026" type="#_x0000_t67" style="position:absolute;margin-left:144.45pt;margin-top:24.45pt;width:14.25pt;height:18.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">
                <w10:wrap anchorx="margin"/>
              </v:shape>
            </w:pict>
          </mc:Fallback>
        </mc:AlternateContent>
      </w:r>
      <w:r w:rsidR="00503C3E" w:rsidRPr="00503C3E">
        <w:rPr>
          <w:noProof/>
          <w:lang w:val="en-GB" w:eastAsia="en-GB"/>
        </w:rPr>
        <w:t>Sample</w:t>
      </w:r>
      <w:r w:rsidR="00A04347" w:rsidRPr="00503C3E">
        <w:t xml:space="preserve"> Preparation</w:t>
      </w:r>
    </w:p>
    <w:p w14:paraId="09D0EEF8" w14:textId="165B85C7" w:rsidR="00A04347" w:rsidRPr="00503C3E" w:rsidRDefault="00D05B6C" w:rsidP="00A04347">
      <w:pPr>
        <w:jc w:val="center"/>
      </w:pPr>
      <w:r>
        <w:rPr>
          <w:noProof/>
          <w:lang w:val="en-GB" w:eastAsia="en-GB"/>
        </w:rPr>
        <mc:AlternateContent>
          <mc:Choice Requires="wps">
            <w:drawing>
              <wp:anchor distT="0" distB="0" distL="114300" distR="114300" simplePos="0" relativeHeight="251663872" behindDoc="0" locked="0" layoutInCell="1" allowOverlap="1" wp14:anchorId="2F6C5A9D" wp14:editId="17399024">
                <wp:simplePos x="0" y="0"/>
                <wp:positionH relativeFrom="margin">
                  <wp:posOffset>1837690</wp:posOffset>
                </wp:positionH>
                <wp:positionV relativeFrom="paragraph">
                  <wp:posOffset>307975</wp:posOffset>
                </wp:positionV>
                <wp:extent cx="180975" cy="231140"/>
                <wp:effectExtent l="38100" t="0" r="9525" b="1651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2A74D" id="AutoShape 14" o:spid="_x0000_s1026" type="#_x0000_t67" style="position:absolute;margin-left:144.7pt;margin-top:24.25pt;width:14.25pt;height:18.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">
                <w10:wrap anchorx="margin"/>
              </v:shape>
            </w:pict>
          </mc:Fallback>
        </mc:AlternateContent>
      </w:r>
      <w:r w:rsidR="00D005A9">
        <w:rPr>
          <w:noProof/>
          <w:lang w:val="en-GB" w:eastAsia="en-GB"/>
        </w:rPr>
        <w:t>Positive Control</w:t>
      </w:r>
    </w:p>
    <w:p w14:paraId="3D5DD63B" w14:textId="3489301F" w:rsidR="00D005A9" w:rsidRDefault="00D005A9" w:rsidP="00D005A9">
      <w:pPr>
        <w:jc w:val="center"/>
      </w:pPr>
      <w:r>
        <w:t>Reaction Mix</w:t>
      </w:r>
      <w:r w:rsidR="00D05B6C">
        <w:rPr>
          <w:noProof/>
          <w:lang w:val="en-GB" w:eastAsia="en-GB"/>
        </w:rPr>
        <mc:AlternateContent>
          <mc:Choice Requires="wps">
            <w:drawing>
              <wp:anchor distT="0" distB="0" distL="114300" distR="114300" simplePos="0" relativeHeight="251665920" behindDoc="0" locked="0" layoutInCell="1" allowOverlap="1" wp14:anchorId="53F06096" wp14:editId="4D46E9EE">
                <wp:simplePos x="0" y="0"/>
                <wp:positionH relativeFrom="margin">
                  <wp:posOffset>1837690</wp:posOffset>
                </wp:positionH>
                <wp:positionV relativeFrom="paragraph">
                  <wp:posOffset>307975</wp:posOffset>
                </wp:positionV>
                <wp:extent cx="180975" cy="231140"/>
                <wp:effectExtent l="38100" t="0" r="9525" b="1651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CA67A" id="AutoShape 14" o:spid="_x0000_s1026" type="#_x0000_t67" style="position:absolute;margin-left:144.7pt;margin-top:24.2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">
                <w10:wrap anchorx="margin"/>
              </v:shape>
            </w:pict>
          </mc:Fallback>
        </mc:AlternateContent>
      </w:r>
    </w:p>
    <w:p w14:paraId="35138644" w14:textId="77777777" w:rsidR="00D005A9" w:rsidRDefault="00D005A9" w:rsidP="005610F8">
      <w:pPr>
        <w:jc w:val="center"/>
      </w:pPr>
      <w:r>
        <w:t>Measurement and Calculation</w:t>
      </w:r>
    </w:p>
    <w:p w14:paraId="4912B03A" w14:textId="77777777" w:rsidR="00D005A9" w:rsidRDefault="00D005A9" w:rsidP="005610F8">
      <w:pPr>
        <w:jc w:val="center"/>
      </w:pPr>
    </w:p>
    <w:p w14:paraId="6CFF6C85" w14:textId="77777777" w:rsidR="00472745" w:rsidRDefault="00472745" w:rsidP="00503C3E">
      <w:pPr>
        <w:jc w:val="center"/>
      </w:pPr>
    </w:p>
    <w:p w14:paraId="1DF32726" w14:textId="77777777" w:rsidR="00BC4E0E" w:rsidRDefault="00BC4E0E">
      <w:pPr>
        <w:spacing w:before="0" w:line="240" w:lineRule="auto"/>
        <w:jc w:val="left"/>
        <w:rPr>
          <w:rFonts w:eastAsia="Times New Roman"/>
          <w:b/>
          <w:bCs/>
          <w:sz w:val="28"/>
          <w:szCs w:val="28"/>
        </w:rPr>
      </w:pPr>
      <w:bookmarkStart w:id="13" w:name="_Toc328465709"/>
      <w:r>
        <w:br w:type="page"/>
      </w:r>
    </w:p>
    <w:p w14:paraId="1431A7F6" w14:textId="77777777" w:rsidR="009C1E8B" w:rsidRDefault="009C1E8B" w:rsidP="00A04347">
      <w:pPr>
        <w:pStyle w:val="Heading1"/>
        <w:spacing w:before="0"/>
        <w:ind w:left="502" w:hanging="502"/>
      </w:pPr>
      <w:r>
        <w:lastRenderedPageBreak/>
        <w:t>Components and Storage</w:t>
      </w:r>
      <w:bookmarkEnd w:id="9"/>
      <w:bookmarkEnd w:id="10"/>
      <w:bookmarkEnd w:id="13"/>
    </w:p>
    <w:p w14:paraId="500542F6" w14:textId="77777777" w:rsidR="009C1E8B" w:rsidRPr="004F1FBE" w:rsidRDefault="009C1E8B" w:rsidP="009C1E8B">
      <w:pPr>
        <w:pStyle w:val="ListParagraph"/>
        <w:numPr>
          <w:ilvl w:val="0"/>
          <w:numId w:val="20"/>
        </w:numPr>
        <w:rPr>
          <w:b/>
        </w:rPr>
      </w:pPr>
      <w:r w:rsidRPr="004F1FBE">
        <w:rPr>
          <w:b/>
        </w:rPr>
        <w:t xml:space="preserve">Kit Components </w:t>
      </w:r>
    </w:p>
    <w:tbl>
      <w:tblPr>
        <w:tblStyle w:val="LightShading5"/>
        <w:tblW w:w="0" w:type="auto"/>
        <w:jc w:val="center"/>
        <w:tblLayout w:type="fixed"/>
        <w:tblLook w:val="04A0" w:firstRow="1" w:lastRow="0" w:firstColumn="1" w:lastColumn="0" w:noHBand="0" w:noVBand="1"/>
      </w:tblPr>
      <w:tblGrid>
        <w:gridCol w:w="3611"/>
        <w:gridCol w:w="1276"/>
      </w:tblGrid>
      <w:tr w:rsidR="00A04347" w:rsidRPr="00332830" w14:paraId="2961EA15" w14:textId="77777777" w:rsidTr="00BC4E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74E6B2DA" w14:textId="77777777" w:rsidR="00A04347" w:rsidRPr="00332830" w:rsidRDefault="00A04347" w:rsidP="00BC4E0E">
            <w:pPr>
              <w:autoSpaceDE w:val="0"/>
              <w:autoSpaceDN w:val="0"/>
              <w:adjustRightInd w:val="0"/>
              <w:spacing w:after="240" w:line="240" w:lineRule="auto"/>
              <w:rPr>
                <w:rFonts w:cs="Arial"/>
                <w:color w:val="000000"/>
                <w:sz w:val="18"/>
                <w:szCs w:val="18"/>
                <w:lang w:val="en-GB"/>
              </w:rPr>
            </w:pPr>
            <w:r w:rsidRPr="00332830">
              <w:rPr>
                <w:rFonts w:cs="Arial"/>
                <w:color w:val="000000"/>
                <w:sz w:val="18"/>
                <w:szCs w:val="18"/>
                <w:lang w:val="en-GB"/>
              </w:rPr>
              <w:t>Item</w:t>
            </w:r>
          </w:p>
        </w:tc>
        <w:tc>
          <w:tcPr>
            <w:tcW w:w="1276" w:type="dxa"/>
            <w:shd w:val="clear" w:color="auto" w:fill="auto"/>
          </w:tcPr>
          <w:p w14:paraId="51684D14" w14:textId="77777777" w:rsidR="00A04347" w:rsidRPr="00332830" w:rsidRDefault="00A04347" w:rsidP="00BC4E0E">
            <w:pPr>
              <w:autoSpaceDE w:val="0"/>
              <w:autoSpaceDN w:val="0"/>
              <w:adjustRightInd w:val="0"/>
              <w:spacing w:after="240" w:line="240" w:lineRule="auto"/>
              <w:jc w:val="right"/>
              <w:cnfStyle w:val="100000000000" w:firstRow="1" w:lastRow="0" w:firstColumn="0" w:lastColumn="0" w:oddVBand="0" w:evenVBand="0" w:oddHBand="0" w:evenHBand="0" w:firstRowFirstColumn="0" w:firstRowLastColumn="0" w:lastRowFirstColumn="0" w:lastRowLastColumn="0"/>
              <w:rPr>
                <w:rFonts w:cs="Arial"/>
                <w:color w:val="000000"/>
                <w:sz w:val="18"/>
                <w:szCs w:val="18"/>
                <w:lang w:val="en-GB"/>
              </w:rPr>
            </w:pPr>
            <w:r w:rsidRPr="00332830">
              <w:rPr>
                <w:rFonts w:cs="Arial"/>
                <w:color w:val="000000"/>
                <w:sz w:val="18"/>
                <w:szCs w:val="18"/>
                <w:lang w:val="en-GB"/>
              </w:rPr>
              <w:t>Quantity</w:t>
            </w:r>
          </w:p>
        </w:tc>
      </w:tr>
      <w:tr w:rsidR="00A04347" w:rsidRPr="00332830" w14:paraId="20E0AF04" w14:textId="77777777" w:rsidTr="00BC4E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2C5DFE19" w14:textId="3784D278" w:rsidR="00A04347" w:rsidRPr="00024DA4" w:rsidRDefault="00024DA4" w:rsidP="00BC4E0E">
            <w:pPr>
              <w:rPr>
                <w:b w:val="0"/>
                <w:bCs w:val="0"/>
                <w:sz w:val="18"/>
              </w:rPr>
            </w:pPr>
            <w:r>
              <w:rPr>
                <w:b w:val="0"/>
                <w:bCs w:val="0"/>
                <w:sz w:val="18"/>
                <w:lang w:val="en-GB"/>
              </w:rPr>
              <w:t>Assay Buffer II/</w:t>
            </w:r>
            <w:r w:rsidR="005610F8" w:rsidRPr="00024DA4">
              <w:rPr>
                <w:b w:val="0"/>
                <w:bCs w:val="0"/>
                <w:sz w:val="18"/>
                <w:lang w:val="en-GB"/>
              </w:rPr>
              <w:t>Assay Buffer</w:t>
            </w:r>
          </w:p>
        </w:tc>
        <w:tc>
          <w:tcPr>
            <w:tcW w:w="1276" w:type="dxa"/>
            <w:shd w:val="clear" w:color="auto" w:fill="auto"/>
          </w:tcPr>
          <w:p w14:paraId="2CE9D016" w14:textId="77777777" w:rsidR="00A04347" w:rsidRPr="00332830" w:rsidRDefault="005610F8" w:rsidP="00BC4E0E">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Pr>
                <w:rFonts w:cs="Arial"/>
                <w:color w:val="000000"/>
                <w:sz w:val="18"/>
                <w:szCs w:val="18"/>
                <w:lang w:val="en-GB"/>
              </w:rPr>
              <w:t>25</w:t>
            </w:r>
            <w:r w:rsidR="00A04347" w:rsidRPr="00332830">
              <w:rPr>
                <w:rFonts w:cs="Arial"/>
                <w:color w:val="000000"/>
                <w:sz w:val="18"/>
                <w:szCs w:val="18"/>
                <w:lang w:val="en-GB"/>
              </w:rPr>
              <w:t xml:space="preserve"> mL</w:t>
            </w:r>
          </w:p>
        </w:tc>
      </w:tr>
      <w:tr w:rsidR="00A04347" w:rsidRPr="00332830" w14:paraId="370DAE4F" w14:textId="77777777" w:rsidTr="00BC4E0E">
        <w:trP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66A6E9D1" w14:textId="601B218D" w:rsidR="00A04347" w:rsidRPr="00024DA4" w:rsidRDefault="00024DA4" w:rsidP="00BC4E0E">
            <w:pPr>
              <w:rPr>
                <w:b w:val="0"/>
                <w:bCs w:val="0"/>
                <w:sz w:val="18"/>
              </w:rPr>
            </w:pPr>
            <w:proofErr w:type="spellStart"/>
            <w:r>
              <w:rPr>
                <w:b w:val="0"/>
                <w:bCs w:val="0"/>
                <w:sz w:val="18"/>
              </w:rPr>
              <w:t>OxiRed</w:t>
            </w:r>
            <w:proofErr w:type="spellEnd"/>
            <w:r>
              <w:rPr>
                <w:b w:val="0"/>
                <w:bCs w:val="0"/>
                <w:sz w:val="18"/>
              </w:rPr>
              <w:t xml:space="preserve"> Probe/</w:t>
            </w:r>
            <w:proofErr w:type="spellStart"/>
            <w:r w:rsidR="00AD1D71" w:rsidRPr="00024DA4">
              <w:rPr>
                <w:b w:val="0"/>
                <w:bCs w:val="0"/>
                <w:sz w:val="18"/>
              </w:rPr>
              <w:t>OxiRed</w:t>
            </w:r>
            <w:r w:rsidR="00AD1D71" w:rsidRPr="00024DA4">
              <w:rPr>
                <w:b w:val="0"/>
                <w:bCs w:val="0"/>
                <w:sz w:val="18"/>
                <w:vertAlign w:val="superscript"/>
              </w:rPr>
              <w:t>TM</w:t>
            </w:r>
            <w:proofErr w:type="spellEnd"/>
            <w:r w:rsidR="00AD1D71" w:rsidRPr="00024DA4">
              <w:rPr>
                <w:b w:val="0"/>
                <w:bCs w:val="0"/>
                <w:sz w:val="18"/>
              </w:rPr>
              <w:t xml:space="preserve"> Probe (in DMSO)</w:t>
            </w:r>
          </w:p>
        </w:tc>
        <w:tc>
          <w:tcPr>
            <w:tcW w:w="1276" w:type="dxa"/>
            <w:shd w:val="clear" w:color="auto" w:fill="auto"/>
          </w:tcPr>
          <w:p w14:paraId="2C64EE10" w14:textId="77777777" w:rsidR="00A04347" w:rsidRPr="00332830" w:rsidRDefault="00AD1D71" w:rsidP="00BC4E0E">
            <w:pPr>
              <w:autoSpaceDE w:val="0"/>
              <w:autoSpaceDN w:val="0"/>
              <w:adjustRightInd w:val="0"/>
              <w:spacing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rPr>
            </w:pPr>
            <w:r>
              <w:rPr>
                <w:rFonts w:cs="Arial"/>
                <w:color w:val="000000"/>
                <w:sz w:val="18"/>
                <w:szCs w:val="18"/>
                <w:lang w:val="en-GB"/>
              </w:rPr>
              <w:t>0.2</w:t>
            </w:r>
            <w:r w:rsidR="00A04347">
              <w:rPr>
                <w:rFonts w:cs="Arial"/>
                <w:color w:val="000000"/>
                <w:sz w:val="18"/>
                <w:szCs w:val="18"/>
                <w:lang w:val="en-GB"/>
              </w:rPr>
              <w:t xml:space="preserve"> </w:t>
            </w:r>
            <w:r w:rsidR="00A04347" w:rsidRPr="00332830">
              <w:rPr>
                <w:rFonts w:cs="Arial"/>
                <w:color w:val="000000"/>
                <w:sz w:val="18"/>
                <w:szCs w:val="18"/>
                <w:lang w:val="en-GB"/>
              </w:rPr>
              <w:t>mL</w:t>
            </w:r>
          </w:p>
        </w:tc>
      </w:tr>
      <w:tr w:rsidR="00A04347" w:rsidRPr="00332830" w14:paraId="68CA8BFD" w14:textId="77777777" w:rsidTr="00BC4E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22E4E604" w14:textId="59642CB7" w:rsidR="00A04347" w:rsidRPr="00024DA4" w:rsidRDefault="00AE7D68" w:rsidP="00AE7D68">
            <w:pPr>
              <w:jc w:val="left"/>
              <w:rPr>
                <w:b w:val="0"/>
                <w:bCs w:val="0"/>
                <w:sz w:val="18"/>
              </w:rPr>
            </w:pPr>
            <w:r>
              <w:rPr>
                <w:b w:val="0"/>
                <w:bCs w:val="0"/>
                <w:sz w:val="18"/>
                <w:lang w:val="en-GB"/>
              </w:rPr>
              <w:t>Development Enzyme Mix VIII/</w:t>
            </w:r>
            <w:r w:rsidR="005610F8" w:rsidRPr="00024DA4">
              <w:rPr>
                <w:b w:val="0"/>
                <w:bCs w:val="0"/>
                <w:sz w:val="18"/>
                <w:lang w:val="en-GB"/>
              </w:rPr>
              <w:t>Enzyme Mix (Lyophilized)</w:t>
            </w:r>
          </w:p>
        </w:tc>
        <w:tc>
          <w:tcPr>
            <w:tcW w:w="1276" w:type="dxa"/>
            <w:shd w:val="clear" w:color="auto" w:fill="auto"/>
          </w:tcPr>
          <w:p w14:paraId="4258EEB6" w14:textId="77777777" w:rsidR="00A04347" w:rsidRPr="00332830" w:rsidRDefault="005610F8" w:rsidP="00BC4E0E">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Pr>
                <w:rFonts w:cs="Arial"/>
                <w:color w:val="000000"/>
                <w:sz w:val="18"/>
                <w:szCs w:val="18"/>
                <w:lang w:val="en-GB"/>
              </w:rPr>
              <w:t>1 vial</w:t>
            </w:r>
          </w:p>
        </w:tc>
      </w:tr>
      <w:tr w:rsidR="00A04347" w:rsidRPr="00332830" w14:paraId="0592E66C" w14:textId="77777777" w:rsidTr="00BC4E0E">
        <w:trP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3D695AE0" w14:textId="51D8FD3D" w:rsidR="00A04347" w:rsidRPr="00024DA4" w:rsidRDefault="00AE7D68" w:rsidP="00AE7D68">
            <w:pPr>
              <w:jc w:val="left"/>
              <w:rPr>
                <w:b w:val="0"/>
                <w:bCs w:val="0"/>
                <w:sz w:val="18"/>
              </w:rPr>
            </w:pPr>
            <w:r>
              <w:rPr>
                <w:b w:val="0"/>
                <w:bCs w:val="0"/>
                <w:sz w:val="18"/>
                <w:lang w:val="en-GB"/>
              </w:rPr>
              <w:t>Developer Solution V/</w:t>
            </w:r>
            <w:r w:rsidR="005610F8" w:rsidRPr="00024DA4">
              <w:rPr>
                <w:b w:val="0"/>
                <w:bCs w:val="0"/>
                <w:sz w:val="18"/>
                <w:lang w:val="en-GB"/>
              </w:rPr>
              <w:t>Developer (Lyophilized)</w:t>
            </w:r>
          </w:p>
        </w:tc>
        <w:tc>
          <w:tcPr>
            <w:tcW w:w="1276" w:type="dxa"/>
            <w:shd w:val="clear" w:color="auto" w:fill="auto"/>
          </w:tcPr>
          <w:p w14:paraId="0DD027C8" w14:textId="77777777" w:rsidR="00A04347" w:rsidRPr="00332830" w:rsidRDefault="00A04347" w:rsidP="00BC4E0E">
            <w:pPr>
              <w:autoSpaceDE w:val="0"/>
              <w:autoSpaceDN w:val="0"/>
              <w:adjustRightInd w:val="0"/>
              <w:spacing w:line="276" w:lineRule="auto"/>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1 </w:t>
            </w:r>
            <w:r w:rsidR="008F132A">
              <w:rPr>
                <w:rFonts w:cs="Arial"/>
                <w:sz w:val="18"/>
                <w:szCs w:val="18"/>
              </w:rPr>
              <w:t>vial</w:t>
            </w:r>
          </w:p>
        </w:tc>
      </w:tr>
      <w:tr w:rsidR="0077065B" w:rsidRPr="00332830" w14:paraId="33F3E8B4" w14:textId="77777777" w:rsidTr="00BC4E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6F9E6AA3" w14:textId="0CE9B2DF" w:rsidR="0077065B" w:rsidRPr="00024DA4" w:rsidRDefault="00AE7D68" w:rsidP="00AE7D68">
            <w:pPr>
              <w:jc w:val="left"/>
              <w:rPr>
                <w:b w:val="0"/>
                <w:bCs w:val="0"/>
                <w:sz w:val="18"/>
              </w:rPr>
            </w:pPr>
            <w:r>
              <w:rPr>
                <w:b w:val="0"/>
                <w:bCs w:val="0"/>
                <w:sz w:val="18"/>
                <w:lang w:val="en-GB"/>
              </w:rPr>
              <w:t>Xanthine Standard/</w:t>
            </w:r>
            <w:r w:rsidR="00AD1D71" w:rsidRPr="00024DA4">
              <w:rPr>
                <w:b w:val="0"/>
                <w:bCs w:val="0"/>
                <w:sz w:val="18"/>
                <w:lang w:val="en-GB"/>
              </w:rPr>
              <w:t>Xanthine</w:t>
            </w:r>
            <w:r w:rsidR="005610F8" w:rsidRPr="00024DA4">
              <w:rPr>
                <w:b w:val="0"/>
                <w:bCs w:val="0"/>
                <w:sz w:val="18"/>
                <w:lang w:val="en-GB"/>
              </w:rPr>
              <w:t xml:space="preserve"> Standard (Lyophilized)</w:t>
            </w:r>
          </w:p>
        </w:tc>
        <w:tc>
          <w:tcPr>
            <w:tcW w:w="1276" w:type="dxa"/>
            <w:shd w:val="clear" w:color="auto" w:fill="auto"/>
          </w:tcPr>
          <w:p w14:paraId="2B6DF244" w14:textId="77777777" w:rsidR="0077065B" w:rsidRDefault="008F132A" w:rsidP="00BC4E0E">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1 vial</w:t>
            </w:r>
          </w:p>
        </w:tc>
      </w:tr>
    </w:tbl>
    <w:p w14:paraId="2F331E9A" w14:textId="77777777" w:rsidR="00A04347" w:rsidRDefault="008F132A" w:rsidP="00A04347">
      <w:bookmarkStart w:id="14" w:name="_Toc315440413"/>
      <w:bookmarkEnd w:id="11"/>
      <w:bookmarkEnd w:id="12"/>
      <w:r>
        <w:t>* Store the kit at-20</w:t>
      </w:r>
      <w:r w:rsidR="00A04347">
        <w:t xml:space="preserve">°C and protect from light. Please read the entire protocol before performing the assay. Avoid repeated freeze/thaw cycles. </w:t>
      </w:r>
    </w:p>
    <w:p w14:paraId="5729D249" w14:textId="77777777" w:rsidR="00A04347" w:rsidRDefault="008F132A" w:rsidP="00A04347">
      <w:pPr>
        <w:spacing w:before="120"/>
      </w:pPr>
      <w:r w:rsidRPr="008F132A">
        <w:rPr>
          <w:lang w:val="en-GB"/>
        </w:rPr>
        <w:t>Warm all Buffers to room temperature before use. Briefly centrifuge a</w:t>
      </w:r>
      <w:r>
        <w:rPr>
          <w:lang w:val="en-GB"/>
        </w:rPr>
        <w:t>ll small vials prior to opening</w:t>
      </w:r>
      <w:r w:rsidR="00A04347">
        <w:t>.</w:t>
      </w:r>
    </w:p>
    <w:p w14:paraId="7A751A46" w14:textId="77777777" w:rsidR="005610F8" w:rsidRDefault="005610F8" w:rsidP="00A04347">
      <w:pPr>
        <w:spacing w:before="120"/>
      </w:pPr>
    </w:p>
    <w:p w14:paraId="797DF4E0" w14:textId="77777777" w:rsidR="005610F8" w:rsidRDefault="005610F8" w:rsidP="00A04347">
      <w:pPr>
        <w:spacing w:before="120"/>
      </w:pPr>
    </w:p>
    <w:p w14:paraId="7028228B" w14:textId="77777777" w:rsidR="0096591D" w:rsidRDefault="0096591D" w:rsidP="00A04347">
      <w:pPr>
        <w:spacing w:before="120"/>
      </w:pPr>
    </w:p>
    <w:p w14:paraId="4EC2215C" w14:textId="77777777" w:rsidR="0096591D" w:rsidRDefault="0096591D" w:rsidP="00A04347">
      <w:pPr>
        <w:spacing w:before="120"/>
      </w:pPr>
    </w:p>
    <w:p w14:paraId="0886B1CC" w14:textId="77777777" w:rsidR="00A04347" w:rsidRPr="004F1FBE" w:rsidRDefault="00A04347" w:rsidP="00A04347">
      <w:pPr>
        <w:pStyle w:val="ListParagraph"/>
        <w:numPr>
          <w:ilvl w:val="0"/>
          <w:numId w:val="20"/>
        </w:numPr>
        <w:rPr>
          <w:b/>
        </w:rPr>
      </w:pPr>
      <w:r w:rsidRPr="004F1FBE">
        <w:rPr>
          <w:b/>
        </w:rPr>
        <w:t>Additional Materials Required</w:t>
      </w:r>
    </w:p>
    <w:p w14:paraId="325F9DC0" w14:textId="77777777" w:rsidR="00A04347" w:rsidRDefault="00A32193" w:rsidP="00A04347">
      <w:pPr>
        <w:pStyle w:val="ListParagraph"/>
        <w:numPr>
          <w:ilvl w:val="0"/>
          <w:numId w:val="19"/>
        </w:numPr>
        <w:ind w:left="851" w:hanging="357"/>
        <w:contextualSpacing w:val="0"/>
      </w:pPr>
      <w:r w:rsidRPr="00A32193">
        <w:rPr>
          <w:lang w:val="en-GB"/>
        </w:rPr>
        <w:t>96-well clear plate with flat bottom</w:t>
      </w:r>
      <w:r w:rsidR="00A04347">
        <w:t>s</w:t>
      </w:r>
      <w:r w:rsidR="00AD1D71">
        <w:t xml:space="preserve"> (colorimetric)</w:t>
      </w:r>
    </w:p>
    <w:p w14:paraId="1933A2E6" w14:textId="77777777" w:rsidR="00AD1D71" w:rsidRDefault="00AD1D71" w:rsidP="00A04347">
      <w:pPr>
        <w:pStyle w:val="ListParagraph"/>
        <w:numPr>
          <w:ilvl w:val="0"/>
          <w:numId w:val="19"/>
        </w:numPr>
        <w:ind w:left="851" w:hanging="357"/>
        <w:contextualSpacing w:val="0"/>
      </w:pPr>
      <w:r>
        <w:t>96-well white plate w</w:t>
      </w:r>
      <w:r w:rsidR="00D96267">
        <w:t>i</w:t>
      </w:r>
      <w:r>
        <w:t>th flat bottoms (fluorometric)</w:t>
      </w:r>
    </w:p>
    <w:p w14:paraId="6CFD045B" w14:textId="77777777" w:rsidR="00A32193" w:rsidRPr="00A32193" w:rsidRDefault="00A32193" w:rsidP="00A04347">
      <w:pPr>
        <w:pStyle w:val="ListParagraph"/>
        <w:numPr>
          <w:ilvl w:val="0"/>
          <w:numId w:val="19"/>
        </w:numPr>
        <w:ind w:left="851" w:hanging="357"/>
        <w:contextualSpacing w:val="0"/>
      </w:pPr>
      <w:r w:rsidRPr="00A32193">
        <w:rPr>
          <w:lang w:val="en-GB"/>
        </w:rPr>
        <w:t>Multi-well spectrophotometer (ELISA reader)</w:t>
      </w:r>
    </w:p>
    <w:p w14:paraId="419CF6BE" w14:textId="77777777" w:rsidR="00A04347" w:rsidRDefault="00A04347" w:rsidP="005610F8">
      <w:pPr>
        <w:ind w:left="494"/>
      </w:pPr>
    </w:p>
    <w:p w14:paraId="3DB2AF37" w14:textId="77777777" w:rsidR="009C1E8B" w:rsidRDefault="009C1E8B" w:rsidP="00A04347">
      <w:pPr>
        <w:pStyle w:val="Heading1"/>
        <w:spacing w:before="0"/>
        <w:ind w:left="502" w:hanging="502"/>
      </w:pPr>
      <w:r>
        <w:br w:type="page"/>
      </w:r>
      <w:bookmarkStart w:id="15" w:name="_Toc318703575"/>
      <w:bookmarkStart w:id="16" w:name="_Toc328465710"/>
      <w:r>
        <w:lastRenderedPageBreak/>
        <w:t>Assay Protocol</w:t>
      </w:r>
      <w:bookmarkEnd w:id="14"/>
      <w:bookmarkEnd w:id="15"/>
      <w:bookmarkEnd w:id="16"/>
    </w:p>
    <w:p w14:paraId="0AF8A2CE" w14:textId="77777777" w:rsidR="00A04347" w:rsidRPr="00A04347" w:rsidRDefault="00495F55" w:rsidP="00A04347">
      <w:pPr>
        <w:pStyle w:val="ListParagraph"/>
        <w:numPr>
          <w:ilvl w:val="0"/>
          <w:numId w:val="29"/>
        </w:numPr>
        <w:autoSpaceDE w:val="0"/>
        <w:autoSpaceDN w:val="0"/>
        <w:adjustRightInd w:val="0"/>
        <w:ind w:left="357" w:hanging="357"/>
        <w:contextualSpacing w:val="0"/>
        <w:rPr>
          <w:b/>
        </w:rPr>
      </w:pPr>
      <w:bookmarkStart w:id="17" w:name="_Toc315440414"/>
      <w:bookmarkStart w:id="18" w:name="_Toc271554840"/>
      <w:bookmarkStart w:id="19" w:name="_Toc273532559"/>
      <w:r>
        <w:rPr>
          <w:b/>
        </w:rPr>
        <w:t>Reagent Preparation</w:t>
      </w:r>
    </w:p>
    <w:p w14:paraId="7F8A79CC" w14:textId="60BFC8CF" w:rsidR="00B26D5E" w:rsidRPr="00A04347" w:rsidRDefault="00C94B78" w:rsidP="00F44E2F">
      <w:pPr>
        <w:pStyle w:val="ListParagraph"/>
        <w:numPr>
          <w:ilvl w:val="0"/>
          <w:numId w:val="30"/>
        </w:numPr>
        <w:autoSpaceDE w:val="0"/>
        <w:autoSpaceDN w:val="0"/>
        <w:adjustRightInd w:val="0"/>
        <w:ind w:left="357" w:hanging="357"/>
        <w:contextualSpacing w:val="0"/>
        <w:rPr>
          <w:rFonts w:cs="Arial"/>
          <w:b/>
          <w:bCs/>
          <w:szCs w:val="20"/>
        </w:rPr>
      </w:pPr>
      <w:r>
        <w:rPr>
          <w:rFonts w:cs="Arial"/>
          <w:b/>
          <w:bCs/>
          <w:szCs w:val="20"/>
        </w:rPr>
        <w:t xml:space="preserve">Development Enzyme Mix </w:t>
      </w:r>
      <w:r w:rsidR="00E30980">
        <w:rPr>
          <w:rFonts w:cs="Arial"/>
          <w:b/>
          <w:bCs/>
          <w:szCs w:val="20"/>
        </w:rPr>
        <w:t>VIII/</w:t>
      </w:r>
      <w:r w:rsidR="000C387F">
        <w:rPr>
          <w:rFonts w:cs="Arial"/>
          <w:b/>
          <w:bCs/>
          <w:szCs w:val="20"/>
        </w:rPr>
        <w:t>Enzyme</w:t>
      </w:r>
      <w:r w:rsidR="00B26D5E">
        <w:rPr>
          <w:rFonts w:cs="Arial"/>
          <w:b/>
          <w:bCs/>
          <w:szCs w:val="20"/>
        </w:rPr>
        <w:t xml:space="preserve"> Mix</w:t>
      </w:r>
      <w:r w:rsidR="00B26D5E" w:rsidRPr="00A04347">
        <w:rPr>
          <w:rFonts w:cs="Arial"/>
          <w:b/>
          <w:bCs/>
          <w:szCs w:val="20"/>
        </w:rPr>
        <w:t>:</w:t>
      </w:r>
    </w:p>
    <w:p w14:paraId="7E6F7374" w14:textId="27EF0287" w:rsidR="00B26D5E" w:rsidRDefault="000C387F" w:rsidP="00F44E2F">
      <w:pPr>
        <w:autoSpaceDE w:val="0"/>
        <w:autoSpaceDN w:val="0"/>
        <w:adjustRightInd w:val="0"/>
        <w:spacing w:before="0"/>
        <w:ind w:left="357"/>
        <w:rPr>
          <w:rFonts w:cs="Arial"/>
          <w:szCs w:val="20"/>
        </w:rPr>
      </w:pPr>
      <w:r w:rsidRPr="000C387F">
        <w:rPr>
          <w:rFonts w:cs="Arial"/>
          <w:szCs w:val="20"/>
        </w:rPr>
        <w:t xml:space="preserve">Reconstitute with 220 </w:t>
      </w:r>
      <w:proofErr w:type="spellStart"/>
      <w:r w:rsidRPr="000C387F">
        <w:rPr>
          <w:rFonts w:cs="Arial"/>
          <w:szCs w:val="20"/>
        </w:rPr>
        <w:t>μl</w:t>
      </w:r>
      <w:proofErr w:type="spellEnd"/>
      <w:r w:rsidRPr="000C387F">
        <w:rPr>
          <w:rFonts w:cs="Arial"/>
          <w:szCs w:val="20"/>
        </w:rPr>
        <w:t xml:space="preserve"> </w:t>
      </w:r>
      <w:r w:rsidR="00AE7D68">
        <w:rPr>
          <w:rFonts w:cs="Arial"/>
          <w:szCs w:val="20"/>
        </w:rPr>
        <w:t>Assay Buffer II/</w:t>
      </w:r>
      <w:r w:rsidRPr="000C387F">
        <w:rPr>
          <w:rFonts w:cs="Arial"/>
          <w:szCs w:val="20"/>
        </w:rPr>
        <w:t>Assay Buffer. Pipette up and down to dissolve completely. Aliquot and store at -20°C. Avoid</w:t>
      </w:r>
      <w:r w:rsidR="00F44E2F">
        <w:rPr>
          <w:rFonts w:cs="Arial"/>
          <w:szCs w:val="20"/>
        </w:rPr>
        <w:t xml:space="preserve"> </w:t>
      </w:r>
      <w:r w:rsidRPr="000C387F">
        <w:rPr>
          <w:rFonts w:cs="Arial"/>
          <w:szCs w:val="20"/>
        </w:rPr>
        <w:t>repeated freeze/thaw cycles. Use within two m</w:t>
      </w:r>
      <w:r>
        <w:rPr>
          <w:rFonts w:cs="Arial"/>
          <w:szCs w:val="20"/>
        </w:rPr>
        <w:t>onths. Keep on ice while in use</w:t>
      </w:r>
      <w:r w:rsidR="00B26D5E" w:rsidRPr="00B26D5E">
        <w:rPr>
          <w:rFonts w:cs="Arial"/>
          <w:szCs w:val="20"/>
        </w:rPr>
        <w:t>.</w:t>
      </w:r>
    </w:p>
    <w:p w14:paraId="14AD1C29" w14:textId="000D0B3D" w:rsidR="00B26D5E" w:rsidRPr="00A04347" w:rsidRDefault="00E30980" w:rsidP="00F44E2F">
      <w:pPr>
        <w:pStyle w:val="ListParagraph"/>
        <w:numPr>
          <w:ilvl w:val="0"/>
          <w:numId w:val="30"/>
        </w:numPr>
        <w:autoSpaceDE w:val="0"/>
        <w:autoSpaceDN w:val="0"/>
        <w:adjustRightInd w:val="0"/>
        <w:ind w:left="357" w:hanging="357"/>
        <w:contextualSpacing w:val="0"/>
        <w:rPr>
          <w:rFonts w:cs="Arial"/>
          <w:b/>
          <w:bCs/>
          <w:szCs w:val="20"/>
        </w:rPr>
      </w:pPr>
      <w:r>
        <w:rPr>
          <w:rFonts w:cs="Arial"/>
          <w:b/>
          <w:bCs/>
          <w:szCs w:val="20"/>
        </w:rPr>
        <w:t>Developer Solution V/</w:t>
      </w:r>
      <w:r w:rsidR="000C387F">
        <w:rPr>
          <w:rFonts w:cs="Arial"/>
          <w:b/>
          <w:bCs/>
          <w:szCs w:val="20"/>
        </w:rPr>
        <w:t>Developer</w:t>
      </w:r>
      <w:r w:rsidR="00B26D5E" w:rsidRPr="00A04347">
        <w:rPr>
          <w:rFonts w:cs="Arial"/>
          <w:b/>
          <w:bCs/>
          <w:szCs w:val="20"/>
        </w:rPr>
        <w:t>:</w:t>
      </w:r>
    </w:p>
    <w:p w14:paraId="501DFD7A" w14:textId="3412983A" w:rsidR="00B26D5E" w:rsidRDefault="000C387F" w:rsidP="00F44E2F">
      <w:pPr>
        <w:autoSpaceDE w:val="0"/>
        <w:autoSpaceDN w:val="0"/>
        <w:adjustRightInd w:val="0"/>
        <w:spacing w:before="0"/>
        <w:ind w:left="357"/>
        <w:rPr>
          <w:rFonts w:cs="Arial"/>
          <w:szCs w:val="20"/>
        </w:rPr>
      </w:pPr>
      <w:r w:rsidRPr="000C387F">
        <w:rPr>
          <w:rFonts w:cs="Arial"/>
          <w:szCs w:val="20"/>
        </w:rPr>
        <w:t xml:space="preserve">Reconstitute with 220 </w:t>
      </w:r>
      <w:proofErr w:type="spellStart"/>
      <w:r w:rsidRPr="000C387F">
        <w:rPr>
          <w:rFonts w:cs="Arial"/>
          <w:szCs w:val="20"/>
        </w:rPr>
        <w:t>μl</w:t>
      </w:r>
      <w:proofErr w:type="spellEnd"/>
      <w:r w:rsidRPr="000C387F">
        <w:rPr>
          <w:rFonts w:cs="Arial"/>
          <w:szCs w:val="20"/>
        </w:rPr>
        <w:t xml:space="preserve"> </w:t>
      </w:r>
      <w:r w:rsidR="002651B1">
        <w:rPr>
          <w:rFonts w:cs="Arial"/>
          <w:szCs w:val="20"/>
        </w:rPr>
        <w:t>Assay Buffer II/</w:t>
      </w:r>
      <w:r w:rsidR="00AD1D71">
        <w:rPr>
          <w:rFonts w:cs="Arial"/>
          <w:szCs w:val="20"/>
        </w:rPr>
        <w:t>Assay Buffer</w:t>
      </w:r>
      <w:r w:rsidRPr="000C387F">
        <w:rPr>
          <w:rFonts w:cs="Arial"/>
          <w:szCs w:val="20"/>
        </w:rPr>
        <w:t xml:space="preserve">. Pipette up and down to dissolve completely. </w:t>
      </w:r>
      <w:r w:rsidR="00AD1D71">
        <w:rPr>
          <w:rFonts w:cs="Arial"/>
          <w:szCs w:val="20"/>
        </w:rPr>
        <w:t>Aliquot and s</w:t>
      </w:r>
      <w:r w:rsidRPr="000C387F">
        <w:rPr>
          <w:rFonts w:cs="Arial"/>
          <w:szCs w:val="20"/>
        </w:rPr>
        <w:t xml:space="preserve">tore </w:t>
      </w:r>
      <w:r>
        <w:rPr>
          <w:rFonts w:cs="Arial"/>
          <w:szCs w:val="20"/>
        </w:rPr>
        <w:t xml:space="preserve">at -20°C. Use within two </w:t>
      </w:r>
      <w:r w:rsidR="00AD1D71">
        <w:rPr>
          <w:rFonts w:cs="Arial"/>
          <w:szCs w:val="20"/>
        </w:rPr>
        <w:t>months</w:t>
      </w:r>
      <w:r w:rsidR="00AD1D71" w:rsidRPr="00B26D5E">
        <w:rPr>
          <w:rFonts w:cs="Arial"/>
          <w:szCs w:val="20"/>
        </w:rPr>
        <w:t>.</w:t>
      </w:r>
      <w:r w:rsidR="00AD1D71">
        <w:rPr>
          <w:rFonts w:cs="Arial"/>
          <w:szCs w:val="20"/>
        </w:rPr>
        <w:t xml:space="preserve"> Keep on ice while in use.</w:t>
      </w:r>
    </w:p>
    <w:p w14:paraId="29920E15" w14:textId="77777777" w:rsidR="00B26D5E" w:rsidRPr="00A04347" w:rsidRDefault="00AD1D71" w:rsidP="00F44E2F">
      <w:pPr>
        <w:pStyle w:val="ListParagraph"/>
        <w:numPr>
          <w:ilvl w:val="0"/>
          <w:numId w:val="30"/>
        </w:numPr>
        <w:autoSpaceDE w:val="0"/>
        <w:autoSpaceDN w:val="0"/>
        <w:adjustRightInd w:val="0"/>
        <w:ind w:left="357" w:hanging="357"/>
        <w:contextualSpacing w:val="0"/>
        <w:rPr>
          <w:rFonts w:cs="Arial"/>
          <w:b/>
          <w:bCs/>
          <w:szCs w:val="20"/>
        </w:rPr>
      </w:pPr>
      <w:r>
        <w:rPr>
          <w:rFonts w:cs="Arial"/>
          <w:b/>
          <w:bCs/>
          <w:szCs w:val="20"/>
        </w:rPr>
        <w:t>Xanthine</w:t>
      </w:r>
      <w:r w:rsidR="000C387F">
        <w:rPr>
          <w:rFonts w:cs="Arial"/>
          <w:b/>
          <w:bCs/>
          <w:szCs w:val="20"/>
        </w:rPr>
        <w:t xml:space="preserve"> Standard</w:t>
      </w:r>
      <w:r w:rsidR="00B26D5E" w:rsidRPr="00A04347">
        <w:rPr>
          <w:rFonts w:cs="Arial"/>
          <w:b/>
          <w:bCs/>
          <w:szCs w:val="20"/>
        </w:rPr>
        <w:t>:</w:t>
      </w:r>
    </w:p>
    <w:p w14:paraId="63331085" w14:textId="77777777" w:rsidR="00B26D5E" w:rsidRDefault="00AD1D71" w:rsidP="00F44E2F">
      <w:pPr>
        <w:autoSpaceDE w:val="0"/>
        <w:autoSpaceDN w:val="0"/>
        <w:adjustRightInd w:val="0"/>
        <w:spacing w:before="0"/>
        <w:ind w:left="357"/>
        <w:rPr>
          <w:rFonts w:cs="Arial"/>
          <w:szCs w:val="20"/>
        </w:rPr>
      </w:pPr>
      <w:r>
        <w:rPr>
          <w:rFonts w:cs="Arial"/>
          <w:szCs w:val="20"/>
        </w:rPr>
        <w:t>Reconstitute with 5</w:t>
      </w:r>
      <w:r w:rsidR="000C387F" w:rsidRPr="000C387F">
        <w:rPr>
          <w:rFonts w:cs="Arial"/>
          <w:szCs w:val="20"/>
        </w:rPr>
        <w:t xml:space="preserve">00 </w:t>
      </w:r>
      <w:proofErr w:type="spellStart"/>
      <w:r w:rsidR="000C387F" w:rsidRPr="000C387F">
        <w:rPr>
          <w:rFonts w:cs="Arial"/>
          <w:szCs w:val="20"/>
        </w:rPr>
        <w:t>μl</w:t>
      </w:r>
      <w:proofErr w:type="spellEnd"/>
      <w:r w:rsidR="000C387F" w:rsidRPr="000C387F">
        <w:rPr>
          <w:rFonts w:cs="Arial"/>
          <w:szCs w:val="20"/>
        </w:rPr>
        <w:t xml:space="preserve"> dH</w:t>
      </w:r>
      <w:r w:rsidR="000C387F" w:rsidRPr="00931DD8">
        <w:rPr>
          <w:rFonts w:cs="Arial"/>
          <w:szCs w:val="20"/>
          <w:vertAlign w:val="subscript"/>
        </w:rPr>
        <w:t>2</w:t>
      </w:r>
      <w:r>
        <w:rPr>
          <w:rFonts w:cs="Arial"/>
          <w:szCs w:val="20"/>
        </w:rPr>
        <w:t xml:space="preserve">O to generate 2.0 </w:t>
      </w:r>
      <w:r w:rsidR="000C387F" w:rsidRPr="000C387F">
        <w:rPr>
          <w:rFonts w:cs="Arial"/>
          <w:szCs w:val="20"/>
        </w:rPr>
        <w:t>mM (</w:t>
      </w:r>
      <w:r>
        <w:rPr>
          <w:rFonts w:cs="Arial"/>
          <w:szCs w:val="20"/>
        </w:rPr>
        <w:t>2.0</w:t>
      </w:r>
      <w:r w:rsidR="00931DD8">
        <w:rPr>
          <w:rFonts w:cs="Arial"/>
          <w:szCs w:val="20"/>
        </w:rPr>
        <w:t> </w:t>
      </w:r>
      <w:r>
        <w:rPr>
          <w:rFonts w:cs="Arial"/>
          <w:szCs w:val="20"/>
        </w:rPr>
        <w:t>nmol/</w:t>
      </w:r>
      <w:proofErr w:type="spellStart"/>
      <w:r>
        <w:rPr>
          <w:rFonts w:cs="Arial"/>
          <w:szCs w:val="20"/>
        </w:rPr>
        <w:t>μl</w:t>
      </w:r>
      <w:proofErr w:type="spellEnd"/>
      <w:r>
        <w:rPr>
          <w:rFonts w:cs="Arial"/>
          <w:szCs w:val="20"/>
        </w:rPr>
        <w:t>) Xanthine</w:t>
      </w:r>
      <w:r w:rsidR="000C387F" w:rsidRPr="000C387F">
        <w:rPr>
          <w:rFonts w:cs="Arial"/>
          <w:szCs w:val="20"/>
        </w:rPr>
        <w:t xml:space="preserve"> Standard solution. Store at –20°C. Use</w:t>
      </w:r>
      <w:r w:rsidR="00F44E2F">
        <w:rPr>
          <w:rFonts w:cs="Arial"/>
          <w:szCs w:val="20"/>
        </w:rPr>
        <w:t xml:space="preserve"> </w:t>
      </w:r>
      <w:r w:rsidR="000C387F" w:rsidRPr="000C387F">
        <w:rPr>
          <w:rFonts w:cs="Arial"/>
          <w:szCs w:val="20"/>
        </w:rPr>
        <w:t>within two m</w:t>
      </w:r>
      <w:r w:rsidR="000C387F">
        <w:rPr>
          <w:rFonts w:cs="Arial"/>
          <w:szCs w:val="20"/>
        </w:rPr>
        <w:t>onths. Keep on ice while in use</w:t>
      </w:r>
      <w:r w:rsidR="00B26D5E" w:rsidRPr="00B26D5E">
        <w:rPr>
          <w:rFonts w:cs="Arial"/>
          <w:szCs w:val="20"/>
        </w:rPr>
        <w:t>.</w:t>
      </w:r>
    </w:p>
    <w:p w14:paraId="390DB6CD" w14:textId="77777777" w:rsidR="00472745" w:rsidRDefault="00472745" w:rsidP="007D0E68">
      <w:pPr>
        <w:tabs>
          <w:tab w:val="left" w:pos="2462"/>
        </w:tabs>
        <w:autoSpaceDE w:val="0"/>
        <w:autoSpaceDN w:val="0"/>
        <w:adjustRightInd w:val="0"/>
        <w:spacing w:before="0"/>
        <w:ind w:left="357"/>
        <w:rPr>
          <w:rFonts w:cs="Arial"/>
          <w:szCs w:val="20"/>
        </w:rPr>
      </w:pPr>
    </w:p>
    <w:p w14:paraId="5E2AB34F" w14:textId="77777777" w:rsidR="007D0E68" w:rsidRPr="00A04347" w:rsidRDefault="00D96267" w:rsidP="00BC4E0E">
      <w:pPr>
        <w:pStyle w:val="ListParagraph"/>
        <w:numPr>
          <w:ilvl w:val="0"/>
          <w:numId w:val="29"/>
        </w:numPr>
        <w:autoSpaceDE w:val="0"/>
        <w:autoSpaceDN w:val="0"/>
        <w:adjustRightInd w:val="0"/>
        <w:ind w:left="357" w:hanging="357"/>
        <w:contextualSpacing w:val="0"/>
        <w:rPr>
          <w:b/>
        </w:rPr>
      </w:pPr>
      <w:r>
        <w:rPr>
          <w:b/>
        </w:rPr>
        <w:t>Xanthine</w:t>
      </w:r>
      <w:r w:rsidR="007D0E68">
        <w:rPr>
          <w:b/>
        </w:rPr>
        <w:t xml:space="preserve"> Assay Protocol</w:t>
      </w:r>
    </w:p>
    <w:p w14:paraId="272DB990" w14:textId="77777777" w:rsidR="00373E7C" w:rsidRPr="00373E7C" w:rsidRDefault="00AD1D71" w:rsidP="00BC4E0E">
      <w:pPr>
        <w:pStyle w:val="ListParagraph"/>
        <w:numPr>
          <w:ilvl w:val="0"/>
          <w:numId w:val="32"/>
        </w:numPr>
        <w:autoSpaceDE w:val="0"/>
        <w:autoSpaceDN w:val="0"/>
        <w:adjustRightInd w:val="0"/>
        <w:ind w:left="357" w:hanging="357"/>
        <w:contextualSpacing w:val="0"/>
        <w:rPr>
          <w:rFonts w:cs="Arial"/>
          <w:bCs/>
          <w:szCs w:val="20"/>
        </w:rPr>
      </w:pPr>
      <w:r>
        <w:rPr>
          <w:rFonts w:cs="Arial"/>
          <w:b/>
          <w:bCs/>
          <w:szCs w:val="20"/>
        </w:rPr>
        <w:t>Xanthine</w:t>
      </w:r>
      <w:r w:rsidR="00373E7C" w:rsidRPr="00373E7C">
        <w:rPr>
          <w:rFonts w:cs="Arial"/>
          <w:b/>
          <w:bCs/>
          <w:szCs w:val="20"/>
        </w:rPr>
        <w:t xml:space="preserve"> Standard Curve:</w:t>
      </w:r>
    </w:p>
    <w:p w14:paraId="20349751" w14:textId="4DABB85A" w:rsidR="00AD1D71" w:rsidRPr="00AD1D71" w:rsidRDefault="00AD1D71" w:rsidP="00AD1D71">
      <w:pPr>
        <w:autoSpaceDE w:val="0"/>
        <w:autoSpaceDN w:val="0"/>
        <w:adjustRightInd w:val="0"/>
        <w:spacing w:before="0"/>
        <w:ind w:left="357"/>
        <w:rPr>
          <w:rFonts w:cs="Arial"/>
          <w:bCs/>
          <w:szCs w:val="20"/>
        </w:rPr>
      </w:pPr>
      <w:r w:rsidRPr="00AD1D71">
        <w:rPr>
          <w:rFonts w:cs="Arial"/>
          <w:bCs/>
          <w:szCs w:val="20"/>
        </w:rPr>
        <w:t xml:space="preserve">For colorimetric assay, add 0, 2, 4, 6, 8 &amp; 10 </w:t>
      </w:r>
      <w:proofErr w:type="spellStart"/>
      <w:r w:rsidRPr="00AD1D71">
        <w:rPr>
          <w:rFonts w:cs="Arial"/>
          <w:bCs/>
          <w:szCs w:val="20"/>
        </w:rPr>
        <w:t>μl</w:t>
      </w:r>
      <w:proofErr w:type="spellEnd"/>
      <w:r w:rsidRPr="00AD1D71">
        <w:rPr>
          <w:rFonts w:cs="Arial"/>
          <w:bCs/>
          <w:szCs w:val="20"/>
        </w:rPr>
        <w:t xml:space="preserve"> of 2 mM Xanthine Standard into series of wells in 96 well</w:t>
      </w:r>
      <w:r>
        <w:rPr>
          <w:rFonts w:cs="Arial"/>
          <w:bCs/>
          <w:szCs w:val="20"/>
        </w:rPr>
        <w:t xml:space="preserve"> </w:t>
      </w:r>
      <w:r w:rsidRPr="00AD1D71">
        <w:rPr>
          <w:rFonts w:cs="Arial"/>
          <w:bCs/>
          <w:szCs w:val="20"/>
        </w:rPr>
        <w:t xml:space="preserve">plate to generate 0, 4, 8, </w:t>
      </w:r>
      <w:r w:rsidRPr="00AD1D71">
        <w:rPr>
          <w:rFonts w:cs="Arial"/>
          <w:bCs/>
          <w:szCs w:val="20"/>
        </w:rPr>
        <w:lastRenderedPageBreak/>
        <w:t xml:space="preserve">12, 16 &amp; 20 nmol/well Xanthine Standard. Adjust volume to 50 </w:t>
      </w:r>
      <w:proofErr w:type="spellStart"/>
      <w:r w:rsidRPr="00AD1D71">
        <w:rPr>
          <w:rFonts w:cs="Arial"/>
          <w:bCs/>
          <w:szCs w:val="20"/>
        </w:rPr>
        <w:t>μl</w:t>
      </w:r>
      <w:proofErr w:type="spellEnd"/>
      <w:r w:rsidRPr="00AD1D71">
        <w:rPr>
          <w:rFonts w:cs="Arial"/>
          <w:bCs/>
          <w:szCs w:val="20"/>
        </w:rPr>
        <w:t xml:space="preserve"> per well with </w:t>
      </w:r>
      <w:r w:rsidR="000E402A">
        <w:rPr>
          <w:rFonts w:cs="Arial"/>
          <w:bCs/>
          <w:szCs w:val="20"/>
        </w:rPr>
        <w:t>Assay Buffer II/</w:t>
      </w:r>
      <w:r w:rsidRPr="00AD1D71">
        <w:rPr>
          <w:rFonts w:cs="Arial"/>
          <w:bCs/>
          <w:szCs w:val="20"/>
        </w:rPr>
        <w:t xml:space="preserve">Xanthine Assay Buffer. </w:t>
      </w:r>
    </w:p>
    <w:p w14:paraId="1C9DB547" w14:textId="77777777" w:rsidR="00AD1D71" w:rsidRPr="00AD1D71" w:rsidRDefault="00AD1D71" w:rsidP="00AD1D71">
      <w:pPr>
        <w:autoSpaceDE w:val="0"/>
        <w:autoSpaceDN w:val="0"/>
        <w:adjustRightInd w:val="0"/>
        <w:spacing w:before="0"/>
        <w:ind w:left="357"/>
        <w:rPr>
          <w:rFonts w:cs="Arial"/>
          <w:bCs/>
          <w:szCs w:val="20"/>
        </w:rPr>
      </w:pPr>
      <w:r w:rsidRPr="00AD1D71">
        <w:rPr>
          <w:rFonts w:cs="Arial"/>
          <w:bCs/>
          <w:szCs w:val="20"/>
        </w:rPr>
        <w:tab/>
      </w:r>
    </w:p>
    <w:p w14:paraId="694016C5" w14:textId="1BEB5BC3" w:rsidR="00373E7C" w:rsidRDefault="00AD1D71" w:rsidP="00AD1D71">
      <w:pPr>
        <w:autoSpaceDE w:val="0"/>
        <w:autoSpaceDN w:val="0"/>
        <w:adjustRightInd w:val="0"/>
        <w:spacing w:before="0"/>
        <w:ind w:left="357"/>
        <w:rPr>
          <w:rFonts w:cs="Arial"/>
          <w:bCs/>
          <w:szCs w:val="20"/>
        </w:rPr>
      </w:pPr>
      <w:r w:rsidRPr="00AD1D71">
        <w:rPr>
          <w:rFonts w:cs="Arial"/>
          <w:bCs/>
          <w:szCs w:val="20"/>
        </w:rPr>
        <w:t>For fluorometric assay, dilute X</w:t>
      </w:r>
      <w:r w:rsidR="00D96267">
        <w:rPr>
          <w:rFonts w:cs="Arial"/>
          <w:bCs/>
          <w:szCs w:val="20"/>
        </w:rPr>
        <w:t>anthine Standard to 0.02 mM (20 </w:t>
      </w:r>
      <w:proofErr w:type="spellStart"/>
      <w:r w:rsidRPr="00AD1D71">
        <w:rPr>
          <w:rFonts w:cs="Arial"/>
          <w:bCs/>
          <w:szCs w:val="20"/>
        </w:rPr>
        <w:t>pmol</w:t>
      </w:r>
      <w:proofErr w:type="spellEnd"/>
      <w:r w:rsidRPr="00AD1D71">
        <w:rPr>
          <w:rFonts w:cs="Arial"/>
          <w:bCs/>
          <w:szCs w:val="20"/>
        </w:rPr>
        <w:t>/</w:t>
      </w:r>
      <w:proofErr w:type="spellStart"/>
      <w:r w:rsidRPr="00AD1D71">
        <w:rPr>
          <w:rFonts w:cs="Arial"/>
          <w:bCs/>
          <w:szCs w:val="20"/>
        </w:rPr>
        <w:t>μl</w:t>
      </w:r>
      <w:proofErr w:type="spellEnd"/>
      <w:r w:rsidRPr="00AD1D71">
        <w:rPr>
          <w:rFonts w:cs="Arial"/>
          <w:bCs/>
          <w:szCs w:val="20"/>
        </w:rPr>
        <w:t xml:space="preserve">) by adding 10 </w:t>
      </w:r>
      <w:proofErr w:type="spellStart"/>
      <w:r w:rsidRPr="00AD1D71">
        <w:rPr>
          <w:rFonts w:cs="Arial"/>
          <w:bCs/>
          <w:szCs w:val="20"/>
        </w:rPr>
        <w:t>μl</w:t>
      </w:r>
      <w:proofErr w:type="spellEnd"/>
      <w:r w:rsidRPr="00AD1D71">
        <w:rPr>
          <w:rFonts w:cs="Arial"/>
          <w:bCs/>
          <w:szCs w:val="20"/>
        </w:rPr>
        <w:t xml:space="preserve"> o</w:t>
      </w:r>
      <w:r w:rsidR="00D96267">
        <w:rPr>
          <w:rFonts w:cs="Arial"/>
          <w:bCs/>
          <w:szCs w:val="20"/>
        </w:rPr>
        <w:t>f 2 mM Xanthine Standard to 990 </w:t>
      </w:r>
      <w:proofErr w:type="spellStart"/>
      <w:r w:rsidRPr="00AD1D71">
        <w:rPr>
          <w:rFonts w:cs="Arial"/>
          <w:bCs/>
          <w:szCs w:val="20"/>
        </w:rPr>
        <w:t>μl</w:t>
      </w:r>
      <w:proofErr w:type="spellEnd"/>
      <w:r w:rsidRPr="00AD1D71">
        <w:rPr>
          <w:rFonts w:cs="Arial"/>
          <w:bCs/>
          <w:szCs w:val="20"/>
        </w:rPr>
        <w:t xml:space="preserve"> dH</w:t>
      </w:r>
      <w:r w:rsidRPr="00D96267">
        <w:rPr>
          <w:rFonts w:cs="Arial"/>
          <w:bCs/>
          <w:szCs w:val="20"/>
          <w:vertAlign w:val="subscript"/>
        </w:rPr>
        <w:t>2</w:t>
      </w:r>
      <w:r w:rsidRPr="00AD1D71">
        <w:rPr>
          <w:rFonts w:cs="Arial"/>
          <w:bCs/>
          <w:szCs w:val="20"/>
        </w:rPr>
        <w:t xml:space="preserve">O &amp; mix.  Add 0, 2, 4, 6, 8 &amp; 10 </w:t>
      </w:r>
      <w:proofErr w:type="spellStart"/>
      <w:r w:rsidRPr="00AD1D71">
        <w:rPr>
          <w:rFonts w:cs="Arial"/>
          <w:bCs/>
          <w:szCs w:val="20"/>
        </w:rPr>
        <w:t>μl</w:t>
      </w:r>
      <w:proofErr w:type="spellEnd"/>
      <w:r w:rsidRPr="00AD1D71">
        <w:rPr>
          <w:rFonts w:cs="Arial"/>
          <w:bCs/>
          <w:szCs w:val="20"/>
        </w:rPr>
        <w:t xml:space="preserve"> of 0.02 mM Xanthine Standard into series of wells in 96 well plate to generate 0, 40, 80, 120, 160 &amp; 200 </w:t>
      </w:r>
      <w:proofErr w:type="spellStart"/>
      <w:r w:rsidRPr="00AD1D71">
        <w:rPr>
          <w:rFonts w:cs="Arial"/>
          <w:bCs/>
          <w:szCs w:val="20"/>
        </w:rPr>
        <w:t>pmol</w:t>
      </w:r>
      <w:proofErr w:type="spellEnd"/>
      <w:r w:rsidRPr="00AD1D71">
        <w:rPr>
          <w:rFonts w:cs="Arial"/>
          <w:bCs/>
          <w:szCs w:val="20"/>
        </w:rPr>
        <w:t xml:space="preserve">/well Xanthine Standard. Adjust volume to 50 </w:t>
      </w:r>
      <w:proofErr w:type="spellStart"/>
      <w:r w:rsidRPr="00AD1D71">
        <w:rPr>
          <w:rFonts w:cs="Arial"/>
          <w:bCs/>
          <w:szCs w:val="20"/>
        </w:rPr>
        <w:t>μl</w:t>
      </w:r>
      <w:proofErr w:type="spellEnd"/>
      <w:r w:rsidRPr="00AD1D71">
        <w:rPr>
          <w:rFonts w:cs="Arial"/>
          <w:bCs/>
          <w:szCs w:val="20"/>
        </w:rPr>
        <w:t xml:space="preserve"> per well with </w:t>
      </w:r>
      <w:r w:rsidR="00CA6738">
        <w:rPr>
          <w:rFonts w:cs="Arial"/>
          <w:bCs/>
          <w:szCs w:val="20"/>
        </w:rPr>
        <w:t>Assay Buffer II/</w:t>
      </w:r>
      <w:r w:rsidRPr="00AD1D71">
        <w:rPr>
          <w:rFonts w:cs="Arial"/>
          <w:bCs/>
          <w:szCs w:val="20"/>
        </w:rPr>
        <w:t>Xanthine Assay Buffer.</w:t>
      </w:r>
    </w:p>
    <w:p w14:paraId="5AB66353" w14:textId="77777777" w:rsidR="00373E7C" w:rsidRPr="00373E7C" w:rsidRDefault="00373E7C" w:rsidP="00BC4E0E">
      <w:pPr>
        <w:pStyle w:val="ListParagraph"/>
        <w:numPr>
          <w:ilvl w:val="0"/>
          <w:numId w:val="32"/>
        </w:numPr>
        <w:autoSpaceDE w:val="0"/>
        <w:autoSpaceDN w:val="0"/>
        <w:adjustRightInd w:val="0"/>
        <w:ind w:left="357" w:hanging="357"/>
        <w:contextualSpacing w:val="0"/>
        <w:rPr>
          <w:rFonts w:cs="Arial"/>
          <w:b/>
          <w:bCs/>
          <w:szCs w:val="20"/>
        </w:rPr>
      </w:pPr>
      <w:r w:rsidRPr="00BC4E0E">
        <w:rPr>
          <w:rFonts w:cs="Arial"/>
          <w:b/>
          <w:bCs/>
          <w:szCs w:val="20"/>
        </w:rPr>
        <w:t>Sample</w:t>
      </w:r>
      <w:r>
        <w:rPr>
          <w:rFonts w:cs="Arial"/>
          <w:b/>
          <w:bCs/>
          <w:szCs w:val="20"/>
        </w:rPr>
        <w:t xml:space="preserve"> Preparation</w:t>
      </w:r>
      <w:r w:rsidRPr="00373E7C">
        <w:rPr>
          <w:rFonts w:cs="Arial"/>
          <w:b/>
          <w:bCs/>
          <w:szCs w:val="20"/>
        </w:rPr>
        <w:t>:</w:t>
      </w:r>
    </w:p>
    <w:p w14:paraId="220D463D" w14:textId="389C7103" w:rsidR="00BC4E0E" w:rsidRDefault="00AD1D71" w:rsidP="00BC4E0E">
      <w:pPr>
        <w:autoSpaceDE w:val="0"/>
        <w:autoSpaceDN w:val="0"/>
        <w:adjustRightInd w:val="0"/>
        <w:spacing w:before="0"/>
        <w:ind w:left="357"/>
        <w:rPr>
          <w:rFonts w:cs="Arial"/>
          <w:bCs/>
          <w:szCs w:val="20"/>
        </w:rPr>
      </w:pPr>
      <w:r w:rsidRPr="00AD1D71">
        <w:rPr>
          <w:rFonts w:cs="Arial"/>
          <w:bCs/>
          <w:szCs w:val="20"/>
        </w:rPr>
        <w:t xml:space="preserve">Liquid samples can be measured directly. </w:t>
      </w:r>
      <w:r w:rsidR="000C387F" w:rsidRPr="000C387F">
        <w:rPr>
          <w:rFonts w:cs="Arial"/>
          <w:bCs/>
          <w:szCs w:val="20"/>
        </w:rPr>
        <w:t>Rapidly homogenize tissue (10 mg) or cells (1 x 10</w:t>
      </w:r>
      <w:r w:rsidR="000C387F" w:rsidRPr="00BC4E0E">
        <w:rPr>
          <w:rFonts w:cs="Arial"/>
          <w:bCs/>
          <w:szCs w:val="20"/>
          <w:vertAlign w:val="superscript"/>
        </w:rPr>
        <w:t>6</w:t>
      </w:r>
      <w:r w:rsidR="00F1087A">
        <w:rPr>
          <w:rFonts w:cs="Arial"/>
          <w:bCs/>
          <w:szCs w:val="20"/>
        </w:rPr>
        <w:t>) with 1</w:t>
      </w:r>
      <w:r w:rsidR="000C387F" w:rsidRPr="000C387F">
        <w:rPr>
          <w:rFonts w:cs="Arial"/>
          <w:bCs/>
          <w:szCs w:val="20"/>
        </w:rPr>
        <w:t xml:space="preserve">00 </w:t>
      </w:r>
      <w:proofErr w:type="spellStart"/>
      <w:r w:rsidR="000C387F" w:rsidRPr="000C387F">
        <w:rPr>
          <w:rFonts w:cs="Arial"/>
          <w:bCs/>
          <w:szCs w:val="20"/>
        </w:rPr>
        <w:t>μl</w:t>
      </w:r>
      <w:proofErr w:type="spellEnd"/>
      <w:r w:rsidR="000C387F" w:rsidRPr="000C387F">
        <w:rPr>
          <w:rFonts w:cs="Arial"/>
          <w:bCs/>
          <w:szCs w:val="20"/>
        </w:rPr>
        <w:t xml:space="preserve"> ice cold </w:t>
      </w:r>
      <w:r w:rsidR="00CA6738">
        <w:rPr>
          <w:rFonts w:cs="Arial"/>
          <w:bCs/>
          <w:szCs w:val="20"/>
        </w:rPr>
        <w:t>Assay Buffer II/</w:t>
      </w:r>
      <w:r w:rsidR="000C387F" w:rsidRPr="000C387F">
        <w:rPr>
          <w:rFonts w:cs="Arial"/>
          <w:bCs/>
          <w:szCs w:val="20"/>
        </w:rPr>
        <w:t>Assay Buffer for 10 minutes on ice.</w:t>
      </w:r>
      <w:r w:rsidR="00BC4E0E">
        <w:rPr>
          <w:rFonts w:cs="Arial"/>
          <w:bCs/>
          <w:szCs w:val="20"/>
        </w:rPr>
        <w:t xml:space="preserve"> </w:t>
      </w:r>
      <w:r w:rsidR="000C387F" w:rsidRPr="000C387F">
        <w:rPr>
          <w:rFonts w:cs="Arial"/>
          <w:bCs/>
          <w:szCs w:val="20"/>
        </w:rPr>
        <w:t>Centrifuge at 12000 rpm for 5 min. Collect the sup</w:t>
      </w:r>
      <w:r w:rsidR="00F1087A">
        <w:rPr>
          <w:rFonts w:cs="Arial"/>
          <w:bCs/>
          <w:szCs w:val="20"/>
        </w:rPr>
        <w:t xml:space="preserve">ernatant. Add 1-50 </w:t>
      </w:r>
      <w:proofErr w:type="spellStart"/>
      <w:r w:rsidR="00F1087A">
        <w:rPr>
          <w:rFonts w:cs="Arial"/>
          <w:bCs/>
          <w:szCs w:val="20"/>
        </w:rPr>
        <w:t>μl</w:t>
      </w:r>
      <w:proofErr w:type="spellEnd"/>
      <w:r w:rsidR="00F1087A">
        <w:rPr>
          <w:rFonts w:cs="Arial"/>
          <w:bCs/>
          <w:szCs w:val="20"/>
        </w:rPr>
        <w:t xml:space="preserve"> sample </w:t>
      </w:r>
      <w:r w:rsidR="000C387F" w:rsidRPr="000C387F">
        <w:rPr>
          <w:rFonts w:cs="Arial"/>
          <w:bCs/>
          <w:szCs w:val="20"/>
        </w:rPr>
        <w:t xml:space="preserve">per well, adjust final volume to 50 </w:t>
      </w:r>
      <w:proofErr w:type="spellStart"/>
      <w:r w:rsidR="000C387F" w:rsidRPr="000C387F">
        <w:rPr>
          <w:rFonts w:cs="Arial"/>
          <w:bCs/>
          <w:szCs w:val="20"/>
        </w:rPr>
        <w:t>μl</w:t>
      </w:r>
      <w:proofErr w:type="spellEnd"/>
      <w:r w:rsidR="000C387F" w:rsidRPr="000C387F">
        <w:rPr>
          <w:rFonts w:cs="Arial"/>
          <w:bCs/>
          <w:szCs w:val="20"/>
        </w:rPr>
        <w:t xml:space="preserve"> with </w:t>
      </w:r>
      <w:r w:rsidR="00CA6738">
        <w:rPr>
          <w:rFonts w:cs="Arial"/>
          <w:bCs/>
          <w:szCs w:val="20"/>
        </w:rPr>
        <w:t>Assay Buffer II/</w:t>
      </w:r>
      <w:r w:rsidR="000C387F" w:rsidRPr="000C387F">
        <w:rPr>
          <w:rFonts w:cs="Arial"/>
          <w:bCs/>
          <w:szCs w:val="20"/>
        </w:rPr>
        <w:t>Assay</w:t>
      </w:r>
      <w:r w:rsidR="000C387F">
        <w:rPr>
          <w:rFonts w:cs="Arial"/>
          <w:bCs/>
          <w:szCs w:val="20"/>
        </w:rPr>
        <w:t xml:space="preserve"> </w:t>
      </w:r>
      <w:r w:rsidR="000C387F" w:rsidRPr="000C387F">
        <w:rPr>
          <w:rFonts w:cs="Arial"/>
          <w:bCs/>
          <w:szCs w:val="20"/>
        </w:rPr>
        <w:t>Buffer</w:t>
      </w:r>
      <w:r w:rsidR="00F1087A">
        <w:rPr>
          <w:rFonts w:cs="Arial"/>
          <w:bCs/>
          <w:szCs w:val="20"/>
        </w:rPr>
        <w:t>.</w:t>
      </w:r>
      <w:r w:rsidR="000C387F" w:rsidRPr="000C387F">
        <w:rPr>
          <w:rFonts w:cs="Arial"/>
          <w:bCs/>
          <w:szCs w:val="20"/>
        </w:rPr>
        <w:t xml:space="preserve"> </w:t>
      </w:r>
    </w:p>
    <w:p w14:paraId="724C58E4" w14:textId="77777777" w:rsidR="00F1087A" w:rsidRDefault="00F1087A" w:rsidP="00F1087A">
      <w:pPr>
        <w:autoSpaceDE w:val="0"/>
        <w:autoSpaceDN w:val="0"/>
        <w:adjustRightInd w:val="0"/>
        <w:ind w:left="357"/>
        <w:rPr>
          <w:rFonts w:cs="Arial"/>
          <w:bCs/>
          <w:i/>
          <w:szCs w:val="20"/>
        </w:rPr>
      </w:pPr>
      <w:r w:rsidRPr="00F1087A">
        <w:rPr>
          <w:rFonts w:cs="Arial"/>
          <w:bCs/>
          <w:i/>
          <w:szCs w:val="20"/>
        </w:rPr>
        <w:t>Notes:</w:t>
      </w:r>
    </w:p>
    <w:p w14:paraId="75FB0EA6" w14:textId="77777777" w:rsidR="00F1087A" w:rsidRDefault="00F1087A" w:rsidP="00F1087A">
      <w:pPr>
        <w:pStyle w:val="ListParagraph"/>
        <w:numPr>
          <w:ilvl w:val="0"/>
          <w:numId w:val="33"/>
        </w:numPr>
        <w:autoSpaceDE w:val="0"/>
        <w:autoSpaceDN w:val="0"/>
        <w:adjustRightInd w:val="0"/>
        <w:rPr>
          <w:rFonts w:cs="Arial"/>
          <w:bCs/>
          <w:i/>
          <w:szCs w:val="20"/>
        </w:rPr>
      </w:pPr>
      <w:r w:rsidRPr="00F1087A">
        <w:rPr>
          <w:rFonts w:cs="Arial"/>
          <w:bCs/>
          <w:i/>
          <w:szCs w:val="20"/>
        </w:rPr>
        <w:t>Some enzymes in samples may interfere with the assay. Enzymes can be removed by 10 K quick spin columns or by</w:t>
      </w:r>
      <w:r>
        <w:rPr>
          <w:rFonts w:cs="Arial"/>
          <w:bCs/>
          <w:i/>
          <w:szCs w:val="20"/>
        </w:rPr>
        <w:t xml:space="preserve"> perchloric acid/KOH treatment.</w:t>
      </w:r>
    </w:p>
    <w:p w14:paraId="3B6DDED5" w14:textId="77777777" w:rsidR="00F1087A" w:rsidRDefault="00F1087A" w:rsidP="00F1087A">
      <w:pPr>
        <w:pStyle w:val="ListParagraph"/>
        <w:numPr>
          <w:ilvl w:val="0"/>
          <w:numId w:val="33"/>
        </w:numPr>
        <w:autoSpaceDE w:val="0"/>
        <w:autoSpaceDN w:val="0"/>
        <w:adjustRightInd w:val="0"/>
        <w:rPr>
          <w:rFonts w:cs="Arial"/>
          <w:bCs/>
          <w:i/>
          <w:szCs w:val="20"/>
        </w:rPr>
      </w:pPr>
      <w:r w:rsidRPr="00F1087A">
        <w:rPr>
          <w:rFonts w:cs="Arial"/>
          <w:bCs/>
          <w:i/>
          <w:szCs w:val="20"/>
        </w:rPr>
        <w:t>For unknown samples, we suggest testing several doses to ensure the readings are within the Standard Curve range.</w:t>
      </w:r>
    </w:p>
    <w:p w14:paraId="010A53D8" w14:textId="77777777" w:rsidR="00F1087A" w:rsidRPr="00F1087A" w:rsidRDefault="00F1087A" w:rsidP="00F1087A">
      <w:pPr>
        <w:pStyle w:val="ListParagraph"/>
        <w:numPr>
          <w:ilvl w:val="0"/>
          <w:numId w:val="33"/>
        </w:numPr>
        <w:rPr>
          <w:rFonts w:cs="Arial"/>
          <w:bCs/>
          <w:i/>
          <w:szCs w:val="20"/>
        </w:rPr>
      </w:pPr>
      <w:r w:rsidRPr="00F1087A">
        <w:rPr>
          <w:rFonts w:cs="Arial"/>
          <w:bCs/>
          <w:i/>
          <w:szCs w:val="20"/>
        </w:rPr>
        <w:t>For samples having high background, prepare parallel sample well(s) as background control.</w:t>
      </w:r>
    </w:p>
    <w:p w14:paraId="043F3D5F" w14:textId="77777777" w:rsidR="00F1087A" w:rsidRPr="00F1087A" w:rsidRDefault="00F1087A" w:rsidP="00F1087A">
      <w:pPr>
        <w:autoSpaceDE w:val="0"/>
        <w:autoSpaceDN w:val="0"/>
        <w:adjustRightInd w:val="0"/>
        <w:ind w:left="357"/>
        <w:rPr>
          <w:rFonts w:cs="Arial"/>
          <w:bCs/>
          <w:i/>
          <w:szCs w:val="20"/>
        </w:rPr>
      </w:pPr>
    </w:p>
    <w:p w14:paraId="092205F6" w14:textId="77777777" w:rsidR="00373E7C" w:rsidRPr="00373E7C" w:rsidRDefault="00BB03C3" w:rsidP="00BC4E0E">
      <w:pPr>
        <w:pStyle w:val="ListParagraph"/>
        <w:numPr>
          <w:ilvl w:val="0"/>
          <w:numId w:val="32"/>
        </w:numPr>
        <w:autoSpaceDE w:val="0"/>
        <w:autoSpaceDN w:val="0"/>
        <w:adjustRightInd w:val="0"/>
        <w:spacing w:before="0"/>
        <w:ind w:left="357" w:hanging="357"/>
        <w:contextualSpacing w:val="0"/>
        <w:rPr>
          <w:rFonts w:cs="Arial"/>
          <w:b/>
          <w:bCs/>
          <w:szCs w:val="20"/>
        </w:rPr>
      </w:pPr>
      <w:r>
        <w:rPr>
          <w:rFonts w:cs="Arial"/>
          <w:b/>
          <w:bCs/>
          <w:szCs w:val="20"/>
        </w:rPr>
        <w:t>Reaction Mix</w:t>
      </w:r>
      <w:r w:rsidR="00373E7C" w:rsidRPr="00373E7C">
        <w:rPr>
          <w:rFonts w:cs="Arial"/>
          <w:b/>
          <w:bCs/>
          <w:szCs w:val="20"/>
        </w:rPr>
        <w:t>:</w:t>
      </w:r>
    </w:p>
    <w:p w14:paraId="794B5FED" w14:textId="77777777" w:rsidR="00BB03C3" w:rsidRDefault="00BB03C3" w:rsidP="00BC4E0E">
      <w:pPr>
        <w:autoSpaceDE w:val="0"/>
        <w:autoSpaceDN w:val="0"/>
        <w:adjustRightInd w:val="0"/>
        <w:spacing w:before="0"/>
        <w:ind w:left="357"/>
        <w:rPr>
          <w:rFonts w:cs="Arial"/>
          <w:bCs/>
          <w:szCs w:val="20"/>
        </w:rPr>
      </w:pPr>
      <w:r w:rsidRPr="00BB03C3">
        <w:rPr>
          <w:rFonts w:cs="Arial"/>
          <w:bCs/>
          <w:szCs w:val="20"/>
        </w:rPr>
        <w:t xml:space="preserve">Mix enough reagents for the number of assays to be performed. For each well, prepare 50 </w:t>
      </w:r>
      <w:proofErr w:type="spellStart"/>
      <w:r w:rsidRPr="00BB03C3">
        <w:rPr>
          <w:rFonts w:cs="Arial"/>
          <w:bCs/>
          <w:szCs w:val="20"/>
        </w:rPr>
        <w:t>μl</w:t>
      </w:r>
      <w:proofErr w:type="spellEnd"/>
      <w:r w:rsidRPr="00BB03C3">
        <w:rPr>
          <w:rFonts w:cs="Arial"/>
          <w:bCs/>
          <w:szCs w:val="20"/>
        </w:rPr>
        <w:t xml:space="preserve"> </w:t>
      </w:r>
      <w:r w:rsidR="006621B2">
        <w:rPr>
          <w:rFonts w:cs="Arial"/>
          <w:bCs/>
          <w:szCs w:val="20"/>
        </w:rPr>
        <w:t xml:space="preserve">Reaction </w:t>
      </w:r>
      <w:r w:rsidRPr="00BB03C3">
        <w:rPr>
          <w:rFonts w:cs="Arial"/>
          <w:bCs/>
          <w:szCs w:val="20"/>
        </w:rPr>
        <w:t>Mix containing:</w:t>
      </w:r>
    </w:p>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815"/>
        <w:gridCol w:w="1896"/>
      </w:tblGrid>
      <w:tr w:rsidR="00BB03C3" w14:paraId="0C93F629" w14:textId="77777777" w:rsidTr="00931DD8">
        <w:tc>
          <w:tcPr>
            <w:tcW w:w="1954" w:type="dxa"/>
          </w:tcPr>
          <w:p w14:paraId="5BABF273" w14:textId="77777777" w:rsidR="00BB03C3" w:rsidRDefault="00BB03C3" w:rsidP="00BC4E0E">
            <w:pPr>
              <w:autoSpaceDE w:val="0"/>
              <w:autoSpaceDN w:val="0"/>
              <w:adjustRightInd w:val="0"/>
              <w:spacing w:before="0"/>
              <w:rPr>
                <w:rFonts w:cs="Arial"/>
                <w:bCs/>
                <w:szCs w:val="20"/>
              </w:rPr>
            </w:pPr>
          </w:p>
        </w:tc>
        <w:tc>
          <w:tcPr>
            <w:tcW w:w="1907" w:type="dxa"/>
            <w:vAlign w:val="center"/>
          </w:tcPr>
          <w:p w14:paraId="6E8112A5" w14:textId="77777777" w:rsidR="00BB03C3" w:rsidRPr="00BC4E0E" w:rsidRDefault="00BB03C3" w:rsidP="00931DD8">
            <w:pPr>
              <w:autoSpaceDE w:val="0"/>
              <w:autoSpaceDN w:val="0"/>
              <w:adjustRightInd w:val="0"/>
              <w:spacing w:before="0"/>
              <w:jc w:val="center"/>
              <w:rPr>
                <w:rFonts w:cs="Arial"/>
                <w:b/>
                <w:bCs/>
                <w:szCs w:val="20"/>
              </w:rPr>
            </w:pPr>
            <w:r w:rsidRPr="00BC4E0E">
              <w:rPr>
                <w:rFonts w:cs="Arial"/>
                <w:b/>
                <w:bCs/>
                <w:szCs w:val="20"/>
              </w:rPr>
              <w:t>Reaction Mix</w:t>
            </w:r>
          </w:p>
        </w:tc>
        <w:tc>
          <w:tcPr>
            <w:tcW w:w="1959" w:type="dxa"/>
            <w:vAlign w:val="center"/>
          </w:tcPr>
          <w:p w14:paraId="68B54138" w14:textId="77777777" w:rsidR="00BB03C3" w:rsidRPr="00BC4E0E" w:rsidRDefault="00BB03C3" w:rsidP="00931DD8">
            <w:pPr>
              <w:autoSpaceDE w:val="0"/>
              <w:autoSpaceDN w:val="0"/>
              <w:adjustRightInd w:val="0"/>
              <w:spacing w:before="0"/>
              <w:jc w:val="center"/>
              <w:rPr>
                <w:rFonts w:cs="Arial"/>
                <w:b/>
                <w:bCs/>
                <w:szCs w:val="20"/>
              </w:rPr>
            </w:pPr>
            <w:r w:rsidRPr="00BC4E0E">
              <w:rPr>
                <w:rFonts w:cs="Arial"/>
                <w:b/>
                <w:bCs/>
                <w:szCs w:val="20"/>
              </w:rPr>
              <w:t xml:space="preserve">Background </w:t>
            </w:r>
            <w:r w:rsidR="00BC4E0E">
              <w:rPr>
                <w:rFonts w:cs="Arial"/>
                <w:b/>
                <w:bCs/>
                <w:szCs w:val="20"/>
              </w:rPr>
              <w:t>C</w:t>
            </w:r>
            <w:r w:rsidRPr="00BC4E0E">
              <w:rPr>
                <w:rFonts w:cs="Arial"/>
                <w:b/>
                <w:bCs/>
                <w:szCs w:val="20"/>
              </w:rPr>
              <w:t xml:space="preserve">ontrol </w:t>
            </w:r>
            <w:r w:rsidR="00BC4E0E">
              <w:rPr>
                <w:rFonts w:cs="Arial"/>
                <w:b/>
                <w:bCs/>
                <w:szCs w:val="20"/>
              </w:rPr>
              <w:t>M</w:t>
            </w:r>
            <w:r w:rsidRPr="00BC4E0E">
              <w:rPr>
                <w:rFonts w:cs="Arial"/>
                <w:b/>
                <w:bCs/>
                <w:szCs w:val="20"/>
              </w:rPr>
              <w:t>ix</w:t>
            </w:r>
          </w:p>
        </w:tc>
      </w:tr>
      <w:tr w:rsidR="00BB03C3" w14:paraId="19C905E9" w14:textId="77777777" w:rsidTr="00BC4E0E">
        <w:tc>
          <w:tcPr>
            <w:tcW w:w="1954" w:type="dxa"/>
          </w:tcPr>
          <w:p w14:paraId="23573D31" w14:textId="4098F7E2" w:rsidR="00BB03C3" w:rsidRDefault="00CA6738" w:rsidP="00CA6738">
            <w:pPr>
              <w:autoSpaceDE w:val="0"/>
              <w:autoSpaceDN w:val="0"/>
              <w:adjustRightInd w:val="0"/>
              <w:spacing w:before="0"/>
              <w:jc w:val="left"/>
              <w:rPr>
                <w:rFonts w:cs="Arial"/>
                <w:bCs/>
                <w:szCs w:val="20"/>
              </w:rPr>
            </w:pPr>
            <w:r>
              <w:rPr>
                <w:rFonts w:cs="Arial"/>
                <w:bCs/>
                <w:szCs w:val="20"/>
              </w:rPr>
              <w:t>Assay Buffer II/</w:t>
            </w:r>
            <w:r w:rsidR="00BB03C3">
              <w:rPr>
                <w:rFonts w:cs="Arial"/>
                <w:bCs/>
                <w:szCs w:val="20"/>
              </w:rPr>
              <w:t>Assay Buffer</w:t>
            </w:r>
          </w:p>
        </w:tc>
        <w:tc>
          <w:tcPr>
            <w:tcW w:w="1907" w:type="dxa"/>
          </w:tcPr>
          <w:p w14:paraId="64D3406A" w14:textId="77777777" w:rsidR="00BB03C3" w:rsidRDefault="00F1087A" w:rsidP="00BC4E0E">
            <w:pPr>
              <w:autoSpaceDE w:val="0"/>
              <w:autoSpaceDN w:val="0"/>
              <w:adjustRightInd w:val="0"/>
              <w:spacing w:before="0"/>
              <w:jc w:val="center"/>
              <w:rPr>
                <w:rFonts w:cs="Arial"/>
                <w:bCs/>
                <w:szCs w:val="20"/>
              </w:rPr>
            </w:pPr>
            <w:r>
              <w:rPr>
                <w:rFonts w:cs="Arial"/>
                <w:bCs/>
                <w:szCs w:val="20"/>
              </w:rPr>
              <w:t>4</w:t>
            </w:r>
            <w:r w:rsidR="00BB03C3">
              <w:rPr>
                <w:rFonts w:cs="Arial"/>
                <w:bCs/>
                <w:szCs w:val="20"/>
              </w:rPr>
              <w:t>4 µl</w:t>
            </w:r>
          </w:p>
        </w:tc>
        <w:tc>
          <w:tcPr>
            <w:tcW w:w="1959" w:type="dxa"/>
          </w:tcPr>
          <w:p w14:paraId="175B0484" w14:textId="77777777" w:rsidR="00BB03C3" w:rsidRDefault="00BB03C3" w:rsidP="00F1087A">
            <w:pPr>
              <w:autoSpaceDE w:val="0"/>
              <w:autoSpaceDN w:val="0"/>
              <w:adjustRightInd w:val="0"/>
              <w:spacing w:before="0"/>
              <w:jc w:val="center"/>
              <w:rPr>
                <w:rFonts w:cs="Arial"/>
                <w:bCs/>
                <w:szCs w:val="20"/>
              </w:rPr>
            </w:pPr>
            <w:r>
              <w:rPr>
                <w:rFonts w:cs="Arial"/>
                <w:bCs/>
                <w:szCs w:val="20"/>
              </w:rPr>
              <w:t>4</w:t>
            </w:r>
            <w:r w:rsidR="00F1087A">
              <w:rPr>
                <w:rFonts w:cs="Arial"/>
                <w:bCs/>
                <w:szCs w:val="20"/>
              </w:rPr>
              <w:t>6</w:t>
            </w:r>
            <w:r>
              <w:rPr>
                <w:rFonts w:cs="Arial"/>
                <w:bCs/>
                <w:szCs w:val="20"/>
              </w:rPr>
              <w:t xml:space="preserve"> µl</w:t>
            </w:r>
          </w:p>
        </w:tc>
      </w:tr>
      <w:tr w:rsidR="00BB03C3" w14:paraId="3EF16C34" w14:textId="77777777" w:rsidTr="00BC4E0E">
        <w:tc>
          <w:tcPr>
            <w:tcW w:w="1954" w:type="dxa"/>
          </w:tcPr>
          <w:p w14:paraId="4FF479D6" w14:textId="1B3290F1" w:rsidR="00BB03C3" w:rsidRDefault="00E30980" w:rsidP="00E30980">
            <w:pPr>
              <w:autoSpaceDE w:val="0"/>
              <w:autoSpaceDN w:val="0"/>
              <w:adjustRightInd w:val="0"/>
              <w:spacing w:before="0"/>
              <w:jc w:val="left"/>
              <w:rPr>
                <w:rFonts w:cs="Arial"/>
                <w:bCs/>
                <w:szCs w:val="20"/>
              </w:rPr>
            </w:pPr>
            <w:r>
              <w:rPr>
                <w:rFonts w:cs="Arial"/>
                <w:bCs/>
                <w:szCs w:val="20"/>
              </w:rPr>
              <w:t>Development Enzyme Mix VIII/</w:t>
            </w:r>
            <w:r w:rsidR="00BB03C3">
              <w:rPr>
                <w:rFonts w:cs="Arial"/>
                <w:bCs/>
                <w:szCs w:val="20"/>
              </w:rPr>
              <w:t>Enzyme Mix</w:t>
            </w:r>
          </w:p>
        </w:tc>
        <w:tc>
          <w:tcPr>
            <w:tcW w:w="1907" w:type="dxa"/>
          </w:tcPr>
          <w:p w14:paraId="70F2D770" w14:textId="77777777" w:rsidR="00BB03C3" w:rsidRDefault="00BB03C3" w:rsidP="00BC4E0E">
            <w:pPr>
              <w:autoSpaceDE w:val="0"/>
              <w:autoSpaceDN w:val="0"/>
              <w:adjustRightInd w:val="0"/>
              <w:spacing w:before="0"/>
              <w:jc w:val="center"/>
              <w:rPr>
                <w:rFonts w:cs="Arial"/>
                <w:bCs/>
                <w:szCs w:val="20"/>
              </w:rPr>
            </w:pPr>
            <w:r>
              <w:rPr>
                <w:rFonts w:cs="Arial"/>
                <w:bCs/>
                <w:szCs w:val="20"/>
              </w:rPr>
              <w:t>2 µl</w:t>
            </w:r>
          </w:p>
        </w:tc>
        <w:tc>
          <w:tcPr>
            <w:tcW w:w="1959" w:type="dxa"/>
          </w:tcPr>
          <w:p w14:paraId="2F3FD594" w14:textId="77777777" w:rsidR="00BB03C3" w:rsidRDefault="00F1087A" w:rsidP="00BC4E0E">
            <w:pPr>
              <w:autoSpaceDE w:val="0"/>
              <w:autoSpaceDN w:val="0"/>
              <w:adjustRightInd w:val="0"/>
              <w:spacing w:before="0"/>
              <w:jc w:val="center"/>
              <w:rPr>
                <w:rFonts w:cs="Arial"/>
                <w:bCs/>
                <w:szCs w:val="20"/>
              </w:rPr>
            </w:pPr>
            <w:r>
              <w:rPr>
                <w:rFonts w:cs="Arial"/>
                <w:bCs/>
                <w:szCs w:val="20"/>
              </w:rPr>
              <w:t>---</w:t>
            </w:r>
            <w:r w:rsidR="00BB03C3">
              <w:rPr>
                <w:rFonts w:cs="Arial"/>
                <w:bCs/>
                <w:szCs w:val="20"/>
              </w:rPr>
              <w:t xml:space="preserve"> µl</w:t>
            </w:r>
          </w:p>
        </w:tc>
      </w:tr>
      <w:tr w:rsidR="00BB03C3" w14:paraId="4B8973F4" w14:textId="77777777" w:rsidTr="00BC4E0E">
        <w:tc>
          <w:tcPr>
            <w:tcW w:w="1954" w:type="dxa"/>
          </w:tcPr>
          <w:p w14:paraId="4ED0CDC6" w14:textId="059ED918" w:rsidR="00BB03C3" w:rsidRDefault="00E30980" w:rsidP="00BC4E0E">
            <w:pPr>
              <w:autoSpaceDE w:val="0"/>
              <w:autoSpaceDN w:val="0"/>
              <w:adjustRightInd w:val="0"/>
              <w:spacing w:before="0"/>
              <w:rPr>
                <w:rFonts w:cs="Arial"/>
                <w:bCs/>
                <w:szCs w:val="20"/>
              </w:rPr>
            </w:pPr>
            <w:r>
              <w:rPr>
                <w:rFonts w:cs="Arial"/>
                <w:bCs/>
                <w:szCs w:val="20"/>
              </w:rPr>
              <w:t>Developer Solution V/</w:t>
            </w:r>
            <w:r w:rsidR="00BB03C3">
              <w:rPr>
                <w:rFonts w:cs="Arial"/>
                <w:bCs/>
                <w:szCs w:val="20"/>
              </w:rPr>
              <w:t>Developer</w:t>
            </w:r>
          </w:p>
        </w:tc>
        <w:tc>
          <w:tcPr>
            <w:tcW w:w="1907" w:type="dxa"/>
          </w:tcPr>
          <w:p w14:paraId="3B72F853" w14:textId="77777777" w:rsidR="00BB03C3" w:rsidRDefault="00BB03C3" w:rsidP="00BC4E0E">
            <w:pPr>
              <w:autoSpaceDE w:val="0"/>
              <w:autoSpaceDN w:val="0"/>
              <w:adjustRightInd w:val="0"/>
              <w:spacing w:before="0"/>
              <w:jc w:val="center"/>
              <w:rPr>
                <w:rFonts w:cs="Arial"/>
                <w:bCs/>
                <w:szCs w:val="20"/>
              </w:rPr>
            </w:pPr>
            <w:r>
              <w:rPr>
                <w:rFonts w:cs="Arial"/>
                <w:bCs/>
                <w:szCs w:val="20"/>
              </w:rPr>
              <w:t>2 µl</w:t>
            </w:r>
          </w:p>
        </w:tc>
        <w:tc>
          <w:tcPr>
            <w:tcW w:w="1959" w:type="dxa"/>
          </w:tcPr>
          <w:p w14:paraId="44AD685C" w14:textId="77777777" w:rsidR="00BB03C3" w:rsidRDefault="00BB03C3" w:rsidP="00BC4E0E">
            <w:pPr>
              <w:autoSpaceDE w:val="0"/>
              <w:autoSpaceDN w:val="0"/>
              <w:adjustRightInd w:val="0"/>
              <w:spacing w:before="0"/>
              <w:jc w:val="center"/>
              <w:rPr>
                <w:rFonts w:cs="Arial"/>
                <w:bCs/>
                <w:szCs w:val="20"/>
              </w:rPr>
            </w:pPr>
            <w:r>
              <w:rPr>
                <w:rFonts w:cs="Arial"/>
                <w:bCs/>
                <w:szCs w:val="20"/>
              </w:rPr>
              <w:t>2 µl</w:t>
            </w:r>
          </w:p>
        </w:tc>
      </w:tr>
      <w:tr w:rsidR="00BB03C3" w14:paraId="68714C12" w14:textId="77777777" w:rsidTr="00BC4E0E">
        <w:tc>
          <w:tcPr>
            <w:tcW w:w="1954" w:type="dxa"/>
          </w:tcPr>
          <w:p w14:paraId="73322C02" w14:textId="77777777" w:rsidR="00BB03C3" w:rsidRDefault="00F1087A" w:rsidP="00BC4E0E">
            <w:pPr>
              <w:autoSpaceDE w:val="0"/>
              <w:autoSpaceDN w:val="0"/>
              <w:adjustRightInd w:val="0"/>
              <w:spacing w:before="0"/>
              <w:rPr>
                <w:rFonts w:cs="Arial"/>
                <w:bCs/>
                <w:szCs w:val="20"/>
              </w:rPr>
            </w:pPr>
            <w:r>
              <w:rPr>
                <w:rFonts w:cs="Arial"/>
                <w:bCs/>
                <w:szCs w:val="20"/>
              </w:rPr>
              <w:t>Probe</w:t>
            </w:r>
          </w:p>
        </w:tc>
        <w:tc>
          <w:tcPr>
            <w:tcW w:w="1907" w:type="dxa"/>
          </w:tcPr>
          <w:p w14:paraId="66CF36CB" w14:textId="77777777" w:rsidR="00BB03C3" w:rsidRDefault="00F1087A" w:rsidP="00BC4E0E">
            <w:pPr>
              <w:autoSpaceDE w:val="0"/>
              <w:autoSpaceDN w:val="0"/>
              <w:adjustRightInd w:val="0"/>
              <w:spacing w:before="0"/>
              <w:jc w:val="center"/>
              <w:rPr>
                <w:rFonts w:cs="Arial"/>
                <w:bCs/>
                <w:szCs w:val="20"/>
              </w:rPr>
            </w:pPr>
            <w:r>
              <w:rPr>
                <w:rFonts w:cs="Arial"/>
                <w:bCs/>
                <w:szCs w:val="20"/>
              </w:rPr>
              <w:t>2 µl</w:t>
            </w:r>
          </w:p>
        </w:tc>
        <w:tc>
          <w:tcPr>
            <w:tcW w:w="1959" w:type="dxa"/>
          </w:tcPr>
          <w:p w14:paraId="36760381" w14:textId="77777777" w:rsidR="00BB03C3" w:rsidRDefault="00F1087A" w:rsidP="00BC4E0E">
            <w:pPr>
              <w:autoSpaceDE w:val="0"/>
              <w:autoSpaceDN w:val="0"/>
              <w:adjustRightInd w:val="0"/>
              <w:spacing w:before="0"/>
              <w:jc w:val="center"/>
              <w:rPr>
                <w:rFonts w:cs="Arial"/>
                <w:bCs/>
                <w:szCs w:val="20"/>
              </w:rPr>
            </w:pPr>
            <w:r>
              <w:rPr>
                <w:rFonts w:cs="Arial"/>
                <w:bCs/>
                <w:szCs w:val="20"/>
              </w:rPr>
              <w:t>2 µl</w:t>
            </w:r>
          </w:p>
        </w:tc>
      </w:tr>
      <w:tr w:rsidR="00BB03C3" w14:paraId="1BC12505" w14:textId="77777777" w:rsidTr="00BC4E0E">
        <w:tc>
          <w:tcPr>
            <w:tcW w:w="1954" w:type="dxa"/>
          </w:tcPr>
          <w:p w14:paraId="5D803111" w14:textId="77777777" w:rsidR="00BB03C3" w:rsidRDefault="00BB03C3" w:rsidP="00BC4E0E">
            <w:pPr>
              <w:autoSpaceDE w:val="0"/>
              <w:autoSpaceDN w:val="0"/>
              <w:adjustRightInd w:val="0"/>
              <w:spacing w:before="0"/>
              <w:rPr>
                <w:rFonts w:cs="Arial"/>
                <w:bCs/>
                <w:szCs w:val="20"/>
              </w:rPr>
            </w:pPr>
          </w:p>
        </w:tc>
        <w:tc>
          <w:tcPr>
            <w:tcW w:w="1907" w:type="dxa"/>
          </w:tcPr>
          <w:p w14:paraId="19E753E9" w14:textId="77777777" w:rsidR="00BB03C3" w:rsidRDefault="00BB03C3" w:rsidP="00BC4E0E">
            <w:pPr>
              <w:autoSpaceDE w:val="0"/>
              <w:autoSpaceDN w:val="0"/>
              <w:adjustRightInd w:val="0"/>
              <w:spacing w:before="0"/>
              <w:jc w:val="center"/>
              <w:rPr>
                <w:rFonts w:cs="Arial"/>
                <w:bCs/>
                <w:szCs w:val="20"/>
              </w:rPr>
            </w:pPr>
          </w:p>
        </w:tc>
        <w:tc>
          <w:tcPr>
            <w:tcW w:w="1959" w:type="dxa"/>
          </w:tcPr>
          <w:p w14:paraId="5A8AD95A" w14:textId="77777777" w:rsidR="00BB03C3" w:rsidRDefault="00BB03C3" w:rsidP="00BC4E0E">
            <w:pPr>
              <w:autoSpaceDE w:val="0"/>
              <w:autoSpaceDN w:val="0"/>
              <w:adjustRightInd w:val="0"/>
              <w:spacing w:before="0"/>
              <w:jc w:val="center"/>
              <w:rPr>
                <w:rFonts w:cs="Arial"/>
                <w:bCs/>
                <w:szCs w:val="20"/>
              </w:rPr>
            </w:pPr>
          </w:p>
        </w:tc>
      </w:tr>
    </w:tbl>
    <w:p w14:paraId="5BB5E3B1" w14:textId="77777777" w:rsidR="009C1E8B" w:rsidRDefault="00BB03C3" w:rsidP="00BC4E0E">
      <w:pPr>
        <w:autoSpaceDE w:val="0"/>
        <w:autoSpaceDN w:val="0"/>
        <w:adjustRightInd w:val="0"/>
        <w:ind w:left="357"/>
        <w:rPr>
          <w:rFonts w:cs="Arial"/>
          <w:bCs/>
          <w:szCs w:val="20"/>
        </w:rPr>
      </w:pPr>
      <w:r w:rsidRPr="00BB03C3">
        <w:rPr>
          <w:rFonts w:cs="Arial"/>
          <w:bCs/>
          <w:szCs w:val="20"/>
        </w:rPr>
        <w:t xml:space="preserve">Add 50 </w:t>
      </w:r>
      <w:proofErr w:type="spellStart"/>
      <w:r w:rsidRPr="00BB03C3">
        <w:rPr>
          <w:rFonts w:cs="Arial"/>
          <w:bCs/>
          <w:szCs w:val="20"/>
        </w:rPr>
        <w:t>μl</w:t>
      </w:r>
      <w:proofErr w:type="spellEnd"/>
      <w:r w:rsidRPr="00BB03C3">
        <w:rPr>
          <w:rFonts w:cs="Arial"/>
          <w:bCs/>
          <w:szCs w:val="20"/>
        </w:rPr>
        <w:t xml:space="preserve"> of the Reaction Mix to each well containing the Standard and test. </w:t>
      </w:r>
      <w:r>
        <w:rPr>
          <w:rFonts w:cs="Arial"/>
          <w:bCs/>
          <w:szCs w:val="20"/>
        </w:rPr>
        <w:t>Mix well</w:t>
      </w:r>
      <w:r w:rsidR="00373E7C" w:rsidRPr="00373E7C">
        <w:rPr>
          <w:rFonts w:cs="Arial"/>
          <w:bCs/>
          <w:szCs w:val="20"/>
        </w:rPr>
        <w:t>.</w:t>
      </w:r>
    </w:p>
    <w:p w14:paraId="6BECE3F3" w14:textId="77777777" w:rsidR="00F1087A" w:rsidRPr="00F1087A" w:rsidRDefault="00F1087A" w:rsidP="00BC4E0E">
      <w:pPr>
        <w:autoSpaceDE w:val="0"/>
        <w:autoSpaceDN w:val="0"/>
        <w:adjustRightInd w:val="0"/>
        <w:ind w:left="357"/>
        <w:rPr>
          <w:rFonts w:cs="Arial"/>
          <w:bCs/>
          <w:i/>
          <w:szCs w:val="20"/>
        </w:rPr>
      </w:pPr>
      <w:r w:rsidRPr="00F1087A">
        <w:rPr>
          <w:rFonts w:cs="Arial"/>
          <w:bCs/>
          <w:i/>
          <w:szCs w:val="20"/>
        </w:rPr>
        <w:t xml:space="preserve">Note: For samples having high background, add 50 </w:t>
      </w:r>
      <w:proofErr w:type="spellStart"/>
      <w:r w:rsidRPr="00F1087A">
        <w:rPr>
          <w:rFonts w:cs="Arial"/>
          <w:bCs/>
          <w:i/>
          <w:szCs w:val="20"/>
        </w:rPr>
        <w:t>μl</w:t>
      </w:r>
      <w:proofErr w:type="spellEnd"/>
      <w:r w:rsidRPr="00F1087A">
        <w:rPr>
          <w:rFonts w:cs="Arial"/>
          <w:bCs/>
          <w:i/>
          <w:szCs w:val="20"/>
        </w:rPr>
        <w:t xml:space="preserve"> of the Background Control Mix to sample background control well(s). Mix </w:t>
      </w:r>
      <w:proofErr w:type="gramStart"/>
      <w:r w:rsidRPr="00F1087A">
        <w:rPr>
          <w:rFonts w:cs="Arial"/>
          <w:bCs/>
          <w:i/>
          <w:szCs w:val="20"/>
        </w:rPr>
        <w:t>well</w:t>
      </w:r>
      <w:proofErr w:type="gramEnd"/>
    </w:p>
    <w:p w14:paraId="79F1DBA2" w14:textId="77777777" w:rsidR="00BB03C3" w:rsidRPr="00373E7C" w:rsidRDefault="00BB03C3" w:rsidP="00BC4E0E">
      <w:pPr>
        <w:pStyle w:val="ListParagraph"/>
        <w:numPr>
          <w:ilvl w:val="0"/>
          <w:numId w:val="32"/>
        </w:numPr>
        <w:autoSpaceDE w:val="0"/>
        <w:autoSpaceDN w:val="0"/>
        <w:adjustRightInd w:val="0"/>
        <w:ind w:left="357" w:hanging="357"/>
        <w:contextualSpacing w:val="0"/>
        <w:rPr>
          <w:rFonts w:cs="Arial"/>
          <w:b/>
          <w:bCs/>
          <w:szCs w:val="20"/>
        </w:rPr>
      </w:pPr>
      <w:r>
        <w:rPr>
          <w:rFonts w:cs="Arial"/>
          <w:b/>
          <w:bCs/>
          <w:szCs w:val="20"/>
        </w:rPr>
        <w:t>Measurement</w:t>
      </w:r>
      <w:r w:rsidRPr="00373E7C">
        <w:rPr>
          <w:rFonts w:cs="Arial"/>
          <w:b/>
          <w:bCs/>
          <w:szCs w:val="20"/>
        </w:rPr>
        <w:t>:</w:t>
      </w:r>
    </w:p>
    <w:p w14:paraId="4E83C784" w14:textId="77777777" w:rsidR="00BB03C3" w:rsidRDefault="00BB03C3" w:rsidP="00BC4E0E">
      <w:pPr>
        <w:autoSpaceDE w:val="0"/>
        <w:autoSpaceDN w:val="0"/>
        <w:adjustRightInd w:val="0"/>
        <w:spacing w:before="0"/>
        <w:ind w:left="357"/>
        <w:rPr>
          <w:rFonts w:cs="Arial"/>
          <w:bCs/>
          <w:szCs w:val="20"/>
        </w:rPr>
      </w:pPr>
      <w:r w:rsidRPr="00BB03C3">
        <w:rPr>
          <w:rFonts w:cs="Arial"/>
          <w:bCs/>
          <w:szCs w:val="20"/>
        </w:rPr>
        <w:t xml:space="preserve">Incubate for </w:t>
      </w:r>
      <w:r w:rsidR="00F1087A">
        <w:rPr>
          <w:rFonts w:cs="Arial"/>
          <w:bCs/>
          <w:szCs w:val="20"/>
        </w:rPr>
        <w:t>30</w:t>
      </w:r>
      <w:r w:rsidRPr="00BB03C3">
        <w:rPr>
          <w:rFonts w:cs="Arial"/>
          <w:bCs/>
          <w:szCs w:val="20"/>
        </w:rPr>
        <w:t xml:space="preserve"> min at room t</w:t>
      </w:r>
      <w:r>
        <w:rPr>
          <w:rFonts w:cs="Arial"/>
          <w:bCs/>
          <w:szCs w:val="20"/>
        </w:rPr>
        <w:t>emperature</w:t>
      </w:r>
      <w:r w:rsidR="00F1087A">
        <w:rPr>
          <w:rFonts w:cs="Arial"/>
          <w:bCs/>
          <w:szCs w:val="20"/>
        </w:rPr>
        <w:t xml:space="preserve">, protected from light. </w:t>
      </w:r>
      <w:r w:rsidR="00F1087A" w:rsidRPr="00F1087A">
        <w:rPr>
          <w:rFonts w:cs="Arial"/>
          <w:bCs/>
          <w:szCs w:val="20"/>
        </w:rPr>
        <w:t>Measure fluorescence at Ex/</w:t>
      </w:r>
      <w:proofErr w:type="spellStart"/>
      <w:r w:rsidR="00F1087A" w:rsidRPr="00F1087A">
        <w:rPr>
          <w:rFonts w:cs="Arial"/>
          <w:bCs/>
          <w:szCs w:val="20"/>
        </w:rPr>
        <w:t>Em</w:t>
      </w:r>
      <w:proofErr w:type="spellEnd"/>
      <w:r w:rsidR="00F1087A" w:rsidRPr="00F1087A">
        <w:rPr>
          <w:rFonts w:cs="Arial"/>
          <w:bCs/>
          <w:szCs w:val="20"/>
        </w:rPr>
        <w:t xml:space="preserve"> = 535/587 nm or color at λ = 570 nm.</w:t>
      </w:r>
    </w:p>
    <w:p w14:paraId="308A01EC" w14:textId="77777777" w:rsidR="00BB03C3" w:rsidRPr="00BB03C3" w:rsidRDefault="00BB03C3" w:rsidP="00BC4E0E">
      <w:pPr>
        <w:autoSpaceDE w:val="0"/>
        <w:autoSpaceDN w:val="0"/>
        <w:adjustRightInd w:val="0"/>
        <w:ind w:left="357"/>
        <w:rPr>
          <w:rFonts w:cs="Arial"/>
          <w:bCs/>
          <w:i/>
          <w:szCs w:val="20"/>
        </w:rPr>
      </w:pPr>
    </w:p>
    <w:p w14:paraId="397894F3" w14:textId="77777777" w:rsidR="009C1E8B" w:rsidRDefault="009C1E8B" w:rsidP="00A04347">
      <w:pPr>
        <w:pStyle w:val="Heading1"/>
        <w:spacing w:before="0"/>
        <w:ind w:left="502" w:hanging="502"/>
      </w:pPr>
      <w:bookmarkStart w:id="20" w:name="_Toc318703576"/>
      <w:bookmarkStart w:id="21" w:name="_Toc328465711"/>
      <w:r>
        <w:t>Data Analysis</w:t>
      </w:r>
      <w:bookmarkEnd w:id="17"/>
      <w:bookmarkEnd w:id="20"/>
      <w:bookmarkEnd w:id="21"/>
    </w:p>
    <w:p w14:paraId="61F6FC6D" w14:textId="77777777" w:rsidR="00931DD8" w:rsidRDefault="00E8302D" w:rsidP="00F1087A">
      <w:pPr>
        <w:autoSpaceDE w:val="0"/>
        <w:autoSpaceDN w:val="0"/>
        <w:adjustRightInd w:val="0"/>
        <w:rPr>
          <w:rFonts w:cs="Arial"/>
          <w:szCs w:val="20"/>
          <w:lang w:val="en-GB"/>
        </w:rPr>
      </w:pPr>
      <w:bookmarkStart w:id="22" w:name="_Toc315440415"/>
      <w:r w:rsidRPr="00E8302D">
        <w:rPr>
          <w:rFonts w:cs="Arial"/>
          <w:b/>
          <w:bCs/>
          <w:szCs w:val="20"/>
          <w:lang w:val="en-GB"/>
        </w:rPr>
        <w:t xml:space="preserve">Calculation: </w:t>
      </w:r>
      <w:r w:rsidR="00F1087A" w:rsidRPr="00F1087A">
        <w:rPr>
          <w:rFonts w:cs="Arial"/>
          <w:szCs w:val="20"/>
          <w:lang w:val="en-GB"/>
        </w:rPr>
        <w:t xml:space="preserve">Subtract 0 Standard reading from all readings. Plot the Xanthine Standard Curve. For samples having high background, correct sample background by subtracting the value derived from the background control from sample readings. Apply the corrected sample reading to the Xanthine Standard Curve to get B </w:t>
      </w:r>
      <w:proofErr w:type="spellStart"/>
      <w:r w:rsidR="00F1087A" w:rsidRPr="00F1087A">
        <w:rPr>
          <w:rFonts w:cs="Arial"/>
          <w:szCs w:val="20"/>
          <w:lang w:val="en-GB"/>
        </w:rPr>
        <w:t>pmol</w:t>
      </w:r>
      <w:proofErr w:type="spellEnd"/>
      <w:r w:rsidR="00F1087A" w:rsidRPr="00F1087A">
        <w:rPr>
          <w:rFonts w:cs="Arial"/>
          <w:szCs w:val="20"/>
          <w:lang w:val="en-GB"/>
        </w:rPr>
        <w:t xml:space="preserve"> or nmol of Xanthine/Hypoxanthine in the sample(s).</w:t>
      </w:r>
    </w:p>
    <w:p w14:paraId="5B3ECCBE" w14:textId="77777777" w:rsidR="00F1087A" w:rsidRDefault="00F1087A" w:rsidP="00F1087A">
      <w:pPr>
        <w:autoSpaceDE w:val="0"/>
        <w:autoSpaceDN w:val="0"/>
        <w:adjustRightInd w:val="0"/>
        <w:rPr>
          <w:rFonts w:cs="Arial"/>
          <w:szCs w:val="20"/>
          <w:lang w:val="en-GB"/>
        </w:rPr>
      </w:pPr>
    </w:p>
    <w:tbl>
      <w:tblPr>
        <w:tblStyle w:val="TableGrid"/>
        <w:tblW w:w="6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244"/>
        <w:gridCol w:w="794"/>
        <w:gridCol w:w="227"/>
        <w:gridCol w:w="908"/>
        <w:gridCol w:w="2154"/>
      </w:tblGrid>
      <w:tr w:rsidR="00970ECB" w:rsidRPr="00931DD8" w14:paraId="151506B4" w14:textId="77777777" w:rsidTr="00970ECB">
        <w:trPr>
          <w:trHeight w:val="227"/>
          <w:jc w:val="center"/>
        </w:trPr>
        <w:tc>
          <w:tcPr>
            <w:tcW w:w="2041" w:type="dxa"/>
            <w:vMerge w:val="restart"/>
            <w:vAlign w:val="center"/>
          </w:tcPr>
          <w:p w14:paraId="13418B7D" w14:textId="77777777" w:rsidR="00970ECB" w:rsidRPr="00970ECB" w:rsidRDefault="00F1087A" w:rsidP="00F1087A">
            <w:pPr>
              <w:autoSpaceDE w:val="0"/>
              <w:autoSpaceDN w:val="0"/>
              <w:adjustRightInd w:val="0"/>
              <w:spacing w:before="0" w:line="240" w:lineRule="auto"/>
              <w:jc w:val="center"/>
              <w:rPr>
                <w:rFonts w:cs="Arial"/>
                <w:b/>
                <w:sz w:val="18"/>
                <w:szCs w:val="18"/>
                <w:lang w:val="en-GB"/>
              </w:rPr>
            </w:pPr>
            <w:r>
              <w:rPr>
                <w:rFonts w:cs="Arial"/>
                <w:b/>
                <w:sz w:val="18"/>
                <w:szCs w:val="18"/>
                <w:lang w:val="en-GB"/>
              </w:rPr>
              <w:t>Xanthine/Hypoxanthine Concentration in sample</w:t>
            </w:r>
            <w:r w:rsidR="00970ECB" w:rsidRPr="00970ECB">
              <w:rPr>
                <w:rFonts w:cs="Arial"/>
                <w:b/>
                <w:sz w:val="18"/>
                <w:szCs w:val="18"/>
                <w:lang w:val="en-GB"/>
              </w:rPr>
              <w:t xml:space="preserve"> </w:t>
            </w:r>
          </w:p>
        </w:tc>
        <w:tc>
          <w:tcPr>
            <w:tcW w:w="244" w:type="dxa"/>
            <w:vMerge w:val="restart"/>
            <w:tcBorders>
              <w:left w:val="nil"/>
            </w:tcBorders>
            <w:vAlign w:val="center"/>
          </w:tcPr>
          <w:p w14:paraId="5490F48E" w14:textId="77777777" w:rsidR="00970ECB" w:rsidRPr="00970ECB" w:rsidRDefault="00970ECB" w:rsidP="00970ECB">
            <w:pPr>
              <w:autoSpaceDE w:val="0"/>
              <w:autoSpaceDN w:val="0"/>
              <w:adjustRightInd w:val="0"/>
              <w:spacing w:before="0" w:line="240" w:lineRule="auto"/>
              <w:jc w:val="left"/>
              <w:rPr>
                <w:rFonts w:cs="Arial"/>
                <w:b/>
                <w:sz w:val="18"/>
                <w:szCs w:val="18"/>
                <w:lang w:val="en-GB"/>
              </w:rPr>
            </w:pPr>
            <w:r w:rsidRPr="00970ECB">
              <w:rPr>
                <w:rFonts w:cs="Arial"/>
                <w:b/>
                <w:sz w:val="18"/>
                <w:szCs w:val="18"/>
                <w:lang w:val="en-GB"/>
              </w:rPr>
              <w:t>=</w:t>
            </w:r>
          </w:p>
        </w:tc>
        <w:tc>
          <w:tcPr>
            <w:tcW w:w="794" w:type="dxa"/>
            <w:tcBorders>
              <w:bottom w:val="single" w:sz="4" w:space="0" w:color="auto"/>
            </w:tcBorders>
            <w:vAlign w:val="center"/>
          </w:tcPr>
          <w:p w14:paraId="5802C3A0" w14:textId="77777777" w:rsidR="00970ECB" w:rsidRPr="00931DD8" w:rsidRDefault="00970ECB" w:rsidP="00931DD8">
            <w:pPr>
              <w:autoSpaceDE w:val="0"/>
              <w:autoSpaceDN w:val="0"/>
              <w:adjustRightInd w:val="0"/>
              <w:spacing w:before="0" w:line="240" w:lineRule="auto"/>
              <w:jc w:val="center"/>
              <w:rPr>
                <w:rFonts w:cs="Arial"/>
                <w:b/>
                <w:sz w:val="18"/>
                <w:szCs w:val="18"/>
                <w:lang w:val="en-GB"/>
              </w:rPr>
            </w:pPr>
            <w:r w:rsidRPr="00931DD8">
              <w:rPr>
                <w:rFonts w:cs="Arial"/>
                <w:b/>
                <w:sz w:val="18"/>
                <w:szCs w:val="18"/>
                <w:lang w:val="en-GB"/>
              </w:rPr>
              <w:t>B</w:t>
            </w:r>
          </w:p>
        </w:tc>
        <w:tc>
          <w:tcPr>
            <w:tcW w:w="227" w:type="dxa"/>
            <w:vMerge w:val="restart"/>
            <w:vAlign w:val="center"/>
          </w:tcPr>
          <w:p w14:paraId="7D17BB5F" w14:textId="77777777" w:rsidR="00970ECB" w:rsidRPr="00931DD8" w:rsidRDefault="00970ECB" w:rsidP="00931DD8">
            <w:pPr>
              <w:autoSpaceDE w:val="0"/>
              <w:autoSpaceDN w:val="0"/>
              <w:adjustRightInd w:val="0"/>
              <w:spacing w:before="0" w:line="240" w:lineRule="auto"/>
              <w:jc w:val="right"/>
              <w:rPr>
                <w:rFonts w:cs="Arial"/>
                <w:sz w:val="18"/>
                <w:szCs w:val="18"/>
                <w:lang w:val="en-GB"/>
              </w:rPr>
            </w:pPr>
            <w:r w:rsidRPr="00931DD8">
              <w:rPr>
                <w:rFonts w:cs="Arial"/>
                <w:b/>
                <w:sz w:val="18"/>
                <w:szCs w:val="18"/>
                <w:lang w:val="en-GB"/>
              </w:rPr>
              <w:t xml:space="preserve">x </w:t>
            </w:r>
          </w:p>
        </w:tc>
        <w:tc>
          <w:tcPr>
            <w:tcW w:w="908" w:type="dxa"/>
            <w:vMerge w:val="restart"/>
            <w:vAlign w:val="center"/>
          </w:tcPr>
          <w:p w14:paraId="127C1B15" w14:textId="77777777" w:rsidR="00970ECB" w:rsidRPr="00931DD8" w:rsidRDefault="00970ECB" w:rsidP="00931DD8">
            <w:pPr>
              <w:autoSpaceDE w:val="0"/>
              <w:autoSpaceDN w:val="0"/>
              <w:adjustRightInd w:val="0"/>
              <w:spacing w:before="0" w:line="240" w:lineRule="auto"/>
              <w:jc w:val="center"/>
              <w:rPr>
                <w:rFonts w:cs="Arial"/>
                <w:sz w:val="18"/>
                <w:szCs w:val="18"/>
                <w:lang w:val="en-GB"/>
              </w:rPr>
            </w:pPr>
            <w:r w:rsidRPr="00931DD8">
              <w:rPr>
                <w:rFonts w:cs="Arial"/>
                <w:b/>
                <w:sz w:val="18"/>
                <w:szCs w:val="18"/>
                <w:lang w:val="en-GB"/>
              </w:rPr>
              <w:t>Dilution Factor</w:t>
            </w:r>
          </w:p>
        </w:tc>
        <w:tc>
          <w:tcPr>
            <w:tcW w:w="2154" w:type="dxa"/>
            <w:vMerge w:val="restart"/>
            <w:vAlign w:val="center"/>
          </w:tcPr>
          <w:p w14:paraId="3E27B9F0" w14:textId="77777777" w:rsidR="00970ECB" w:rsidRPr="00931DD8" w:rsidRDefault="00F1087A" w:rsidP="00F1087A">
            <w:pPr>
              <w:autoSpaceDE w:val="0"/>
              <w:autoSpaceDN w:val="0"/>
              <w:adjustRightInd w:val="0"/>
              <w:spacing w:before="0" w:line="240" w:lineRule="auto"/>
              <w:jc w:val="center"/>
              <w:rPr>
                <w:rFonts w:cs="Arial"/>
                <w:sz w:val="18"/>
                <w:szCs w:val="18"/>
                <w:lang w:val="en-GB"/>
              </w:rPr>
            </w:pPr>
            <w:r>
              <w:rPr>
                <w:rFonts w:cs="Arial"/>
                <w:b/>
                <w:sz w:val="18"/>
                <w:szCs w:val="18"/>
                <w:lang w:val="en-GB"/>
              </w:rPr>
              <w:t>= nmol/</w:t>
            </w:r>
            <w:r w:rsidR="00970ECB" w:rsidRPr="00931DD8">
              <w:rPr>
                <w:rFonts w:cs="Arial"/>
                <w:b/>
                <w:sz w:val="18"/>
                <w:szCs w:val="18"/>
                <w:lang w:val="en-GB"/>
              </w:rPr>
              <w:t>ml/</w:t>
            </w:r>
            <w:r>
              <w:rPr>
                <w:rFonts w:cs="Arial"/>
                <w:b/>
                <w:sz w:val="18"/>
                <w:szCs w:val="18"/>
                <w:lang w:val="en-GB"/>
              </w:rPr>
              <w:t xml:space="preserve"> or </w:t>
            </w:r>
            <w:proofErr w:type="spellStart"/>
            <w:r>
              <w:rPr>
                <w:rFonts w:cs="Arial"/>
                <w:b/>
                <w:sz w:val="18"/>
                <w:szCs w:val="18"/>
                <w:lang w:val="en-GB"/>
              </w:rPr>
              <w:t>pmol</w:t>
            </w:r>
            <w:proofErr w:type="spellEnd"/>
            <w:r>
              <w:rPr>
                <w:rFonts w:cs="Arial"/>
                <w:b/>
                <w:sz w:val="18"/>
                <w:szCs w:val="18"/>
                <w:lang w:val="en-GB"/>
              </w:rPr>
              <w:t>/ml</w:t>
            </w:r>
            <w:r w:rsidR="00970ECB" w:rsidRPr="00931DD8">
              <w:rPr>
                <w:rFonts w:cs="Arial"/>
                <w:b/>
                <w:sz w:val="18"/>
                <w:szCs w:val="18"/>
                <w:lang w:val="en-GB"/>
              </w:rPr>
              <w:t xml:space="preserve"> = </w:t>
            </w:r>
            <w:r>
              <w:rPr>
                <w:rFonts w:cs="Arial"/>
                <w:b/>
                <w:sz w:val="18"/>
                <w:szCs w:val="18"/>
                <w:lang w:val="en-GB"/>
              </w:rPr>
              <w:t xml:space="preserve">µM or </w:t>
            </w:r>
            <w:proofErr w:type="spellStart"/>
            <w:r>
              <w:rPr>
                <w:rFonts w:cs="Arial"/>
                <w:b/>
                <w:sz w:val="18"/>
                <w:szCs w:val="18"/>
                <w:lang w:val="en-GB"/>
              </w:rPr>
              <w:t>nM</w:t>
            </w:r>
            <w:proofErr w:type="spellEnd"/>
          </w:p>
        </w:tc>
      </w:tr>
      <w:tr w:rsidR="00970ECB" w:rsidRPr="00931DD8" w14:paraId="5ADF397D" w14:textId="77777777" w:rsidTr="00970ECB">
        <w:trPr>
          <w:trHeight w:val="387"/>
          <w:jc w:val="center"/>
        </w:trPr>
        <w:tc>
          <w:tcPr>
            <w:tcW w:w="2041" w:type="dxa"/>
            <w:vMerge/>
          </w:tcPr>
          <w:p w14:paraId="62AEEB0D" w14:textId="77777777" w:rsidR="00970ECB" w:rsidRPr="00931DD8" w:rsidRDefault="00970ECB" w:rsidP="00931DD8">
            <w:pPr>
              <w:autoSpaceDE w:val="0"/>
              <w:autoSpaceDN w:val="0"/>
              <w:adjustRightInd w:val="0"/>
              <w:spacing w:before="0" w:line="240" w:lineRule="auto"/>
              <w:rPr>
                <w:rFonts w:cs="Arial"/>
                <w:b/>
                <w:sz w:val="18"/>
                <w:szCs w:val="20"/>
                <w:lang w:val="en-GB"/>
              </w:rPr>
            </w:pPr>
          </w:p>
        </w:tc>
        <w:tc>
          <w:tcPr>
            <w:tcW w:w="244" w:type="dxa"/>
            <w:vMerge/>
            <w:tcBorders>
              <w:left w:val="nil"/>
            </w:tcBorders>
          </w:tcPr>
          <w:p w14:paraId="6B7C2C62" w14:textId="77777777" w:rsidR="00970ECB" w:rsidRPr="00931DD8" w:rsidRDefault="00970ECB" w:rsidP="00931DD8">
            <w:pPr>
              <w:autoSpaceDE w:val="0"/>
              <w:autoSpaceDN w:val="0"/>
              <w:adjustRightInd w:val="0"/>
              <w:spacing w:before="0" w:line="240" w:lineRule="auto"/>
              <w:rPr>
                <w:rFonts w:cs="Arial"/>
                <w:b/>
                <w:sz w:val="18"/>
                <w:szCs w:val="20"/>
                <w:lang w:val="en-GB"/>
              </w:rPr>
            </w:pPr>
          </w:p>
        </w:tc>
        <w:tc>
          <w:tcPr>
            <w:tcW w:w="794" w:type="dxa"/>
            <w:tcBorders>
              <w:top w:val="single" w:sz="4" w:space="0" w:color="auto"/>
            </w:tcBorders>
          </w:tcPr>
          <w:p w14:paraId="15BFA391" w14:textId="77777777" w:rsidR="00970ECB" w:rsidRPr="00931DD8" w:rsidRDefault="00F1087A" w:rsidP="00931DD8">
            <w:pPr>
              <w:autoSpaceDE w:val="0"/>
              <w:autoSpaceDN w:val="0"/>
              <w:adjustRightInd w:val="0"/>
              <w:spacing w:before="60" w:line="240" w:lineRule="auto"/>
              <w:jc w:val="center"/>
              <w:rPr>
                <w:rFonts w:cs="Arial"/>
                <w:b/>
                <w:sz w:val="18"/>
                <w:szCs w:val="20"/>
                <w:lang w:val="en-GB"/>
              </w:rPr>
            </w:pPr>
            <w:r>
              <w:rPr>
                <w:rFonts w:cs="Arial"/>
                <w:b/>
                <w:sz w:val="18"/>
                <w:szCs w:val="20"/>
                <w:lang w:val="en-GB"/>
              </w:rPr>
              <w:t>V</w:t>
            </w:r>
          </w:p>
        </w:tc>
        <w:tc>
          <w:tcPr>
            <w:tcW w:w="227" w:type="dxa"/>
            <w:vMerge/>
          </w:tcPr>
          <w:p w14:paraId="73F29DCE" w14:textId="77777777" w:rsidR="00970ECB" w:rsidRPr="00931DD8" w:rsidRDefault="00970ECB" w:rsidP="00931DD8">
            <w:pPr>
              <w:autoSpaceDE w:val="0"/>
              <w:autoSpaceDN w:val="0"/>
              <w:adjustRightInd w:val="0"/>
              <w:spacing w:before="0" w:line="240" w:lineRule="auto"/>
              <w:rPr>
                <w:rFonts w:cs="Arial"/>
                <w:sz w:val="18"/>
                <w:szCs w:val="20"/>
                <w:lang w:val="en-GB"/>
              </w:rPr>
            </w:pPr>
          </w:p>
        </w:tc>
        <w:tc>
          <w:tcPr>
            <w:tcW w:w="908" w:type="dxa"/>
            <w:vMerge/>
          </w:tcPr>
          <w:p w14:paraId="3D9CE784" w14:textId="77777777" w:rsidR="00970ECB" w:rsidRPr="00931DD8" w:rsidRDefault="00970ECB" w:rsidP="00931DD8">
            <w:pPr>
              <w:autoSpaceDE w:val="0"/>
              <w:autoSpaceDN w:val="0"/>
              <w:adjustRightInd w:val="0"/>
              <w:spacing w:before="0" w:line="240" w:lineRule="auto"/>
              <w:rPr>
                <w:rFonts w:cs="Arial"/>
                <w:sz w:val="18"/>
                <w:szCs w:val="20"/>
                <w:lang w:val="en-GB"/>
              </w:rPr>
            </w:pPr>
          </w:p>
        </w:tc>
        <w:tc>
          <w:tcPr>
            <w:tcW w:w="2154" w:type="dxa"/>
            <w:vMerge/>
          </w:tcPr>
          <w:p w14:paraId="476A7A36" w14:textId="77777777" w:rsidR="00970ECB" w:rsidRPr="00931DD8" w:rsidRDefault="00970ECB" w:rsidP="00931DD8">
            <w:pPr>
              <w:autoSpaceDE w:val="0"/>
              <w:autoSpaceDN w:val="0"/>
              <w:adjustRightInd w:val="0"/>
              <w:spacing w:before="0" w:line="240" w:lineRule="auto"/>
              <w:rPr>
                <w:rFonts w:cs="Arial"/>
                <w:sz w:val="18"/>
                <w:szCs w:val="20"/>
                <w:lang w:val="en-GB"/>
              </w:rPr>
            </w:pPr>
          </w:p>
        </w:tc>
      </w:tr>
    </w:tbl>
    <w:p w14:paraId="40AD6260" w14:textId="77777777" w:rsidR="00BB03C3" w:rsidRDefault="00BB03C3" w:rsidP="00BC4E0E">
      <w:pPr>
        <w:autoSpaceDE w:val="0"/>
        <w:autoSpaceDN w:val="0"/>
        <w:adjustRightInd w:val="0"/>
        <w:rPr>
          <w:rFonts w:cs="Arial"/>
          <w:szCs w:val="20"/>
          <w:lang w:val="en-GB"/>
        </w:rPr>
      </w:pPr>
      <w:r>
        <w:rPr>
          <w:rFonts w:cs="Arial"/>
          <w:szCs w:val="20"/>
          <w:lang w:val="en-GB"/>
        </w:rPr>
        <w:t>Where:</w:t>
      </w:r>
    </w:p>
    <w:p w14:paraId="56A3E147" w14:textId="77777777" w:rsidR="00BB03C3" w:rsidRPr="00BB03C3" w:rsidRDefault="00BB03C3" w:rsidP="00BB03C3">
      <w:pPr>
        <w:autoSpaceDE w:val="0"/>
        <w:autoSpaceDN w:val="0"/>
        <w:adjustRightInd w:val="0"/>
        <w:spacing w:before="0"/>
        <w:rPr>
          <w:rFonts w:cs="Arial"/>
          <w:szCs w:val="20"/>
          <w:lang w:val="en-GB"/>
        </w:rPr>
      </w:pPr>
      <w:r w:rsidRPr="00BC4E0E">
        <w:rPr>
          <w:rFonts w:cs="Arial"/>
          <w:b/>
          <w:szCs w:val="20"/>
          <w:lang w:val="en-GB"/>
        </w:rPr>
        <w:t>B</w:t>
      </w:r>
      <w:r w:rsidRPr="00BB03C3">
        <w:rPr>
          <w:rFonts w:cs="Arial"/>
          <w:szCs w:val="20"/>
          <w:lang w:val="en-GB"/>
        </w:rPr>
        <w:t xml:space="preserve"> is the amount </w:t>
      </w:r>
      <w:r w:rsidR="00F1087A">
        <w:rPr>
          <w:rFonts w:cs="Arial"/>
          <w:szCs w:val="20"/>
          <w:lang w:val="en-GB"/>
        </w:rPr>
        <w:t>of Xanthine/Hypoxanthine in the sample</w:t>
      </w:r>
      <w:r w:rsidRPr="00BB03C3">
        <w:rPr>
          <w:rFonts w:cs="Arial"/>
          <w:szCs w:val="20"/>
          <w:lang w:val="en-GB"/>
        </w:rPr>
        <w:t xml:space="preserve"> (</w:t>
      </w:r>
      <w:proofErr w:type="spellStart"/>
      <w:r w:rsidR="00F1087A">
        <w:rPr>
          <w:rFonts w:cs="Arial"/>
          <w:szCs w:val="20"/>
          <w:lang w:val="en-GB"/>
        </w:rPr>
        <w:t>pmol</w:t>
      </w:r>
      <w:proofErr w:type="spellEnd"/>
      <w:r w:rsidR="00F1087A">
        <w:rPr>
          <w:rFonts w:cs="Arial"/>
          <w:szCs w:val="20"/>
          <w:lang w:val="en-GB"/>
        </w:rPr>
        <w:t xml:space="preserve"> or </w:t>
      </w:r>
      <w:r w:rsidRPr="00BB03C3">
        <w:rPr>
          <w:rFonts w:cs="Arial"/>
          <w:szCs w:val="20"/>
          <w:lang w:val="en-GB"/>
        </w:rPr>
        <w:t>nmol).</w:t>
      </w:r>
    </w:p>
    <w:p w14:paraId="680649EA" w14:textId="77777777" w:rsidR="00BB03C3" w:rsidRDefault="00BB03C3" w:rsidP="00BB03C3">
      <w:pPr>
        <w:autoSpaceDE w:val="0"/>
        <w:autoSpaceDN w:val="0"/>
        <w:adjustRightInd w:val="0"/>
        <w:spacing w:before="0"/>
        <w:rPr>
          <w:rFonts w:cs="Arial"/>
          <w:szCs w:val="20"/>
          <w:lang w:val="en-GB"/>
        </w:rPr>
      </w:pPr>
      <w:r w:rsidRPr="00BC4E0E">
        <w:rPr>
          <w:rFonts w:cs="Arial"/>
          <w:b/>
          <w:szCs w:val="20"/>
          <w:lang w:val="en-GB"/>
        </w:rPr>
        <w:t>V</w:t>
      </w:r>
      <w:r w:rsidRPr="00BB03C3">
        <w:rPr>
          <w:rFonts w:cs="Arial"/>
          <w:szCs w:val="20"/>
          <w:lang w:val="en-GB"/>
        </w:rPr>
        <w:t xml:space="preserve"> is the sample volume added into the reaction well (ml).</w:t>
      </w:r>
    </w:p>
    <w:p w14:paraId="544E9024" w14:textId="77777777" w:rsidR="00036A61" w:rsidRDefault="00036A61" w:rsidP="00E8302D">
      <w:pPr>
        <w:autoSpaceDE w:val="0"/>
        <w:autoSpaceDN w:val="0"/>
        <w:adjustRightInd w:val="0"/>
        <w:spacing w:before="0"/>
        <w:rPr>
          <w:rFonts w:cs="Arial"/>
          <w:szCs w:val="20"/>
          <w:lang w:val="en-GB"/>
        </w:rPr>
      </w:pPr>
    </w:p>
    <w:p w14:paraId="64FC91C3" w14:textId="77777777" w:rsidR="00F1087A" w:rsidRPr="00F1087A" w:rsidRDefault="006C6C2D" w:rsidP="00F1087A">
      <w:pPr>
        <w:autoSpaceDE w:val="0"/>
        <w:autoSpaceDN w:val="0"/>
        <w:adjustRightInd w:val="0"/>
        <w:spacing w:before="0"/>
        <w:rPr>
          <w:rFonts w:cs="Arial"/>
          <w:szCs w:val="20"/>
          <w:lang w:val="en-GB"/>
        </w:rPr>
      </w:pPr>
      <w:r>
        <w:rPr>
          <w:rFonts w:cs="Arial"/>
          <w:szCs w:val="20"/>
          <w:lang w:val="en-GB"/>
        </w:rPr>
        <w:t>X</w:t>
      </w:r>
      <w:r w:rsidR="00F1087A" w:rsidRPr="00F1087A">
        <w:rPr>
          <w:rFonts w:cs="Arial"/>
          <w:szCs w:val="20"/>
          <w:lang w:val="en-GB"/>
        </w:rPr>
        <w:t>anthine molecular weight: 152.11 g/mol. Hypoxanthine molecular weight: 136.11g/mol</w:t>
      </w:r>
    </w:p>
    <w:p w14:paraId="4870DA21" w14:textId="77777777" w:rsidR="006C6C2D" w:rsidRDefault="006C6C2D" w:rsidP="00F1087A">
      <w:pPr>
        <w:autoSpaceDE w:val="0"/>
        <w:autoSpaceDN w:val="0"/>
        <w:adjustRightInd w:val="0"/>
        <w:spacing w:before="0"/>
        <w:rPr>
          <w:rFonts w:cs="Arial"/>
          <w:szCs w:val="20"/>
          <w:lang w:val="en-GB"/>
        </w:rPr>
      </w:pPr>
    </w:p>
    <w:p w14:paraId="2C6CFA3B" w14:textId="77777777" w:rsidR="00036A61" w:rsidRDefault="00F1087A" w:rsidP="00F1087A">
      <w:pPr>
        <w:autoSpaceDE w:val="0"/>
        <w:autoSpaceDN w:val="0"/>
        <w:adjustRightInd w:val="0"/>
        <w:spacing w:before="0"/>
        <w:rPr>
          <w:rFonts w:cs="Arial"/>
          <w:szCs w:val="20"/>
          <w:lang w:val="en-GB"/>
        </w:rPr>
      </w:pPr>
      <w:r w:rsidRPr="00F1087A">
        <w:rPr>
          <w:rFonts w:cs="Arial"/>
          <w:szCs w:val="20"/>
          <w:lang w:val="en-GB"/>
        </w:rPr>
        <w:t>Xanthine/Hypoxanthine in samples can also be expressed in nmol/mg of sample or other desired method.</w:t>
      </w:r>
    </w:p>
    <w:p w14:paraId="6BC885E5" w14:textId="77777777" w:rsidR="00931DD8" w:rsidRDefault="00931DD8" w:rsidP="00E8302D">
      <w:pPr>
        <w:autoSpaceDE w:val="0"/>
        <w:autoSpaceDN w:val="0"/>
        <w:adjustRightInd w:val="0"/>
        <w:spacing w:before="0"/>
        <w:rPr>
          <w:rFonts w:cs="Arial"/>
          <w:szCs w:val="20"/>
          <w:lang w:val="en-GB"/>
        </w:rPr>
      </w:pPr>
    </w:p>
    <w:p w14:paraId="6208C715" w14:textId="77777777" w:rsidR="005A523C" w:rsidRDefault="005A523C" w:rsidP="006F6822">
      <w:pPr>
        <w:autoSpaceDE w:val="0"/>
        <w:autoSpaceDN w:val="0"/>
        <w:adjustRightInd w:val="0"/>
        <w:spacing w:before="0"/>
        <w:rPr>
          <w:rFonts w:cs="Arial"/>
          <w:szCs w:val="20"/>
        </w:rPr>
      </w:pPr>
    </w:p>
    <w:p w14:paraId="05CA52F0" w14:textId="77777777" w:rsidR="006C6C2D" w:rsidRDefault="006C6C2D" w:rsidP="006C6C2D">
      <w:pPr>
        <w:autoSpaceDE w:val="0"/>
        <w:autoSpaceDN w:val="0"/>
        <w:adjustRightInd w:val="0"/>
        <w:spacing w:before="0"/>
        <w:jc w:val="center"/>
        <w:rPr>
          <w:rFonts w:cs="Arial"/>
          <w:bCs/>
          <w:szCs w:val="20"/>
          <w:lang w:val="en-GB"/>
        </w:rPr>
      </w:pPr>
      <w:r>
        <w:rPr>
          <w:rFonts w:cs="Arial"/>
          <w:noProof/>
          <w:szCs w:val="20"/>
          <w:lang w:val="en-GB" w:eastAsia="en-GB"/>
        </w:rPr>
        <w:lastRenderedPageBreak/>
        <w:drawing>
          <wp:inline distT="0" distB="0" distL="0" distR="0" wp14:anchorId="726AD711" wp14:editId="07C99267">
            <wp:extent cx="2178906" cy="30623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2.jpg"/>
                    <pic:cNvPicPr/>
                  </pic:nvPicPr>
                  <pic:blipFill rotWithShape="1">
                    <a:blip r:embed="rId12" cstate="print">
                      <a:extLst>
                        <a:ext uri="{28A0092B-C50C-407E-A947-70E740481C1C}">
                          <a14:useLocalDpi xmlns:a14="http://schemas.microsoft.com/office/drawing/2010/main" val="0"/>
                        </a:ext>
                      </a:extLst>
                    </a:blip>
                    <a:srcRect r="-1368" b="32170"/>
                    <a:stretch/>
                  </pic:blipFill>
                  <pic:spPr bwMode="auto">
                    <a:xfrm>
                      <a:off x="0" y="0"/>
                      <a:ext cx="2191908" cy="3080651"/>
                    </a:xfrm>
                    <a:prstGeom prst="rect">
                      <a:avLst/>
                    </a:prstGeom>
                    <a:ln>
                      <a:noFill/>
                    </a:ln>
                    <a:extLst>
                      <a:ext uri="{53640926-AAD7-44D8-BBD7-CCE9431645EC}">
                        <a14:shadowObscured xmlns:a14="http://schemas.microsoft.com/office/drawing/2010/main"/>
                      </a:ext>
                    </a:extLst>
                  </pic:spPr>
                </pic:pic>
              </a:graphicData>
            </a:graphic>
          </wp:inline>
        </w:drawing>
      </w:r>
    </w:p>
    <w:p w14:paraId="3DDC80A7" w14:textId="77777777" w:rsidR="006F6822" w:rsidRDefault="006F6822" w:rsidP="006F6822">
      <w:pPr>
        <w:autoSpaceDE w:val="0"/>
        <w:autoSpaceDN w:val="0"/>
        <w:adjustRightInd w:val="0"/>
        <w:spacing w:before="0"/>
        <w:jc w:val="center"/>
        <w:rPr>
          <w:rFonts w:cs="Arial"/>
          <w:bCs/>
          <w:szCs w:val="20"/>
          <w:lang w:val="en-GB"/>
        </w:rPr>
      </w:pPr>
      <w:r>
        <w:rPr>
          <w:noProof/>
        </w:rPr>
        <w:drawing>
          <wp:inline distT="0" distB="0" distL="0" distR="0" wp14:anchorId="5B022A32" wp14:editId="7D19A384">
            <wp:extent cx="1656272" cy="1536191"/>
            <wp:effectExtent l="0" t="0" r="0" b="0"/>
            <wp:docPr id="1" name="Picture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0702" cy="1558850"/>
                    </a:xfrm>
                    <a:prstGeom prst="rect">
                      <a:avLst/>
                    </a:prstGeom>
                    <a:noFill/>
                    <a:ln>
                      <a:noFill/>
                    </a:ln>
                  </pic:spPr>
                </pic:pic>
              </a:graphicData>
            </a:graphic>
          </wp:inline>
        </w:drawing>
      </w:r>
    </w:p>
    <w:p w14:paraId="4F405ABD" w14:textId="77777777" w:rsidR="005A523C" w:rsidRPr="006C6C2D" w:rsidRDefault="00200422" w:rsidP="006C6C2D">
      <w:pPr>
        <w:autoSpaceDE w:val="0"/>
        <w:autoSpaceDN w:val="0"/>
        <w:adjustRightInd w:val="0"/>
        <w:spacing w:before="0"/>
        <w:rPr>
          <w:rFonts w:cs="Arial"/>
          <w:szCs w:val="20"/>
        </w:rPr>
      </w:pPr>
      <w:r w:rsidRPr="00200422">
        <w:rPr>
          <w:rFonts w:cs="Arial"/>
          <w:bCs/>
          <w:szCs w:val="20"/>
          <w:lang w:val="en-GB"/>
        </w:rPr>
        <w:t xml:space="preserve">Figure 1: </w:t>
      </w:r>
      <w:r w:rsidR="006C6C2D" w:rsidRPr="006C6C2D">
        <w:rPr>
          <w:rFonts w:cs="Arial"/>
          <w:bCs/>
          <w:szCs w:val="20"/>
          <w:lang w:val="en-GB"/>
        </w:rPr>
        <w:t xml:space="preserve">Xanthine Standard Curve (a) &amp; (b). </w:t>
      </w:r>
      <w:r w:rsidR="006F6822" w:rsidRPr="006F6822">
        <w:rPr>
          <w:rFonts w:cs="Arial"/>
          <w:bCs/>
          <w:szCs w:val="20"/>
          <w:lang w:val="en-GB"/>
        </w:rPr>
        <w:t xml:space="preserve">Xanthine &amp; Hypoxanthine measured in biological fluids by </w:t>
      </w:r>
      <w:r w:rsidR="00874400" w:rsidRPr="006F6822">
        <w:rPr>
          <w:rFonts w:cs="Arial"/>
          <w:bCs/>
          <w:szCs w:val="20"/>
          <w:lang w:val="en-GB"/>
        </w:rPr>
        <w:t>fluorometric</w:t>
      </w:r>
      <w:r w:rsidR="006F6822" w:rsidRPr="006F6822">
        <w:rPr>
          <w:rFonts w:cs="Arial"/>
          <w:bCs/>
          <w:szCs w:val="20"/>
          <w:lang w:val="en-GB"/>
        </w:rPr>
        <w:t xml:space="preserve"> method showi</w:t>
      </w:r>
      <w:r w:rsidR="00874400">
        <w:rPr>
          <w:rFonts w:cs="Arial"/>
          <w:bCs/>
          <w:szCs w:val="20"/>
          <w:lang w:val="en-GB"/>
        </w:rPr>
        <w:t xml:space="preserve">ng concentrations (micromolar) </w:t>
      </w:r>
      <w:r w:rsidR="006C6C2D" w:rsidRPr="006C6C2D">
        <w:rPr>
          <w:rFonts w:cs="Arial"/>
          <w:bCs/>
          <w:szCs w:val="20"/>
          <w:lang w:val="en-GB"/>
        </w:rPr>
        <w:t>(c). Assays were performed following Kit protocol</w:t>
      </w:r>
      <w:r w:rsidR="005A523C" w:rsidRPr="00200422">
        <w:rPr>
          <w:rFonts w:cs="Arial"/>
          <w:szCs w:val="20"/>
          <w:lang w:val="en-GB"/>
        </w:rPr>
        <w:t>.</w:t>
      </w:r>
    </w:p>
    <w:p w14:paraId="72E5D6DB" w14:textId="77777777" w:rsidR="009C1E8B" w:rsidRDefault="009C1E8B" w:rsidP="00A04347">
      <w:pPr>
        <w:pStyle w:val="Heading1"/>
        <w:spacing w:before="0"/>
        <w:ind w:left="502" w:hanging="502"/>
      </w:pPr>
      <w:bookmarkStart w:id="23" w:name="_Toc318703577"/>
      <w:bookmarkStart w:id="24" w:name="_Toc328465712"/>
      <w:r>
        <w:lastRenderedPageBreak/>
        <w:t>Troubleshooting</w:t>
      </w:r>
      <w:bookmarkEnd w:id="18"/>
      <w:bookmarkEnd w:id="19"/>
      <w:bookmarkEnd w:id="22"/>
      <w:bookmarkEnd w:id="23"/>
      <w:bookmarkEnd w:id="24"/>
    </w:p>
    <w:tbl>
      <w:tblPr>
        <w:tblW w:w="6542" w:type="dxa"/>
        <w:tblLayout w:type="fixed"/>
        <w:tblCellMar>
          <w:top w:w="28" w:type="dxa"/>
          <w:bottom w:w="28" w:type="dxa"/>
        </w:tblCellMar>
        <w:tblLook w:val="04A0" w:firstRow="1" w:lastRow="0" w:firstColumn="1" w:lastColumn="0" w:noHBand="0" w:noVBand="1"/>
      </w:tblPr>
      <w:tblGrid>
        <w:gridCol w:w="1297"/>
        <w:gridCol w:w="2126"/>
        <w:gridCol w:w="3119"/>
      </w:tblGrid>
      <w:tr w:rsidR="00A04347" w:rsidRPr="00F27755" w14:paraId="5671856E" w14:textId="77777777" w:rsidTr="00BC4E0E">
        <w:trPr>
          <w:trHeight w:val="300"/>
        </w:trPr>
        <w:tc>
          <w:tcPr>
            <w:tcW w:w="129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670735C"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Problem</w:t>
            </w:r>
          </w:p>
        </w:tc>
        <w:tc>
          <w:tcPr>
            <w:tcW w:w="212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3068E86"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Reason</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D969F7E"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 xml:space="preserve"> Solution</w:t>
            </w:r>
          </w:p>
        </w:tc>
      </w:tr>
      <w:tr w:rsidR="00A04347" w:rsidRPr="00F27755" w14:paraId="123A6675" w14:textId="77777777" w:rsidTr="00BC4E0E">
        <w:trPr>
          <w:trHeight w:val="525"/>
        </w:trPr>
        <w:tc>
          <w:tcPr>
            <w:tcW w:w="1297" w:type="dxa"/>
            <w:vMerge w:val="restart"/>
            <w:tcBorders>
              <w:top w:val="double" w:sz="4" w:space="0" w:color="auto"/>
              <w:left w:val="single" w:sz="4" w:space="0" w:color="auto"/>
              <w:right w:val="single" w:sz="4" w:space="0" w:color="auto"/>
            </w:tcBorders>
            <w:shd w:val="clear" w:color="auto" w:fill="auto"/>
            <w:noWrap/>
            <w:hideMark/>
          </w:tcPr>
          <w:p w14:paraId="5C18B2F0" w14:textId="77777777" w:rsidR="00A04347" w:rsidRPr="00AF7CBE" w:rsidRDefault="00A04347" w:rsidP="00BC4E0E">
            <w:pPr>
              <w:spacing w:before="0" w:line="240" w:lineRule="auto"/>
              <w:jc w:val="left"/>
              <w:rPr>
                <w:rFonts w:eastAsia="Times New Roman" w:cs="Arial"/>
                <w:color w:val="000000"/>
                <w:szCs w:val="20"/>
                <w:lang w:val="en-GB" w:eastAsia="en-GB"/>
              </w:rPr>
            </w:pPr>
            <w:r w:rsidRPr="00AF7CBE">
              <w:rPr>
                <w:rFonts w:eastAsia="Times New Roman" w:cs="Arial"/>
                <w:color w:val="000000"/>
                <w:szCs w:val="20"/>
                <w:lang w:val="en-GB" w:eastAsia="en-GB"/>
              </w:rPr>
              <w:t>Assay not working</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3A958332"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Assay buffer at wrong temp</w:t>
            </w:r>
            <w:r>
              <w:rPr>
                <w:rFonts w:eastAsia="Times New Roman" w:cs="Arial"/>
                <w:color w:val="000000"/>
                <w:szCs w:val="20"/>
                <w:lang w:val="en-GB" w:eastAsia="en-GB"/>
              </w:rPr>
              <w:t>erature</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14D6DF1F"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Assay buffer must not be chilled - needs to be at </w:t>
            </w:r>
            <w:r>
              <w:rPr>
                <w:rFonts w:eastAsia="Times New Roman" w:cs="Arial"/>
                <w:color w:val="000000"/>
                <w:szCs w:val="20"/>
                <w:lang w:val="en-GB" w:eastAsia="en-GB"/>
              </w:rPr>
              <w:t>RT</w:t>
            </w:r>
          </w:p>
        </w:tc>
      </w:tr>
      <w:tr w:rsidR="00A04347" w:rsidRPr="00F27755" w14:paraId="3EDA8CD7" w14:textId="77777777" w:rsidTr="00BC4E0E">
        <w:trPr>
          <w:trHeight w:val="300"/>
        </w:trPr>
        <w:tc>
          <w:tcPr>
            <w:tcW w:w="1297" w:type="dxa"/>
            <w:vMerge/>
            <w:tcBorders>
              <w:left w:val="single" w:sz="4" w:space="0" w:color="auto"/>
              <w:right w:val="single" w:sz="4" w:space="0" w:color="auto"/>
            </w:tcBorders>
            <w:shd w:val="clear" w:color="auto" w:fill="auto"/>
            <w:noWrap/>
            <w:hideMark/>
          </w:tcPr>
          <w:p w14:paraId="657940D6" w14:textId="77777777" w:rsidR="00A04347" w:rsidRPr="00AF7CBE"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77B943A1"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Protocol </w:t>
            </w:r>
            <w:r w:rsidRPr="002003DC">
              <w:rPr>
                <w:rFonts w:eastAsia="Times New Roman" w:cs="Arial"/>
                <w:color w:val="000000"/>
                <w:szCs w:val="20"/>
                <w:lang w:val="en-GB" w:eastAsia="en-GB"/>
              </w:rPr>
              <w:t>step</w:t>
            </w:r>
            <w:r>
              <w:rPr>
                <w:rFonts w:eastAsia="Times New Roman" w:cs="Arial"/>
                <w:color w:val="000000"/>
                <w:szCs w:val="20"/>
                <w:lang w:val="en-GB" w:eastAsia="en-GB"/>
              </w:rPr>
              <w:t xml:space="preserve"> missed</w:t>
            </w:r>
          </w:p>
        </w:tc>
        <w:tc>
          <w:tcPr>
            <w:tcW w:w="3119" w:type="dxa"/>
            <w:tcBorders>
              <w:top w:val="nil"/>
              <w:left w:val="nil"/>
              <w:bottom w:val="single" w:sz="4" w:space="0" w:color="auto"/>
              <w:right w:val="single" w:sz="4" w:space="0" w:color="auto"/>
            </w:tcBorders>
            <w:shd w:val="clear" w:color="auto" w:fill="auto"/>
            <w:vAlign w:val="center"/>
            <w:hideMark/>
          </w:tcPr>
          <w:p w14:paraId="19647B4A"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Re-read and follow the protocol</w:t>
            </w:r>
            <w:r w:rsidRPr="002003DC">
              <w:rPr>
                <w:rFonts w:eastAsia="Times New Roman" w:cs="Arial"/>
                <w:color w:val="000000"/>
                <w:szCs w:val="20"/>
                <w:lang w:val="en-GB" w:eastAsia="en-GB"/>
              </w:rPr>
              <w:t xml:space="preserve"> exactly</w:t>
            </w:r>
          </w:p>
        </w:tc>
      </w:tr>
      <w:tr w:rsidR="00A04347" w:rsidRPr="00F27755" w14:paraId="0C6022C0" w14:textId="77777777" w:rsidTr="00BC4E0E">
        <w:trPr>
          <w:trHeight w:val="525"/>
        </w:trPr>
        <w:tc>
          <w:tcPr>
            <w:tcW w:w="1297" w:type="dxa"/>
            <w:vMerge/>
            <w:tcBorders>
              <w:left w:val="single" w:sz="4" w:space="0" w:color="auto"/>
              <w:right w:val="single" w:sz="4" w:space="0" w:color="auto"/>
            </w:tcBorders>
            <w:shd w:val="clear" w:color="auto" w:fill="auto"/>
            <w:noWrap/>
            <w:hideMark/>
          </w:tcPr>
          <w:p w14:paraId="6159EE78" w14:textId="77777777" w:rsidR="00A04347" w:rsidRPr="00AF7CBE"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21E4DAE"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Plate read at incorrect wavelength</w:t>
            </w:r>
          </w:p>
        </w:tc>
        <w:tc>
          <w:tcPr>
            <w:tcW w:w="3119" w:type="dxa"/>
            <w:tcBorders>
              <w:top w:val="nil"/>
              <w:left w:val="nil"/>
              <w:bottom w:val="single" w:sz="4" w:space="0" w:color="auto"/>
              <w:right w:val="single" w:sz="4" w:space="0" w:color="auto"/>
            </w:tcBorders>
            <w:shd w:val="clear" w:color="auto" w:fill="auto"/>
            <w:vAlign w:val="center"/>
            <w:hideMark/>
          </w:tcPr>
          <w:p w14:paraId="6F96EF1D"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Ensure</w:t>
            </w:r>
            <w:r w:rsidRPr="002003DC">
              <w:rPr>
                <w:rFonts w:eastAsia="Times New Roman" w:cs="Arial"/>
                <w:color w:val="000000"/>
                <w:szCs w:val="20"/>
                <w:lang w:val="en-GB" w:eastAsia="en-GB"/>
              </w:rPr>
              <w:t xml:space="preserve"> </w:t>
            </w:r>
            <w:r>
              <w:rPr>
                <w:rFonts w:eastAsia="Times New Roman" w:cs="Arial"/>
                <w:color w:val="000000"/>
                <w:szCs w:val="20"/>
                <w:lang w:val="en-GB" w:eastAsia="en-GB"/>
              </w:rPr>
              <w:t xml:space="preserve">you are </w:t>
            </w:r>
            <w:r w:rsidRPr="002003DC">
              <w:rPr>
                <w:rFonts w:eastAsia="Times New Roman" w:cs="Arial"/>
                <w:color w:val="000000"/>
                <w:szCs w:val="20"/>
                <w:lang w:val="en-GB" w:eastAsia="en-GB"/>
              </w:rPr>
              <w:t>using appropriate reader and filter settings</w:t>
            </w:r>
            <w:r>
              <w:rPr>
                <w:rFonts w:eastAsia="Times New Roman" w:cs="Arial"/>
                <w:color w:val="000000"/>
                <w:szCs w:val="20"/>
                <w:lang w:val="en-GB" w:eastAsia="en-GB"/>
              </w:rPr>
              <w:t xml:space="preserve"> (refer to datasheet</w:t>
            </w:r>
            <w:r w:rsidRPr="002003DC">
              <w:rPr>
                <w:rFonts w:eastAsia="Times New Roman" w:cs="Arial"/>
                <w:color w:val="000000"/>
                <w:szCs w:val="20"/>
                <w:lang w:val="en-GB" w:eastAsia="en-GB"/>
              </w:rPr>
              <w:t>)</w:t>
            </w:r>
          </w:p>
        </w:tc>
      </w:tr>
      <w:tr w:rsidR="00A04347" w:rsidRPr="00F27755" w14:paraId="62786AEC" w14:textId="77777777" w:rsidTr="00BC4E0E">
        <w:trPr>
          <w:trHeight w:val="1035"/>
        </w:trPr>
        <w:tc>
          <w:tcPr>
            <w:tcW w:w="1297" w:type="dxa"/>
            <w:vMerge/>
            <w:tcBorders>
              <w:left w:val="single" w:sz="4" w:space="0" w:color="auto"/>
              <w:bottom w:val="double" w:sz="4" w:space="0" w:color="auto"/>
              <w:right w:val="single" w:sz="4" w:space="0" w:color="auto"/>
            </w:tcBorders>
            <w:shd w:val="clear" w:color="auto" w:fill="auto"/>
            <w:noWrap/>
            <w:hideMark/>
          </w:tcPr>
          <w:p w14:paraId="5F21D2ED" w14:textId="77777777" w:rsidR="00A04347" w:rsidRPr="00AF7CBE" w:rsidRDefault="00A04347" w:rsidP="00BC4E0E">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2FA5AA43"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w:t>
            </w:r>
            <w:r w:rsidRPr="002003DC">
              <w:rPr>
                <w:rFonts w:eastAsia="Times New Roman" w:cs="Arial"/>
                <w:color w:val="000000"/>
                <w:szCs w:val="20"/>
                <w:lang w:val="en-GB" w:eastAsia="en-GB"/>
              </w:rPr>
              <w:t>nsuitable microtiter plate</w:t>
            </w:r>
            <w:r>
              <w:rPr>
                <w:rFonts w:eastAsia="Times New Roman" w:cs="Arial"/>
                <w:color w:val="000000"/>
                <w:szCs w:val="20"/>
                <w:lang w:val="en-GB" w:eastAsia="en-GB"/>
              </w:rPr>
              <w:t xml:space="preserve"> for assay</w:t>
            </w:r>
          </w:p>
        </w:tc>
        <w:tc>
          <w:tcPr>
            <w:tcW w:w="3119" w:type="dxa"/>
            <w:tcBorders>
              <w:top w:val="nil"/>
              <w:left w:val="nil"/>
              <w:bottom w:val="double" w:sz="4" w:space="0" w:color="auto"/>
              <w:right w:val="single" w:sz="4" w:space="0" w:color="auto"/>
            </w:tcBorders>
            <w:shd w:val="clear" w:color="auto" w:fill="auto"/>
            <w:vAlign w:val="center"/>
            <w:hideMark/>
          </w:tcPr>
          <w:p w14:paraId="01818FDB"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Fluorescence: Black plates (clear bottoms)</w:t>
            </w:r>
            <w:r>
              <w:rPr>
                <w:rFonts w:eastAsia="Times New Roman" w:cs="Arial"/>
                <w:color w:val="000000"/>
                <w:szCs w:val="20"/>
                <w:lang w:val="en-GB" w:eastAsia="en-GB"/>
              </w:rPr>
              <w:t>;</w:t>
            </w:r>
            <w:r>
              <w:rPr>
                <w:rFonts w:eastAsia="Times New Roman" w:cs="Arial"/>
                <w:color w:val="000000"/>
                <w:szCs w:val="20"/>
                <w:lang w:val="en-GB" w:eastAsia="en-GB"/>
              </w:rPr>
              <w:br/>
            </w:r>
            <w:r w:rsidRPr="002003DC">
              <w:rPr>
                <w:rFonts w:eastAsia="Times New Roman" w:cs="Arial"/>
                <w:color w:val="000000"/>
                <w:szCs w:val="20"/>
                <w:lang w:val="en-GB" w:eastAsia="en-GB"/>
              </w:rPr>
              <w:t>Luminescence: White plates</w:t>
            </w:r>
            <w:r>
              <w:rPr>
                <w:rFonts w:eastAsia="Times New Roman" w:cs="Arial"/>
                <w:color w:val="000000"/>
                <w:szCs w:val="20"/>
                <w:lang w:val="en-GB" w:eastAsia="en-GB"/>
              </w:rPr>
              <w:t>;</w:t>
            </w:r>
            <w:r>
              <w:rPr>
                <w:rFonts w:eastAsia="Times New Roman" w:cs="Arial"/>
                <w:color w:val="000000"/>
                <w:szCs w:val="20"/>
                <w:lang w:val="en-GB" w:eastAsia="en-GB"/>
              </w:rPr>
              <w:br/>
            </w:r>
            <w:r w:rsidRPr="002003DC">
              <w:rPr>
                <w:rFonts w:eastAsia="Times New Roman" w:cs="Arial"/>
                <w:color w:val="000000"/>
                <w:szCs w:val="20"/>
                <w:lang w:val="en-GB" w:eastAsia="en-GB"/>
              </w:rPr>
              <w:t>Colorimetry: Clear plates</w:t>
            </w:r>
            <w:r>
              <w:rPr>
                <w:rFonts w:eastAsia="Times New Roman" w:cs="Arial"/>
                <w:color w:val="000000"/>
                <w:szCs w:val="20"/>
                <w:lang w:val="en-GB" w:eastAsia="en-GB"/>
              </w:rPr>
              <w:t>.</w:t>
            </w:r>
            <w:r w:rsidRPr="002003DC">
              <w:rPr>
                <w:rFonts w:eastAsia="Times New Roman" w:cs="Arial"/>
                <w:color w:val="000000"/>
                <w:szCs w:val="20"/>
                <w:lang w:val="en-GB" w:eastAsia="en-GB"/>
              </w:rPr>
              <w:br/>
              <w:t>If critical, datasheet will indicate whether to use flat- or U-shaped wells</w:t>
            </w:r>
          </w:p>
        </w:tc>
      </w:tr>
      <w:tr w:rsidR="00A04347" w:rsidRPr="00F27755" w14:paraId="3ABBFCE5" w14:textId="77777777" w:rsidTr="00BC4E0E">
        <w:trPr>
          <w:trHeight w:val="525"/>
        </w:trPr>
        <w:tc>
          <w:tcPr>
            <w:tcW w:w="1297" w:type="dxa"/>
            <w:vMerge w:val="restart"/>
            <w:tcBorders>
              <w:top w:val="double" w:sz="4" w:space="0" w:color="auto"/>
              <w:left w:val="single" w:sz="4" w:space="0" w:color="auto"/>
              <w:right w:val="single" w:sz="4" w:space="0" w:color="auto"/>
            </w:tcBorders>
            <w:shd w:val="clear" w:color="auto" w:fill="auto"/>
            <w:noWrap/>
            <w:hideMark/>
          </w:tcPr>
          <w:p w14:paraId="40AAB993" w14:textId="77777777" w:rsidR="00A04347" w:rsidRPr="00AF7CBE" w:rsidRDefault="00A04347" w:rsidP="00BC4E0E">
            <w:pPr>
              <w:spacing w:before="0" w:line="240" w:lineRule="auto"/>
              <w:jc w:val="left"/>
              <w:rPr>
                <w:rFonts w:eastAsia="Times New Roman" w:cs="Arial"/>
                <w:color w:val="000000"/>
                <w:szCs w:val="20"/>
                <w:lang w:val="en-GB" w:eastAsia="en-GB"/>
              </w:rPr>
            </w:pPr>
            <w:r w:rsidRPr="00AF7CBE">
              <w:rPr>
                <w:rFonts w:eastAsia="Times New Roman" w:cs="Arial"/>
                <w:color w:val="000000"/>
                <w:szCs w:val="20"/>
                <w:lang w:val="en-GB" w:eastAsia="en-GB"/>
              </w:rPr>
              <w:t>Unexpected results</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709E1989"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Measured at wrong wavelength </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7C469480"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Use</w:t>
            </w:r>
            <w:r w:rsidRPr="002003DC">
              <w:rPr>
                <w:rFonts w:eastAsia="Times New Roman" w:cs="Arial"/>
                <w:color w:val="000000"/>
                <w:szCs w:val="20"/>
                <w:lang w:val="en-GB" w:eastAsia="en-GB"/>
              </w:rPr>
              <w:t xml:space="preserve"> appropriate reader and filter settings </w:t>
            </w:r>
            <w:r>
              <w:rPr>
                <w:rFonts w:eastAsia="Times New Roman" w:cs="Arial"/>
                <w:color w:val="000000"/>
                <w:szCs w:val="20"/>
                <w:lang w:val="en-GB" w:eastAsia="en-GB"/>
              </w:rPr>
              <w:t>described in</w:t>
            </w:r>
            <w:r w:rsidRPr="002003DC">
              <w:rPr>
                <w:rFonts w:eastAsia="Times New Roman" w:cs="Arial"/>
                <w:color w:val="000000"/>
                <w:szCs w:val="20"/>
                <w:lang w:val="en-GB" w:eastAsia="en-GB"/>
              </w:rPr>
              <w:t xml:space="preserve"> datasheet</w:t>
            </w:r>
          </w:p>
        </w:tc>
      </w:tr>
      <w:tr w:rsidR="00A04347" w:rsidRPr="00F27755" w14:paraId="4BAA9A09" w14:textId="77777777" w:rsidTr="00BC4E0E">
        <w:trPr>
          <w:trHeight w:val="300"/>
        </w:trPr>
        <w:tc>
          <w:tcPr>
            <w:tcW w:w="1297" w:type="dxa"/>
            <w:vMerge/>
            <w:tcBorders>
              <w:left w:val="single" w:sz="4" w:space="0" w:color="auto"/>
              <w:right w:val="single" w:sz="4" w:space="0" w:color="auto"/>
            </w:tcBorders>
            <w:shd w:val="clear" w:color="auto" w:fill="auto"/>
            <w:noWrap/>
            <w:hideMark/>
          </w:tcPr>
          <w:p w14:paraId="58E1A38C" w14:textId="77777777" w:rsidR="00A04347" w:rsidRPr="00AF7CBE"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634C2133"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shd w:val="clear" w:color="auto" w:fill="auto"/>
            <w:vAlign w:val="center"/>
            <w:hideMark/>
          </w:tcPr>
          <w:p w14:paraId="7AA29E94"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Troubleshoot </w:t>
            </w:r>
            <w:proofErr w:type="gramStart"/>
            <w:r w:rsidRPr="002003DC">
              <w:rPr>
                <w:rFonts w:eastAsia="Times New Roman" w:cs="Arial"/>
                <w:color w:val="000000"/>
                <w:szCs w:val="20"/>
                <w:lang w:val="en-GB" w:eastAsia="en-GB"/>
              </w:rPr>
              <w:t>and also</w:t>
            </w:r>
            <w:proofErr w:type="gramEnd"/>
            <w:r w:rsidRPr="002003DC">
              <w:rPr>
                <w:rFonts w:eastAsia="Times New Roman" w:cs="Arial"/>
                <w:color w:val="000000"/>
                <w:szCs w:val="20"/>
                <w:lang w:val="en-GB" w:eastAsia="en-GB"/>
              </w:rPr>
              <w:t xml:space="preserve"> consider deproteinizing samples</w:t>
            </w:r>
          </w:p>
        </w:tc>
      </w:tr>
      <w:tr w:rsidR="00A04347" w:rsidRPr="00F27755" w14:paraId="5C09C8CC" w14:textId="77777777" w:rsidTr="00BC4E0E">
        <w:trPr>
          <w:trHeight w:val="300"/>
        </w:trPr>
        <w:tc>
          <w:tcPr>
            <w:tcW w:w="1297" w:type="dxa"/>
            <w:vMerge/>
            <w:tcBorders>
              <w:left w:val="single" w:sz="4" w:space="0" w:color="auto"/>
              <w:right w:val="single" w:sz="4" w:space="0" w:color="auto"/>
            </w:tcBorders>
            <w:shd w:val="clear" w:color="auto" w:fill="auto"/>
            <w:noWrap/>
            <w:hideMark/>
          </w:tcPr>
          <w:p w14:paraId="6AE4384A"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05053BC"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w:t>
            </w:r>
            <w:r w:rsidRPr="002003DC">
              <w:rPr>
                <w:rFonts w:eastAsia="Times New Roman" w:cs="Arial"/>
                <w:color w:val="000000"/>
                <w:szCs w:val="20"/>
                <w:lang w:val="en-GB" w:eastAsia="en-GB"/>
              </w:rPr>
              <w:t>nsuitable sample type</w:t>
            </w:r>
          </w:p>
        </w:tc>
        <w:tc>
          <w:tcPr>
            <w:tcW w:w="3119" w:type="dxa"/>
            <w:tcBorders>
              <w:top w:val="nil"/>
              <w:left w:val="nil"/>
              <w:bottom w:val="single" w:sz="4" w:space="0" w:color="auto"/>
              <w:right w:val="single" w:sz="4" w:space="0" w:color="auto"/>
            </w:tcBorders>
            <w:shd w:val="clear" w:color="auto" w:fill="auto"/>
            <w:vAlign w:val="center"/>
            <w:hideMark/>
          </w:tcPr>
          <w:p w14:paraId="34A94005"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Use r</w:t>
            </w:r>
            <w:r w:rsidRPr="002003DC">
              <w:rPr>
                <w:rFonts w:eastAsia="Times New Roman" w:cs="Arial"/>
                <w:color w:val="000000"/>
                <w:szCs w:val="20"/>
                <w:lang w:val="en-GB" w:eastAsia="en-GB"/>
              </w:rPr>
              <w:t xml:space="preserve">ecommended </w:t>
            </w:r>
            <w:proofErr w:type="gramStart"/>
            <w:r w:rsidRPr="002003DC">
              <w:rPr>
                <w:rFonts w:eastAsia="Times New Roman" w:cs="Arial"/>
                <w:color w:val="000000"/>
                <w:szCs w:val="20"/>
                <w:lang w:val="en-GB" w:eastAsia="en-GB"/>
              </w:rPr>
              <w:t>samples</w:t>
            </w:r>
            <w:proofErr w:type="gramEnd"/>
            <w:r w:rsidRPr="002003DC">
              <w:rPr>
                <w:rFonts w:eastAsia="Times New Roman" w:cs="Arial"/>
                <w:color w:val="000000"/>
                <w:szCs w:val="20"/>
                <w:lang w:val="en-GB" w:eastAsia="en-GB"/>
              </w:rPr>
              <w:t xml:space="preserve"> types </w:t>
            </w:r>
            <w:r>
              <w:rPr>
                <w:rFonts w:eastAsia="Times New Roman" w:cs="Arial"/>
                <w:color w:val="000000"/>
                <w:szCs w:val="20"/>
                <w:lang w:val="en-GB" w:eastAsia="en-GB"/>
              </w:rPr>
              <w:t>as</w:t>
            </w:r>
            <w:r w:rsidRPr="002003DC">
              <w:rPr>
                <w:rFonts w:eastAsia="Times New Roman" w:cs="Arial"/>
                <w:color w:val="000000"/>
                <w:szCs w:val="20"/>
                <w:lang w:val="en-GB" w:eastAsia="en-GB"/>
              </w:rPr>
              <w:t xml:space="preserve"> listed on the datasheet</w:t>
            </w:r>
          </w:p>
        </w:tc>
      </w:tr>
      <w:tr w:rsidR="00A04347" w:rsidRPr="00F27755" w14:paraId="30944ED5" w14:textId="77777777" w:rsidTr="00BC4E0E">
        <w:trPr>
          <w:trHeight w:val="300"/>
        </w:trPr>
        <w:tc>
          <w:tcPr>
            <w:tcW w:w="1297" w:type="dxa"/>
            <w:vMerge/>
            <w:tcBorders>
              <w:left w:val="single" w:sz="4" w:space="0" w:color="auto"/>
              <w:bottom w:val="double" w:sz="4" w:space="0" w:color="auto"/>
              <w:right w:val="single" w:sz="4" w:space="0" w:color="auto"/>
            </w:tcBorders>
            <w:shd w:val="clear" w:color="auto" w:fill="auto"/>
            <w:noWrap/>
            <w:hideMark/>
          </w:tcPr>
          <w:p w14:paraId="7E6910CC" w14:textId="77777777" w:rsidR="00A04347" w:rsidRPr="002003DC" w:rsidRDefault="00A04347" w:rsidP="00BC4E0E">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1FB66862"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 readings are outside linear range</w:t>
            </w:r>
          </w:p>
        </w:tc>
        <w:tc>
          <w:tcPr>
            <w:tcW w:w="3119" w:type="dxa"/>
            <w:tcBorders>
              <w:top w:val="nil"/>
              <w:left w:val="nil"/>
              <w:bottom w:val="double" w:sz="4" w:space="0" w:color="auto"/>
              <w:right w:val="single" w:sz="4" w:space="0" w:color="auto"/>
            </w:tcBorders>
            <w:shd w:val="clear" w:color="auto" w:fill="auto"/>
            <w:vAlign w:val="center"/>
            <w:hideMark/>
          </w:tcPr>
          <w:p w14:paraId="33CF3E43"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Co</w:t>
            </w:r>
            <w:r w:rsidRPr="002003DC">
              <w:rPr>
                <w:rFonts w:eastAsia="Times New Roman" w:cs="Arial"/>
                <w:color w:val="000000"/>
                <w:szCs w:val="20"/>
                <w:lang w:val="en-GB" w:eastAsia="en-GB"/>
              </w:rPr>
              <w:t>ncentrate</w:t>
            </w:r>
            <w:r>
              <w:rPr>
                <w:rFonts w:eastAsia="Times New Roman" w:cs="Arial"/>
                <w:color w:val="000000"/>
                <w:szCs w:val="20"/>
                <w:lang w:val="en-GB" w:eastAsia="en-GB"/>
              </w:rPr>
              <w:t>/</w:t>
            </w:r>
            <w:r w:rsidRPr="002003DC">
              <w:rPr>
                <w:rFonts w:eastAsia="Times New Roman" w:cs="Arial"/>
                <w:color w:val="000000"/>
                <w:szCs w:val="20"/>
                <w:lang w:val="en-GB" w:eastAsia="en-GB"/>
              </w:rPr>
              <w:t xml:space="preserve"> dilute samples</w:t>
            </w:r>
            <w:r>
              <w:rPr>
                <w:rFonts w:eastAsia="Times New Roman" w:cs="Arial"/>
                <w:color w:val="000000"/>
                <w:szCs w:val="20"/>
                <w:lang w:val="en-GB" w:eastAsia="en-GB"/>
              </w:rPr>
              <w:t xml:space="preserve"> to be in linear range</w:t>
            </w:r>
          </w:p>
        </w:tc>
      </w:tr>
    </w:tbl>
    <w:p w14:paraId="44A10796" w14:textId="77777777" w:rsidR="00A04347" w:rsidRDefault="00A04347" w:rsidP="00A04347"/>
    <w:p w14:paraId="70ACE6E5" w14:textId="77777777" w:rsidR="00A04347" w:rsidRDefault="00A04347" w:rsidP="00A04347"/>
    <w:p w14:paraId="3422E47D" w14:textId="77777777" w:rsidR="00A04347" w:rsidRDefault="00A04347" w:rsidP="00A04347"/>
    <w:p w14:paraId="39A46EA5" w14:textId="77777777" w:rsidR="00A04347" w:rsidRDefault="00A04347" w:rsidP="00A04347"/>
    <w:tbl>
      <w:tblPr>
        <w:tblW w:w="6542" w:type="dxa"/>
        <w:tblLayout w:type="fixed"/>
        <w:tblCellMar>
          <w:top w:w="28" w:type="dxa"/>
          <w:bottom w:w="28" w:type="dxa"/>
        </w:tblCellMar>
        <w:tblLook w:val="04A0" w:firstRow="1" w:lastRow="0" w:firstColumn="1" w:lastColumn="0" w:noHBand="0" w:noVBand="1"/>
      </w:tblPr>
      <w:tblGrid>
        <w:gridCol w:w="1297"/>
        <w:gridCol w:w="2126"/>
        <w:gridCol w:w="3119"/>
      </w:tblGrid>
      <w:tr w:rsidR="00A04347" w:rsidRPr="002003DC" w14:paraId="7B266E62" w14:textId="77777777" w:rsidTr="00BC4E0E">
        <w:trPr>
          <w:trHeight w:val="300"/>
        </w:trPr>
        <w:tc>
          <w:tcPr>
            <w:tcW w:w="129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435849C"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lastRenderedPageBreak/>
              <w:t>Problem</w:t>
            </w:r>
          </w:p>
        </w:tc>
        <w:tc>
          <w:tcPr>
            <w:tcW w:w="212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42D3840"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Reason</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5D3D887"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 xml:space="preserve"> Solution</w:t>
            </w:r>
          </w:p>
        </w:tc>
      </w:tr>
      <w:tr w:rsidR="00A04347" w:rsidRPr="00F27755" w14:paraId="4F4C43EA" w14:textId="77777777" w:rsidTr="00BC4E0E">
        <w:tblPrEx>
          <w:tblCellMar>
            <w:bottom w:w="0" w:type="dxa"/>
          </w:tblCellMar>
        </w:tblPrEx>
        <w:trPr>
          <w:trHeight w:val="525"/>
        </w:trPr>
        <w:tc>
          <w:tcPr>
            <w:tcW w:w="1297" w:type="dxa"/>
            <w:vMerge w:val="restart"/>
            <w:tcBorders>
              <w:top w:val="double" w:sz="4" w:space="0" w:color="auto"/>
              <w:left w:val="single" w:sz="4" w:space="0" w:color="auto"/>
              <w:right w:val="single" w:sz="4" w:space="0" w:color="auto"/>
            </w:tcBorders>
            <w:shd w:val="clear" w:color="auto" w:fill="auto"/>
            <w:hideMark/>
          </w:tcPr>
          <w:p w14:paraId="0C65A06A"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with inconsistent readings</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31C7AAE5"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w:t>
            </w:r>
            <w:r w:rsidRPr="002003DC">
              <w:rPr>
                <w:rFonts w:eastAsia="Times New Roman" w:cs="Arial"/>
                <w:color w:val="000000"/>
                <w:szCs w:val="20"/>
                <w:lang w:val="en-GB" w:eastAsia="en-GB"/>
              </w:rPr>
              <w:t>nsuitable sample type</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53F3E95C"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Refer to datasheet for details about incompatible samples</w:t>
            </w:r>
          </w:p>
        </w:tc>
      </w:tr>
      <w:tr w:rsidR="00A04347" w:rsidRPr="00F27755" w14:paraId="001D7700" w14:textId="77777777" w:rsidTr="00BC4E0E">
        <w:tblPrEx>
          <w:tblCellMar>
            <w:bottom w:w="0" w:type="dxa"/>
          </w:tblCellMar>
        </w:tblPrEx>
        <w:trPr>
          <w:trHeight w:val="525"/>
        </w:trPr>
        <w:tc>
          <w:tcPr>
            <w:tcW w:w="1297" w:type="dxa"/>
            <w:vMerge/>
            <w:tcBorders>
              <w:left w:val="single" w:sz="4" w:space="0" w:color="auto"/>
              <w:right w:val="single" w:sz="4" w:space="0" w:color="auto"/>
            </w:tcBorders>
            <w:shd w:val="clear" w:color="auto" w:fill="auto"/>
            <w:noWrap/>
            <w:vAlign w:val="center"/>
            <w:hideMark/>
          </w:tcPr>
          <w:p w14:paraId="3BD64B83"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271BC2D3"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Samples </w:t>
            </w:r>
            <w:r w:rsidRPr="002003DC">
              <w:rPr>
                <w:rFonts w:eastAsia="Times New Roman" w:cs="Arial"/>
                <w:color w:val="000000"/>
                <w:szCs w:val="20"/>
                <w:lang w:val="en-GB" w:eastAsia="en-GB"/>
              </w:rPr>
              <w:t xml:space="preserve">prepared in </w:t>
            </w:r>
            <w:r>
              <w:rPr>
                <w:rFonts w:eastAsia="Times New Roman" w:cs="Arial"/>
                <w:color w:val="000000"/>
                <w:szCs w:val="20"/>
                <w:lang w:val="en-GB" w:eastAsia="en-GB"/>
              </w:rPr>
              <w:t xml:space="preserve">the wrong </w:t>
            </w:r>
            <w:r w:rsidRPr="002003DC">
              <w:rPr>
                <w:rFonts w:eastAsia="Times New Roman" w:cs="Arial"/>
                <w:color w:val="000000"/>
                <w:szCs w:val="20"/>
                <w:lang w:val="en-GB" w:eastAsia="en-GB"/>
              </w:rPr>
              <w:t>buffer</w:t>
            </w:r>
          </w:p>
        </w:tc>
        <w:tc>
          <w:tcPr>
            <w:tcW w:w="3119" w:type="dxa"/>
            <w:tcBorders>
              <w:top w:val="nil"/>
              <w:left w:val="nil"/>
              <w:bottom w:val="single" w:sz="4" w:space="0" w:color="auto"/>
              <w:right w:val="single" w:sz="4" w:space="0" w:color="auto"/>
            </w:tcBorders>
            <w:shd w:val="clear" w:color="auto" w:fill="auto"/>
            <w:vAlign w:val="center"/>
            <w:hideMark/>
          </w:tcPr>
          <w:p w14:paraId="6F0DD125"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Use the ass</w:t>
            </w:r>
            <w:r>
              <w:rPr>
                <w:rFonts w:eastAsia="Times New Roman" w:cs="Arial"/>
                <w:color w:val="000000"/>
                <w:szCs w:val="20"/>
                <w:lang w:val="en-GB" w:eastAsia="en-GB"/>
              </w:rPr>
              <w:t>ay buffer provided (</w:t>
            </w:r>
            <w:r w:rsidRPr="002003DC">
              <w:rPr>
                <w:rFonts w:eastAsia="Times New Roman" w:cs="Arial"/>
                <w:color w:val="000000"/>
                <w:szCs w:val="20"/>
                <w:lang w:val="en-GB" w:eastAsia="en-GB"/>
              </w:rPr>
              <w:t>or refer to datasheet for instructions</w:t>
            </w:r>
            <w:r>
              <w:rPr>
                <w:rFonts w:eastAsia="Times New Roman" w:cs="Arial"/>
                <w:color w:val="000000"/>
                <w:szCs w:val="20"/>
                <w:lang w:val="en-GB" w:eastAsia="en-GB"/>
              </w:rPr>
              <w:t>)</w:t>
            </w:r>
          </w:p>
        </w:tc>
      </w:tr>
      <w:tr w:rsidR="00A04347" w:rsidRPr="00F27755" w14:paraId="66AF5BB7" w14:textId="77777777" w:rsidTr="00BC4E0E">
        <w:tblPrEx>
          <w:tblCellMar>
            <w:bottom w:w="0" w:type="dxa"/>
          </w:tblCellMar>
        </w:tblPrEx>
        <w:trPr>
          <w:trHeight w:val="525"/>
        </w:trPr>
        <w:tc>
          <w:tcPr>
            <w:tcW w:w="1297" w:type="dxa"/>
            <w:vMerge/>
            <w:tcBorders>
              <w:left w:val="single" w:sz="4" w:space="0" w:color="auto"/>
              <w:right w:val="single" w:sz="4" w:space="0" w:color="auto"/>
            </w:tcBorders>
            <w:shd w:val="clear" w:color="auto" w:fill="auto"/>
            <w:noWrap/>
            <w:vAlign w:val="center"/>
            <w:hideMark/>
          </w:tcPr>
          <w:p w14:paraId="056AE68A"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711ADDB3"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Samples</w:t>
            </w:r>
            <w:r w:rsidRPr="002003DC">
              <w:rPr>
                <w:rFonts w:eastAsia="Times New Roman" w:cs="Arial"/>
                <w:color w:val="000000"/>
                <w:szCs w:val="20"/>
                <w:lang w:val="en-GB" w:eastAsia="en-GB"/>
              </w:rPr>
              <w:t xml:space="preserve"> not deproteinized (</w:t>
            </w:r>
            <w:r>
              <w:rPr>
                <w:rFonts w:eastAsia="Times New Roman" w:cs="Arial"/>
                <w:color w:val="000000"/>
                <w:szCs w:val="20"/>
                <w:lang w:val="en-GB" w:eastAsia="en-GB"/>
              </w:rPr>
              <w:t xml:space="preserve">if </w:t>
            </w:r>
            <w:r w:rsidRPr="002003DC">
              <w:rPr>
                <w:rFonts w:eastAsia="Times New Roman" w:cs="Arial"/>
                <w:color w:val="000000"/>
                <w:szCs w:val="20"/>
                <w:lang w:val="en-GB" w:eastAsia="en-GB"/>
              </w:rPr>
              <w:t>indicated on datasheet)</w:t>
            </w:r>
          </w:p>
        </w:tc>
        <w:tc>
          <w:tcPr>
            <w:tcW w:w="3119" w:type="dxa"/>
            <w:tcBorders>
              <w:top w:val="nil"/>
              <w:left w:val="nil"/>
              <w:bottom w:val="single" w:sz="4" w:space="0" w:color="auto"/>
              <w:right w:val="single" w:sz="4" w:space="0" w:color="auto"/>
            </w:tcBorders>
            <w:shd w:val="clear" w:color="auto" w:fill="auto"/>
            <w:vAlign w:val="center"/>
            <w:hideMark/>
          </w:tcPr>
          <w:p w14:paraId="2EB812A0"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Use the </w:t>
            </w:r>
            <w:r w:rsidRPr="002056E4">
              <w:rPr>
                <w:rFonts w:eastAsia="Times New Roman" w:cs="Arial"/>
                <w:b/>
                <w:bCs/>
                <w:i/>
                <w:color w:val="000000"/>
                <w:szCs w:val="20"/>
                <w:lang w:val="en-GB" w:eastAsia="en-GB"/>
              </w:rPr>
              <w:t>10kDa spin column (ab93349)</w:t>
            </w:r>
          </w:p>
        </w:tc>
      </w:tr>
      <w:tr w:rsidR="00A04347" w:rsidRPr="00F27755" w14:paraId="1FD8093A" w14:textId="77777777" w:rsidTr="00BC4E0E">
        <w:tblPrEx>
          <w:tblCellMar>
            <w:bottom w:w="0" w:type="dxa"/>
          </w:tblCellMar>
        </w:tblPrEx>
        <w:trPr>
          <w:trHeight w:val="525"/>
        </w:trPr>
        <w:tc>
          <w:tcPr>
            <w:tcW w:w="1297" w:type="dxa"/>
            <w:vMerge/>
            <w:tcBorders>
              <w:left w:val="single" w:sz="4" w:space="0" w:color="auto"/>
              <w:right w:val="single" w:sz="4" w:space="0" w:color="auto"/>
            </w:tcBorders>
            <w:shd w:val="clear" w:color="auto" w:fill="auto"/>
            <w:noWrap/>
            <w:vAlign w:val="center"/>
            <w:hideMark/>
          </w:tcPr>
          <w:p w14:paraId="705E6248"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6FED4616"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Cell/ tissue samples </w:t>
            </w:r>
            <w:r w:rsidRPr="002003DC">
              <w:rPr>
                <w:rFonts w:eastAsia="Times New Roman" w:cs="Arial"/>
                <w:color w:val="000000"/>
                <w:szCs w:val="20"/>
                <w:lang w:val="en-GB" w:eastAsia="en-GB"/>
              </w:rPr>
              <w:t>not sufficiently homogenized</w:t>
            </w:r>
          </w:p>
        </w:tc>
        <w:tc>
          <w:tcPr>
            <w:tcW w:w="3119" w:type="dxa"/>
            <w:tcBorders>
              <w:top w:val="nil"/>
              <w:left w:val="nil"/>
              <w:bottom w:val="single" w:sz="4" w:space="0" w:color="auto"/>
              <w:right w:val="single" w:sz="4" w:space="0" w:color="auto"/>
            </w:tcBorders>
            <w:shd w:val="clear" w:color="auto" w:fill="auto"/>
            <w:vAlign w:val="center"/>
            <w:hideMark/>
          </w:tcPr>
          <w:p w14:paraId="7CA6A36A"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Increase sonication time</w:t>
            </w:r>
            <w:r>
              <w:rPr>
                <w:rFonts w:eastAsia="Times New Roman" w:cs="Arial"/>
                <w:color w:val="000000"/>
                <w:szCs w:val="20"/>
                <w:lang w:val="en-GB" w:eastAsia="en-GB"/>
              </w:rPr>
              <w:t>/</w:t>
            </w:r>
            <w:r w:rsidRPr="002003DC">
              <w:rPr>
                <w:rFonts w:eastAsia="Times New Roman" w:cs="Arial"/>
                <w:color w:val="000000"/>
                <w:szCs w:val="20"/>
                <w:lang w:val="en-GB" w:eastAsia="en-GB"/>
              </w:rPr>
              <w:t xml:space="preserve"> number of strokes with the Dounce homogenizer</w:t>
            </w:r>
          </w:p>
        </w:tc>
      </w:tr>
      <w:tr w:rsidR="00A04347" w:rsidRPr="00F27755" w14:paraId="04ECC150" w14:textId="77777777" w:rsidTr="00BC4E0E">
        <w:tblPrEx>
          <w:tblCellMar>
            <w:bottom w:w="0" w:type="dxa"/>
          </w:tblCellMar>
        </w:tblPrEx>
        <w:trPr>
          <w:trHeight w:val="300"/>
        </w:trPr>
        <w:tc>
          <w:tcPr>
            <w:tcW w:w="1297" w:type="dxa"/>
            <w:vMerge/>
            <w:tcBorders>
              <w:left w:val="single" w:sz="4" w:space="0" w:color="auto"/>
              <w:right w:val="single" w:sz="4" w:space="0" w:color="auto"/>
            </w:tcBorders>
            <w:shd w:val="clear" w:color="auto" w:fill="auto"/>
            <w:noWrap/>
            <w:vAlign w:val="center"/>
            <w:hideMark/>
          </w:tcPr>
          <w:p w14:paraId="3DE6C951"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9C5FAB2"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Too many freeze-thaw cycles</w:t>
            </w:r>
          </w:p>
        </w:tc>
        <w:tc>
          <w:tcPr>
            <w:tcW w:w="3119" w:type="dxa"/>
            <w:tcBorders>
              <w:top w:val="nil"/>
              <w:left w:val="nil"/>
              <w:bottom w:val="single" w:sz="4" w:space="0" w:color="auto"/>
              <w:right w:val="single" w:sz="4" w:space="0" w:color="auto"/>
            </w:tcBorders>
            <w:shd w:val="clear" w:color="auto" w:fill="auto"/>
            <w:vAlign w:val="center"/>
            <w:hideMark/>
          </w:tcPr>
          <w:p w14:paraId="1B2F6970"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Aliquot samples to reduce the number of freeze-thaw cycles</w:t>
            </w:r>
          </w:p>
        </w:tc>
      </w:tr>
      <w:tr w:rsidR="00A04347" w:rsidRPr="00F27755" w14:paraId="2024B14A" w14:textId="77777777" w:rsidTr="00BC4E0E">
        <w:tblPrEx>
          <w:tblCellMar>
            <w:bottom w:w="0" w:type="dxa"/>
          </w:tblCellMar>
        </w:tblPrEx>
        <w:trPr>
          <w:trHeight w:val="300"/>
        </w:trPr>
        <w:tc>
          <w:tcPr>
            <w:tcW w:w="1297" w:type="dxa"/>
            <w:vMerge/>
            <w:tcBorders>
              <w:left w:val="single" w:sz="4" w:space="0" w:color="auto"/>
              <w:right w:val="single" w:sz="4" w:space="0" w:color="auto"/>
            </w:tcBorders>
            <w:shd w:val="clear" w:color="auto" w:fill="auto"/>
            <w:noWrap/>
            <w:vAlign w:val="center"/>
            <w:hideMark/>
          </w:tcPr>
          <w:p w14:paraId="09C0C274"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42F08BF2"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shd w:val="clear" w:color="auto" w:fill="auto"/>
            <w:vAlign w:val="center"/>
            <w:hideMark/>
          </w:tcPr>
          <w:p w14:paraId="21359869"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Troubleshoot </w:t>
            </w:r>
            <w:proofErr w:type="gramStart"/>
            <w:r w:rsidRPr="002003DC">
              <w:rPr>
                <w:rFonts w:eastAsia="Times New Roman" w:cs="Arial"/>
                <w:color w:val="000000"/>
                <w:szCs w:val="20"/>
                <w:lang w:val="en-GB" w:eastAsia="en-GB"/>
              </w:rPr>
              <w:t>and also</w:t>
            </w:r>
            <w:proofErr w:type="gramEnd"/>
            <w:r w:rsidRPr="002003DC">
              <w:rPr>
                <w:rFonts w:eastAsia="Times New Roman" w:cs="Arial"/>
                <w:color w:val="000000"/>
                <w:szCs w:val="20"/>
                <w:lang w:val="en-GB" w:eastAsia="en-GB"/>
              </w:rPr>
              <w:t xml:space="preserve"> consider deproteinizing samples</w:t>
            </w:r>
          </w:p>
        </w:tc>
      </w:tr>
      <w:tr w:rsidR="00A04347" w:rsidRPr="00F27755" w14:paraId="201EA71C" w14:textId="77777777" w:rsidTr="00D718D4">
        <w:tblPrEx>
          <w:tblCellMar>
            <w:bottom w:w="0" w:type="dxa"/>
          </w:tblCellMar>
        </w:tblPrEx>
        <w:trPr>
          <w:trHeight w:val="525"/>
        </w:trPr>
        <w:tc>
          <w:tcPr>
            <w:tcW w:w="1297" w:type="dxa"/>
            <w:vMerge/>
            <w:tcBorders>
              <w:left w:val="single" w:sz="4" w:space="0" w:color="auto"/>
              <w:bottom w:val="single" w:sz="4" w:space="0" w:color="auto"/>
              <w:right w:val="single" w:sz="4" w:space="0" w:color="auto"/>
            </w:tcBorders>
            <w:shd w:val="clear" w:color="auto" w:fill="auto"/>
            <w:noWrap/>
            <w:vAlign w:val="center"/>
            <w:hideMark/>
          </w:tcPr>
          <w:p w14:paraId="3AB21FC0" w14:textId="77777777" w:rsidR="00A04347" w:rsidRPr="002003DC" w:rsidRDefault="00A04347" w:rsidP="00BC4E0E">
            <w:pPr>
              <w:spacing w:before="0"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E78E79C"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are too old or incorrectly stored</w:t>
            </w:r>
          </w:p>
        </w:tc>
        <w:tc>
          <w:tcPr>
            <w:tcW w:w="3119" w:type="dxa"/>
            <w:tcBorders>
              <w:top w:val="nil"/>
              <w:left w:val="nil"/>
              <w:bottom w:val="double" w:sz="4" w:space="0" w:color="auto"/>
              <w:right w:val="single" w:sz="4" w:space="0" w:color="auto"/>
            </w:tcBorders>
            <w:shd w:val="clear" w:color="auto" w:fill="auto"/>
            <w:vAlign w:val="center"/>
            <w:hideMark/>
          </w:tcPr>
          <w:p w14:paraId="5F5A23DC"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Use freshly made samples and store at recommended temperature until use</w:t>
            </w:r>
          </w:p>
        </w:tc>
      </w:tr>
      <w:tr w:rsidR="00A04347" w:rsidRPr="00F27755" w14:paraId="609D2357" w14:textId="77777777" w:rsidTr="00D718D4">
        <w:tblPrEx>
          <w:tblCellMar>
            <w:bottom w:w="0" w:type="dxa"/>
          </w:tblCellMar>
        </w:tblPrEx>
        <w:trPr>
          <w:trHeight w:val="525"/>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FD9E22"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Lower/ Higher readings in samples and standards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6A86AB2"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Not</w:t>
            </w:r>
            <w:r w:rsidRPr="002003DC">
              <w:rPr>
                <w:rFonts w:eastAsia="Times New Roman"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66122187"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Wait for components to thaw completely and gently mix prior use</w:t>
            </w:r>
          </w:p>
        </w:tc>
      </w:tr>
      <w:tr w:rsidR="00A04347" w:rsidRPr="00F27755" w14:paraId="1865DB2F" w14:textId="77777777" w:rsidTr="00D718D4">
        <w:tblPrEx>
          <w:tblCellMar>
            <w:bottom w:w="0" w:type="dxa"/>
          </w:tblCellMar>
        </w:tblPrEx>
        <w:trPr>
          <w:trHeight w:val="525"/>
        </w:trPr>
        <w:tc>
          <w:tcPr>
            <w:tcW w:w="12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07619EA5"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0FD1D8"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O</w:t>
            </w:r>
            <w:r w:rsidRPr="002003DC">
              <w:rPr>
                <w:rFonts w:eastAsia="Times New Roman" w:cs="Arial"/>
                <w:color w:val="000000"/>
                <w:szCs w:val="20"/>
                <w:lang w:val="en-GB" w:eastAsia="en-GB"/>
              </w:rPr>
              <w:t>ut-of-date kit or incorrectly stored reagents</w:t>
            </w:r>
          </w:p>
        </w:tc>
        <w:tc>
          <w:tcPr>
            <w:tcW w:w="3119" w:type="dxa"/>
            <w:tcBorders>
              <w:top w:val="nil"/>
              <w:left w:val="nil"/>
              <w:bottom w:val="single" w:sz="4" w:space="0" w:color="auto"/>
              <w:right w:val="single" w:sz="4" w:space="0" w:color="auto"/>
            </w:tcBorders>
            <w:shd w:val="clear" w:color="auto" w:fill="auto"/>
            <w:vAlign w:val="center"/>
            <w:hideMark/>
          </w:tcPr>
          <w:p w14:paraId="44F22442"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Always check </w:t>
            </w:r>
            <w:r w:rsidRPr="002003DC">
              <w:rPr>
                <w:rFonts w:eastAsia="Times New Roman" w:cs="Arial"/>
                <w:color w:val="000000"/>
                <w:szCs w:val="20"/>
                <w:lang w:val="en-GB" w:eastAsia="en-GB"/>
              </w:rPr>
              <w:t>expiry date and store kit components as recommended on the datasheet</w:t>
            </w:r>
          </w:p>
        </w:tc>
      </w:tr>
      <w:tr w:rsidR="00A04347" w:rsidRPr="00F27755" w14:paraId="7A08DA73" w14:textId="77777777" w:rsidTr="00D718D4">
        <w:tblPrEx>
          <w:tblCellMar>
            <w:bottom w:w="0" w:type="dxa"/>
          </w:tblCellMar>
        </w:tblPrEx>
        <w:trPr>
          <w:trHeight w:val="300"/>
        </w:trPr>
        <w:tc>
          <w:tcPr>
            <w:tcW w:w="12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1696606F"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FE4B4E"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R</w:t>
            </w:r>
            <w:r w:rsidRPr="002003DC">
              <w:rPr>
                <w:rFonts w:eastAsia="Times New Roman" w:cs="Arial"/>
                <w:color w:val="000000"/>
                <w:szCs w:val="20"/>
                <w:lang w:val="en-GB" w:eastAsia="en-GB"/>
              </w:rPr>
              <w:t>eagents sit</w:t>
            </w:r>
            <w:r>
              <w:rPr>
                <w:rFonts w:eastAsia="Times New Roman" w:cs="Arial"/>
                <w:color w:val="000000"/>
                <w:szCs w:val="20"/>
                <w:lang w:val="en-GB" w:eastAsia="en-GB"/>
              </w:rPr>
              <w:t>ting</w:t>
            </w:r>
            <w:r w:rsidRPr="002003DC">
              <w:rPr>
                <w:rFonts w:eastAsia="Times New Roman" w:cs="Arial"/>
                <w:color w:val="000000"/>
                <w:szCs w:val="20"/>
                <w:lang w:val="en-GB" w:eastAsia="en-GB"/>
              </w:rPr>
              <w:t xml:space="preserve"> for extended periods on ice </w:t>
            </w:r>
          </w:p>
        </w:tc>
        <w:tc>
          <w:tcPr>
            <w:tcW w:w="3119" w:type="dxa"/>
            <w:tcBorders>
              <w:top w:val="nil"/>
              <w:left w:val="nil"/>
              <w:bottom w:val="single" w:sz="4" w:space="0" w:color="auto"/>
              <w:right w:val="single" w:sz="4" w:space="0" w:color="auto"/>
            </w:tcBorders>
            <w:shd w:val="clear" w:color="auto" w:fill="auto"/>
            <w:vAlign w:val="center"/>
            <w:hideMark/>
          </w:tcPr>
          <w:p w14:paraId="339BC607"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Try to prepare a fresh reaction mix prior to each use</w:t>
            </w:r>
          </w:p>
        </w:tc>
      </w:tr>
      <w:tr w:rsidR="00A04347" w:rsidRPr="00F27755" w14:paraId="4367AFA3" w14:textId="77777777" w:rsidTr="00D718D4">
        <w:tblPrEx>
          <w:tblCellMar>
            <w:bottom w:w="0" w:type="dxa"/>
          </w:tblCellMar>
        </w:tblPrEx>
        <w:trPr>
          <w:trHeight w:val="300"/>
        </w:trPr>
        <w:tc>
          <w:tcPr>
            <w:tcW w:w="12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40B15ACC"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F52909"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Incorrect incubation time</w:t>
            </w:r>
            <w:r>
              <w:rPr>
                <w:rFonts w:eastAsia="Times New Roman" w:cs="Arial"/>
                <w:color w:val="000000"/>
                <w:szCs w:val="20"/>
                <w:lang w:val="en-GB" w:eastAsia="en-GB"/>
              </w:rPr>
              <w:t>/</w:t>
            </w:r>
            <w:r w:rsidRPr="002003DC">
              <w:rPr>
                <w:rFonts w:eastAsia="Times New Roman" w:cs="Arial"/>
                <w:color w:val="000000"/>
                <w:szCs w:val="20"/>
                <w:lang w:val="en-GB" w:eastAsia="en-GB"/>
              </w:rPr>
              <w:t xml:space="preserve"> temperature</w:t>
            </w:r>
          </w:p>
        </w:tc>
        <w:tc>
          <w:tcPr>
            <w:tcW w:w="3119" w:type="dxa"/>
            <w:tcBorders>
              <w:top w:val="nil"/>
              <w:left w:val="nil"/>
              <w:bottom w:val="single" w:sz="4" w:space="0" w:color="auto"/>
              <w:right w:val="single" w:sz="4" w:space="0" w:color="auto"/>
            </w:tcBorders>
            <w:shd w:val="clear" w:color="auto" w:fill="auto"/>
            <w:vAlign w:val="center"/>
            <w:hideMark/>
          </w:tcPr>
          <w:p w14:paraId="4E3431CF"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Refer to datasheet for recommended incubation time and</w:t>
            </w:r>
            <w:r>
              <w:rPr>
                <w:rFonts w:eastAsia="Times New Roman" w:cs="Arial"/>
                <w:color w:val="000000"/>
                <w:szCs w:val="20"/>
                <w:lang w:val="en-GB" w:eastAsia="en-GB"/>
              </w:rPr>
              <w:t>/ or</w:t>
            </w:r>
            <w:r w:rsidRPr="002003DC">
              <w:rPr>
                <w:rFonts w:eastAsia="Times New Roman" w:cs="Arial"/>
                <w:color w:val="000000"/>
                <w:szCs w:val="20"/>
                <w:lang w:val="en-GB" w:eastAsia="en-GB"/>
              </w:rPr>
              <w:t xml:space="preserve"> temperature</w:t>
            </w:r>
          </w:p>
        </w:tc>
      </w:tr>
      <w:tr w:rsidR="00A04347" w:rsidRPr="00F27755" w14:paraId="129B0A73" w14:textId="77777777" w:rsidTr="00D718D4">
        <w:tblPrEx>
          <w:tblCellMar>
            <w:bottom w:w="0" w:type="dxa"/>
          </w:tblCellMar>
        </w:tblPrEx>
        <w:trPr>
          <w:trHeight w:val="780"/>
        </w:trPr>
        <w:tc>
          <w:tcPr>
            <w:tcW w:w="1297" w:type="dxa"/>
            <w:vMerge/>
            <w:tcBorders>
              <w:top w:val="single" w:sz="4" w:space="0" w:color="auto"/>
              <w:left w:val="single" w:sz="4" w:space="0" w:color="auto"/>
              <w:bottom w:val="double" w:sz="4" w:space="0" w:color="auto"/>
              <w:right w:val="single" w:sz="4" w:space="0" w:color="auto"/>
            </w:tcBorders>
            <w:shd w:val="clear" w:color="auto" w:fill="auto"/>
            <w:noWrap/>
            <w:hideMark/>
          </w:tcPr>
          <w:p w14:paraId="7BC9C718" w14:textId="77777777" w:rsidR="00A04347" w:rsidRPr="002003DC" w:rsidRDefault="00A04347" w:rsidP="00BC4E0E">
            <w:pPr>
              <w:spacing w:before="0" w:line="240" w:lineRule="auto"/>
              <w:jc w:val="left"/>
              <w:rPr>
                <w:rFonts w:eastAsia="Times New Roman" w:cs="Arial"/>
                <w:color w:val="000000"/>
                <w:szCs w:val="20"/>
                <w:lang w:val="en-GB"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E7DD7B"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Incorrect amounts used</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828719B"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Check pipette is calibrated correctly</w:t>
            </w:r>
            <w:r>
              <w:rPr>
                <w:rFonts w:eastAsia="Times New Roman" w:cs="Arial"/>
                <w:color w:val="000000"/>
                <w:szCs w:val="20"/>
                <w:lang w:val="en-GB" w:eastAsia="en-GB"/>
              </w:rPr>
              <w:t xml:space="preserve"> (</w:t>
            </w:r>
            <w:r w:rsidRPr="002003DC">
              <w:rPr>
                <w:rFonts w:eastAsia="Times New Roman" w:cs="Arial"/>
                <w:color w:val="000000"/>
                <w:szCs w:val="20"/>
                <w:lang w:val="en-GB" w:eastAsia="en-GB"/>
              </w:rPr>
              <w:t xml:space="preserve">always use </w:t>
            </w:r>
            <w:r>
              <w:rPr>
                <w:rFonts w:eastAsia="Times New Roman" w:cs="Arial"/>
                <w:color w:val="000000"/>
                <w:szCs w:val="20"/>
                <w:lang w:val="en-GB" w:eastAsia="en-GB"/>
              </w:rPr>
              <w:t>s</w:t>
            </w:r>
            <w:r w:rsidRPr="002003DC">
              <w:rPr>
                <w:rFonts w:eastAsia="Times New Roman" w:cs="Arial"/>
                <w:color w:val="000000"/>
                <w:szCs w:val="20"/>
                <w:lang w:val="en-GB" w:eastAsia="en-GB"/>
              </w:rPr>
              <w:t xml:space="preserve">mallest </w:t>
            </w:r>
            <w:r w:rsidRPr="002003DC">
              <w:rPr>
                <w:rFonts w:eastAsia="Times New Roman" w:cs="Arial"/>
                <w:color w:val="000000"/>
                <w:szCs w:val="20"/>
                <w:lang w:val="en-GB" w:eastAsia="en-GB"/>
              </w:rPr>
              <w:lastRenderedPageBreak/>
              <w:t>volu</w:t>
            </w:r>
            <w:r>
              <w:rPr>
                <w:rFonts w:eastAsia="Times New Roman" w:cs="Arial"/>
                <w:color w:val="000000"/>
                <w:szCs w:val="20"/>
                <w:lang w:val="en-GB" w:eastAsia="en-GB"/>
              </w:rPr>
              <w:t xml:space="preserve">me pipette that can pipette </w:t>
            </w:r>
            <w:r w:rsidRPr="002003DC">
              <w:rPr>
                <w:rFonts w:eastAsia="Times New Roman" w:cs="Arial"/>
                <w:color w:val="000000"/>
                <w:szCs w:val="20"/>
                <w:lang w:val="en-GB" w:eastAsia="en-GB"/>
              </w:rPr>
              <w:t>entire volume</w:t>
            </w:r>
            <w:r>
              <w:rPr>
                <w:rFonts w:eastAsia="Times New Roman" w:cs="Arial"/>
                <w:color w:val="000000"/>
                <w:szCs w:val="20"/>
                <w:lang w:val="en-GB" w:eastAsia="en-GB"/>
              </w:rPr>
              <w:t>)</w:t>
            </w:r>
          </w:p>
        </w:tc>
      </w:tr>
      <w:tr w:rsidR="00A04347" w:rsidRPr="00F27755" w14:paraId="2AB1BFFE" w14:textId="77777777" w:rsidTr="00D718D4">
        <w:tblPrEx>
          <w:tblCellMar>
            <w:bottom w:w="0" w:type="dxa"/>
          </w:tblCellMar>
        </w:tblPrEx>
        <w:trPr>
          <w:trHeight w:val="296"/>
        </w:trPr>
        <w:tc>
          <w:tcPr>
            <w:tcW w:w="1297" w:type="dxa"/>
            <w:tcBorders>
              <w:top w:val="double" w:sz="4" w:space="0" w:color="auto"/>
              <w:left w:val="single" w:sz="4" w:space="0" w:color="auto"/>
              <w:right w:val="single" w:sz="4" w:space="0" w:color="auto"/>
            </w:tcBorders>
            <w:shd w:val="clear" w:color="auto" w:fill="auto"/>
            <w:vAlign w:val="center"/>
            <w:hideMark/>
          </w:tcPr>
          <w:p w14:paraId="60EC87A9"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lastRenderedPageBreak/>
              <w:t>Problem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1D4CD6"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Reason</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819A3E8" w14:textId="77777777" w:rsidR="00A04347" w:rsidRPr="002003DC" w:rsidRDefault="00A04347" w:rsidP="00BC4E0E">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 xml:space="preserve"> Solution</w:t>
            </w:r>
          </w:p>
        </w:tc>
      </w:tr>
      <w:tr w:rsidR="00A04347" w:rsidRPr="00F27755" w14:paraId="56759656" w14:textId="77777777" w:rsidTr="00BC4E0E">
        <w:tblPrEx>
          <w:tblCellMar>
            <w:bottom w:w="0" w:type="dxa"/>
          </w:tblCellMar>
        </w:tblPrEx>
        <w:trPr>
          <w:trHeight w:val="525"/>
        </w:trPr>
        <w:tc>
          <w:tcPr>
            <w:tcW w:w="1297" w:type="dxa"/>
            <w:vMerge w:val="restart"/>
            <w:tcBorders>
              <w:top w:val="double" w:sz="4" w:space="0" w:color="auto"/>
              <w:left w:val="single" w:sz="4" w:space="0" w:color="auto"/>
              <w:right w:val="single" w:sz="4" w:space="0" w:color="auto"/>
            </w:tcBorders>
            <w:shd w:val="clear" w:color="auto" w:fill="auto"/>
            <w:hideMark/>
          </w:tcPr>
          <w:p w14:paraId="001F3C68"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Standard curve is not linear</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495D200C" w14:textId="77777777" w:rsidR="00A04347" w:rsidRPr="002003DC" w:rsidRDefault="00A04347" w:rsidP="00BC4E0E">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Not</w:t>
            </w:r>
            <w:r w:rsidRPr="002003DC">
              <w:rPr>
                <w:rFonts w:eastAsia="Times New Roman"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14A34408"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Wait for components to thaw com</w:t>
            </w:r>
            <w:r>
              <w:rPr>
                <w:rFonts w:eastAsia="Times New Roman" w:cs="Arial"/>
                <w:color w:val="000000"/>
                <w:szCs w:val="20"/>
                <w:lang w:val="en-GB" w:eastAsia="en-GB"/>
              </w:rPr>
              <w:t xml:space="preserve">pletely and gently mix prior </w:t>
            </w:r>
            <w:r w:rsidRPr="002003DC">
              <w:rPr>
                <w:rFonts w:eastAsia="Times New Roman" w:cs="Arial"/>
                <w:color w:val="000000"/>
                <w:szCs w:val="20"/>
                <w:lang w:val="en-GB" w:eastAsia="en-GB"/>
              </w:rPr>
              <w:t>use</w:t>
            </w:r>
          </w:p>
        </w:tc>
      </w:tr>
      <w:tr w:rsidR="00A04347" w:rsidRPr="00F27755" w14:paraId="4ECA38A6" w14:textId="77777777" w:rsidTr="00BC4E0E">
        <w:tblPrEx>
          <w:tblCellMar>
            <w:bottom w:w="0" w:type="dxa"/>
          </w:tblCellMar>
        </w:tblPrEx>
        <w:trPr>
          <w:trHeight w:val="300"/>
        </w:trPr>
        <w:tc>
          <w:tcPr>
            <w:tcW w:w="1297" w:type="dxa"/>
            <w:vMerge/>
            <w:tcBorders>
              <w:left w:val="single" w:sz="4" w:space="0" w:color="auto"/>
              <w:right w:val="single" w:sz="4" w:space="0" w:color="auto"/>
            </w:tcBorders>
            <w:shd w:val="clear" w:color="auto" w:fill="auto"/>
            <w:noWrap/>
            <w:vAlign w:val="center"/>
            <w:hideMark/>
          </w:tcPr>
          <w:p w14:paraId="78153A41"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6168C7B9"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Pipetting errors when setting up the standard curve</w:t>
            </w:r>
          </w:p>
        </w:tc>
        <w:tc>
          <w:tcPr>
            <w:tcW w:w="3119" w:type="dxa"/>
            <w:tcBorders>
              <w:top w:val="nil"/>
              <w:left w:val="nil"/>
              <w:bottom w:val="single" w:sz="4" w:space="0" w:color="auto"/>
              <w:right w:val="single" w:sz="4" w:space="0" w:color="auto"/>
            </w:tcBorders>
            <w:shd w:val="clear" w:color="auto" w:fill="auto"/>
            <w:vAlign w:val="center"/>
            <w:hideMark/>
          </w:tcPr>
          <w:p w14:paraId="0BC2E4A5"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Try not to pipette </w:t>
            </w:r>
            <w:r>
              <w:rPr>
                <w:rFonts w:eastAsia="Times New Roman" w:cs="Arial"/>
                <w:color w:val="000000"/>
                <w:szCs w:val="20"/>
                <w:lang w:val="en-GB" w:eastAsia="en-GB"/>
              </w:rPr>
              <w:t xml:space="preserve">too </w:t>
            </w:r>
            <w:r w:rsidRPr="002003DC">
              <w:rPr>
                <w:rFonts w:eastAsia="Times New Roman" w:cs="Arial"/>
                <w:color w:val="000000"/>
                <w:szCs w:val="20"/>
                <w:lang w:val="en-GB" w:eastAsia="en-GB"/>
              </w:rPr>
              <w:t>small volumes</w:t>
            </w:r>
          </w:p>
        </w:tc>
      </w:tr>
      <w:tr w:rsidR="00A04347" w:rsidRPr="00F27755" w14:paraId="372355E2" w14:textId="77777777" w:rsidTr="00BC4E0E">
        <w:tblPrEx>
          <w:tblCellMar>
            <w:bottom w:w="0" w:type="dxa"/>
          </w:tblCellMar>
        </w:tblPrEx>
        <w:trPr>
          <w:trHeight w:val="300"/>
        </w:trPr>
        <w:tc>
          <w:tcPr>
            <w:tcW w:w="1297" w:type="dxa"/>
            <w:vMerge/>
            <w:tcBorders>
              <w:left w:val="single" w:sz="4" w:space="0" w:color="auto"/>
              <w:right w:val="single" w:sz="4" w:space="0" w:color="auto"/>
            </w:tcBorders>
            <w:shd w:val="clear" w:color="auto" w:fill="auto"/>
            <w:noWrap/>
            <w:vAlign w:val="center"/>
            <w:hideMark/>
          </w:tcPr>
          <w:p w14:paraId="3EEC26AD"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049483AF"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Incorrect pipetting when preparing the reaction mix</w:t>
            </w:r>
          </w:p>
        </w:tc>
        <w:tc>
          <w:tcPr>
            <w:tcW w:w="3119" w:type="dxa"/>
            <w:tcBorders>
              <w:top w:val="nil"/>
              <w:left w:val="nil"/>
              <w:bottom w:val="single" w:sz="4" w:space="0" w:color="auto"/>
              <w:right w:val="single" w:sz="4" w:space="0" w:color="auto"/>
            </w:tcBorders>
            <w:shd w:val="clear" w:color="auto" w:fill="auto"/>
            <w:vAlign w:val="center"/>
            <w:hideMark/>
          </w:tcPr>
          <w:p w14:paraId="508C72F7"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Always prepare a master mix</w:t>
            </w:r>
          </w:p>
        </w:tc>
      </w:tr>
      <w:tr w:rsidR="00A04347" w:rsidRPr="00F27755" w14:paraId="332E2A5F" w14:textId="77777777" w:rsidTr="00BC4E0E">
        <w:tblPrEx>
          <w:tblCellMar>
            <w:bottom w:w="0" w:type="dxa"/>
          </w:tblCellMar>
        </w:tblPrEx>
        <w:trPr>
          <w:trHeight w:val="780"/>
        </w:trPr>
        <w:tc>
          <w:tcPr>
            <w:tcW w:w="1297" w:type="dxa"/>
            <w:vMerge/>
            <w:tcBorders>
              <w:left w:val="single" w:sz="4" w:space="0" w:color="auto"/>
              <w:right w:val="single" w:sz="4" w:space="0" w:color="auto"/>
            </w:tcBorders>
            <w:shd w:val="clear" w:color="auto" w:fill="auto"/>
            <w:noWrap/>
            <w:vAlign w:val="center"/>
            <w:hideMark/>
          </w:tcPr>
          <w:p w14:paraId="61A28502"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32D589A0"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Air bubbles in wells</w:t>
            </w:r>
          </w:p>
        </w:tc>
        <w:tc>
          <w:tcPr>
            <w:tcW w:w="3119" w:type="dxa"/>
            <w:tcBorders>
              <w:top w:val="nil"/>
              <w:left w:val="nil"/>
              <w:bottom w:val="single" w:sz="4" w:space="0" w:color="auto"/>
              <w:right w:val="single" w:sz="4" w:space="0" w:color="auto"/>
            </w:tcBorders>
            <w:shd w:val="clear" w:color="auto" w:fill="auto"/>
            <w:vAlign w:val="center"/>
            <w:hideMark/>
          </w:tcPr>
          <w:p w14:paraId="450D882E"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Air bubbles will interfere with readings; try to avoid </w:t>
            </w:r>
            <w:proofErr w:type="gramStart"/>
            <w:r w:rsidRPr="002003DC">
              <w:rPr>
                <w:rFonts w:eastAsia="Times New Roman" w:cs="Arial"/>
                <w:color w:val="000000"/>
                <w:szCs w:val="20"/>
                <w:lang w:val="en-GB" w:eastAsia="en-GB"/>
              </w:rPr>
              <w:t>producing  air</w:t>
            </w:r>
            <w:proofErr w:type="gramEnd"/>
            <w:r w:rsidRPr="002003DC">
              <w:rPr>
                <w:rFonts w:eastAsia="Times New Roman" w:cs="Arial"/>
                <w:color w:val="000000"/>
                <w:szCs w:val="20"/>
                <w:lang w:val="en-GB" w:eastAsia="en-GB"/>
              </w:rPr>
              <w:t xml:space="preserve"> bubbles and always remove bubbles prior to reading plates</w:t>
            </w:r>
          </w:p>
        </w:tc>
      </w:tr>
      <w:tr w:rsidR="00A04347" w:rsidRPr="00F27755" w14:paraId="1CAF6AA2" w14:textId="77777777" w:rsidTr="00BC4E0E">
        <w:tblPrEx>
          <w:tblCellMar>
            <w:bottom w:w="0" w:type="dxa"/>
          </w:tblCellMar>
        </w:tblPrEx>
        <w:trPr>
          <w:trHeight w:val="525"/>
        </w:trPr>
        <w:tc>
          <w:tcPr>
            <w:tcW w:w="1297" w:type="dxa"/>
            <w:vMerge/>
            <w:tcBorders>
              <w:left w:val="single" w:sz="4" w:space="0" w:color="auto"/>
              <w:right w:val="single" w:sz="4" w:space="0" w:color="auto"/>
            </w:tcBorders>
            <w:shd w:val="clear" w:color="auto" w:fill="auto"/>
            <w:noWrap/>
            <w:vAlign w:val="center"/>
            <w:hideMark/>
          </w:tcPr>
          <w:p w14:paraId="0D1C5A4D"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13C10302"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Concentration of </w:t>
            </w:r>
            <w:r>
              <w:rPr>
                <w:rFonts w:eastAsia="Times New Roman" w:cs="Arial"/>
                <w:color w:val="000000"/>
                <w:szCs w:val="20"/>
                <w:lang w:val="en-GB" w:eastAsia="en-GB"/>
              </w:rPr>
              <w:t xml:space="preserve">standard stock </w:t>
            </w:r>
            <w:r w:rsidRPr="002003DC">
              <w:rPr>
                <w:rFonts w:eastAsia="Times New Roman" w:cs="Arial"/>
                <w:color w:val="000000"/>
                <w:szCs w:val="20"/>
                <w:lang w:val="en-GB" w:eastAsia="en-GB"/>
              </w:rPr>
              <w:t>incorrect</w:t>
            </w:r>
          </w:p>
        </w:tc>
        <w:tc>
          <w:tcPr>
            <w:tcW w:w="3119" w:type="dxa"/>
            <w:tcBorders>
              <w:top w:val="nil"/>
              <w:left w:val="nil"/>
              <w:bottom w:val="single" w:sz="4" w:space="0" w:color="auto"/>
              <w:right w:val="single" w:sz="4" w:space="0" w:color="auto"/>
            </w:tcBorders>
            <w:shd w:val="clear" w:color="auto" w:fill="auto"/>
            <w:vAlign w:val="center"/>
            <w:hideMark/>
          </w:tcPr>
          <w:p w14:paraId="6E9D1EB1"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Recheck datasheet for recommended concentrations of standard stocks</w:t>
            </w:r>
          </w:p>
        </w:tc>
      </w:tr>
      <w:tr w:rsidR="00A04347" w:rsidRPr="00F27755" w14:paraId="69B76331" w14:textId="77777777" w:rsidTr="00BC4E0E">
        <w:tblPrEx>
          <w:tblCellMar>
            <w:bottom w:w="0" w:type="dxa"/>
          </w:tblCellMar>
        </w:tblPrEx>
        <w:trPr>
          <w:trHeight w:val="300"/>
        </w:trPr>
        <w:tc>
          <w:tcPr>
            <w:tcW w:w="1297" w:type="dxa"/>
            <w:vMerge/>
            <w:tcBorders>
              <w:left w:val="single" w:sz="4" w:space="0" w:color="auto"/>
              <w:right w:val="single" w:sz="4" w:space="0" w:color="auto"/>
            </w:tcBorders>
            <w:shd w:val="clear" w:color="auto" w:fill="auto"/>
            <w:noWrap/>
            <w:vAlign w:val="center"/>
            <w:hideMark/>
          </w:tcPr>
          <w:p w14:paraId="109A85EC" w14:textId="77777777" w:rsidR="00A04347" w:rsidRPr="002003DC" w:rsidRDefault="00A04347" w:rsidP="00BC4E0E">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131063A3"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Errors in standard curve calculations</w:t>
            </w:r>
          </w:p>
        </w:tc>
        <w:tc>
          <w:tcPr>
            <w:tcW w:w="3119" w:type="dxa"/>
            <w:tcBorders>
              <w:top w:val="nil"/>
              <w:left w:val="nil"/>
              <w:bottom w:val="single" w:sz="4" w:space="0" w:color="auto"/>
              <w:right w:val="single" w:sz="4" w:space="0" w:color="auto"/>
            </w:tcBorders>
            <w:shd w:val="clear" w:color="auto" w:fill="auto"/>
            <w:vAlign w:val="center"/>
            <w:hideMark/>
          </w:tcPr>
          <w:p w14:paraId="76CB20D4"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Refer to datasheet and re-check the calculations</w:t>
            </w:r>
          </w:p>
        </w:tc>
      </w:tr>
      <w:tr w:rsidR="00A04347" w:rsidRPr="00F27755" w14:paraId="08D0C275" w14:textId="77777777" w:rsidTr="00BC4E0E">
        <w:tblPrEx>
          <w:tblCellMar>
            <w:bottom w:w="0" w:type="dxa"/>
          </w:tblCellMar>
        </w:tblPrEx>
        <w:trPr>
          <w:trHeight w:val="300"/>
        </w:trPr>
        <w:tc>
          <w:tcPr>
            <w:tcW w:w="1297" w:type="dxa"/>
            <w:vMerge/>
            <w:tcBorders>
              <w:left w:val="single" w:sz="4" w:space="0" w:color="auto"/>
              <w:bottom w:val="double" w:sz="4" w:space="0" w:color="auto"/>
              <w:right w:val="single" w:sz="4" w:space="0" w:color="auto"/>
            </w:tcBorders>
            <w:shd w:val="clear" w:color="auto" w:fill="auto"/>
            <w:noWrap/>
            <w:vAlign w:val="center"/>
            <w:hideMark/>
          </w:tcPr>
          <w:p w14:paraId="3B654A82" w14:textId="77777777" w:rsidR="00A04347" w:rsidRPr="002003DC" w:rsidRDefault="00A04347" w:rsidP="00BC4E0E">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37E832CC"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w:t>
            </w:r>
            <w:r>
              <w:rPr>
                <w:rFonts w:eastAsia="Times New Roman" w:cs="Arial"/>
                <w:color w:val="000000"/>
                <w:szCs w:val="20"/>
                <w:lang w:val="en-GB" w:eastAsia="en-GB"/>
              </w:rPr>
              <w:t>e of</w:t>
            </w:r>
            <w:r w:rsidRPr="002003DC">
              <w:rPr>
                <w:rFonts w:eastAsia="Times New Roman" w:cs="Arial"/>
                <w:color w:val="000000"/>
                <w:szCs w:val="20"/>
                <w:lang w:val="en-GB" w:eastAsia="en-GB"/>
              </w:rPr>
              <w:t xml:space="preserve"> other reagents than those provided with the kit</w:t>
            </w:r>
          </w:p>
        </w:tc>
        <w:tc>
          <w:tcPr>
            <w:tcW w:w="3119" w:type="dxa"/>
            <w:tcBorders>
              <w:top w:val="nil"/>
              <w:left w:val="nil"/>
              <w:bottom w:val="double" w:sz="4" w:space="0" w:color="auto"/>
              <w:right w:val="single" w:sz="4" w:space="0" w:color="auto"/>
            </w:tcBorders>
            <w:shd w:val="clear" w:color="auto" w:fill="auto"/>
            <w:vAlign w:val="center"/>
            <w:hideMark/>
          </w:tcPr>
          <w:p w14:paraId="61F18038" w14:textId="77777777" w:rsidR="00A04347" w:rsidRPr="002003DC" w:rsidRDefault="00A04347" w:rsidP="00BC4E0E">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Use fresh components from the same kit</w:t>
            </w:r>
          </w:p>
        </w:tc>
      </w:tr>
    </w:tbl>
    <w:p w14:paraId="4BC0BB60" w14:textId="77777777" w:rsidR="00A04347" w:rsidRPr="00527A16" w:rsidRDefault="00A04347" w:rsidP="00A04347"/>
    <w:p w14:paraId="3BE1268B" w14:textId="77777777" w:rsidR="004E7C53" w:rsidRDefault="00A04347" w:rsidP="00A04347">
      <w:pPr>
        <w:spacing w:before="120" w:line="276" w:lineRule="auto"/>
        <w:rPr>
          <w:b/>
        </w:rPr>
      </w:pPr>
      <w:r>
        <w:rPr>
          <w:b/>
        </w:rPr>
        <w:t>For further technical questions p</w:t>
      </w:r>
      <w:r w:rsidRPr="00457A34">
        <w:rPr>
          <w:b/>
        </w:rPr>
        <w:t>lease do not hesitate to contact us by email (</w:t>
      </w:r>
      <w:hyperlink r:id="rId14" w:history="1">
        <w:r w:rsidRPr="00457A34">
          <w:rPr>
            <w:rStyle w:val="Hyperlink"/>
            <w:b/>
          </w:rPr>
          <w:t>technical@abcam.com</w:t>
        </w:r>
      </w:hyperlink>
      <w:r w:rsidRPr="00457A34">
        <w:rPr>
          <w:b/>
        </w:rPr>
        <w:t>) or phone (select “</w:t>
      </w:r>
      <w:r w:rsidRPr="00A4373F">
        <w:rPr>
          <w:b/>
          <w:i/>
        </w:rPr>
        <w:t>contact us</w:t>
      </w:r>
      <w:r w:rsidRPr="00457A34">
        <w:rPr>
          <w:b/>
        </w:rPr>
        <w:t xml:space="preserve">” on </w:t>
      </w:r>
      <w:hyperlink r:id="rId15" w:history="1">
        <w:r w:rsidRPr="00457A34">
          <w:rPr>
            <w:rStyle w:val="Hyperlink"/>
            <w:b/>
          </w:rPr>
          <w:t>www.abcam.com</w:t>
        </w:r>
      </w:hyperlink>
      <w:r w:rsidRPr="00457A34">
        <w:rPr>
          <w:b/>
        </w:rPr>
        <w:t xml:space="preserve"> for t</w:t>
      </w:r>
      <w:r>
        <w:rPr>
          <w:b/>
        </w:rPr>
        <w:t>he phone number for your region).</w:t>
      </w:r>
    </w:p>
    <w:p w14:paraId="47908613" w14:textId="77777777" w:rsidR="004E7C53" w:rsidRDefault="004E7C53">
      <w:pPr>
        <w:spacing w:before="0" w:line="240" w:lineRule="auto"/>
        <w:jc w:val="left"/>
        <w:rPr>
          <w:b/>
        </w:rPr>
      </w:pPr>
    </w:p>
    <w:p w14:paraId="0E74701B" w14:textId="77777777" w:rsidR="004E7C53" w:rsidRDefault="004E7C53">
      <w:pPr>
        <w:spacing w:before="0" w:line="240" w:lineRule="auto"/>
        <w:jc w:val="left"/>
        <w:rPr>
          <w:b/>
        </w:rPr>
      </w:pPr>
    </w:p>
    <w:p w14:paraId="23FD702F" w14:textId="77777777" w:rsidR="004E7C53" w:rsidRDefault="004E7C53">
      <w:pPr>
        <w:spacing w:before="0" w:line="240" w:lineRule="auto"/>
        <w:jc w:val="left"/>
        <w:rPr>
          <w:b/>
        </w:rPr>
      </w:pPr>
    </w:p>
    <w:p w14:paraId="4CC593A4" w14:textId="77777777" w:rsidR="0038421B" w:rsidRDefault="0038421B">
      <w:pPr>
        <w:spacing w:before="0" w:line="240" w:lineRule="auto"/>
        <w:jc w:val="left"/>
        <w:rPr>
          <w:b/>
        </w:rPr>
      </w:pPr>
    </w:p>
    <w:p w14:paraId="52BDC8E1" w14:textId="6A7A5268" w:rsidR="0038421B" w:rsidRDefault="006C21B6">
      <w:pPr>
        <w:spacing w:before="0" w:line="240" w:lineRule="auto"/>
        <w:jc w:val="left"/>
        <w:rPr>
          <w:b/>
        </w:rPr>
      </w:pPr>
      <w:r>
        <w:rPr>
          <w:b/>
          <w:noProof/>
          <w:sz w:val="24"/>
          <w:lang w:val="en-GB" w:eastAsia="en-GB"/>
        </w:rPr>
        <w:lastRenderedPageBreak/>
        <w:drawing>
          <wp:anchor distT="0" distB="0" distL="114300" distR="114300" simplePos="0" relativeHeight="251666944" behindDoc="1" locked="0" layoutInCell="1" allowOverlap="1" wp14:anchorId="5BA2F99C" wp14:editId="79CCCD8F">
            <wp:simplePos x="0" y="0"/>
            <wp:positionH relativeFrom="column">
              <wp:posOffset>2286000</wp:posOffset>
            </wp:positionH>
            <wp:positionV relativeFrom="page">
              <wp:posOffset>-76200</wp:posOffset>
            </wp:positionV>
            <wp:extent cx="2184400" cy="2184400"/>
            <wp:effectExtent l="19050" t="0" r="6350" b="0"/>
            <wp:wrapTight wrapText="bothSides">
              <wp:wrapPolygon edited="0">
                <wp:start x="-188" y="0"/>
                <wp:lineTo x="-188" y="21474"/>
                <wp:lineTo x="21663" y="21474"/>
                <wp:lineTo x="21663" y="0"/>
                <wp:lineTo x="-188" y="0"/>
              </wp:wrapPolygon>
            </wp:wrapTight>
            <wp:docPr id="10" name="Picture 10"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55D03275" w14:textId="77777777" w:rsidR="004D4232" w:rsidRDefault="004D4232">
      <w:pPr>
        <w:spacing w:before="0" w:line="240" w:lineRule="auto"/>
        <w:jc w:val="left"/>
        <w:rPr>
          <w:b/>
        </w:rPr>
      </w:pPr>
    </w:p>
    <w:p w14:paraId="2F2CA0BA" w14:textId="77777777" w:rsidR="004D4232" w:rsidRDefault="004D4232">
      <w:pPr>
        <w:spacing w:before="0" w:line="240" w:lineRule="auto"/>
        <w:jc w:val="left"/>
        <w:rPr>
          <w:b/>
        </w:rPr>
      </w:pPr>
    </w:p>
    <w:p w14:paraId="5E1EBA76" w14:textId="77777777" w:rsidR="004E7C53" w:rsidRDefault="004E7C53">
      <w:pPr>
        <w:spacing w:before="0" w:line="240" w:lineRule="auto"/>
        <w:jc w:val="left"/>
        <w:rPr>
          <w:b/>
        </w:rPr>
      </w:pPr>
    </w:p>
    <w:p w14:paraId="5BE4383A" w14:textId="77777777" w:rsidR="00A04347" w:rsidRDefault="00A04347" w:rsidP="00A04347">
      <w:pPr>
        <w:rPr>
          <w:lang w:val="en-GB"/>
        </w:rPr>
      </w:pPr>
    </w:p>
    <w:p w14:paraId="5D4DF078" w14:textId="21D1035A" w:rsidR="008B2920" w:rsidRDefault="008B2920" w:rsidP="00A04347">
      <w:pPr>
        <w:rPr>
          <w:b/>
          <w:sz w:val="24"/>
        </w:rPr>
      </w:pPr>
    </w:p>
    <w:p w14:paraId="120F1EE9" w14:textId="77777777" w:rsidR="00DC1372" w:rsidRDefault="00DC1372" w:rsidP="00DC1372">
      <w:pPr>
        <w:spacing w:before="0" w:line="240" w:lineRule="auto"/>
        <w:ind w:firstLine="284"/>
        <w:jc w:val="left"/>
        <w:rPr>
          <w:b/>
          <w:sz w:val="24"/>
        </w:rPr>
      </w:pPr>
    </w:p>
    <w:p w14:paraId="69219906" w14:textId="77777777" w:rsidR="002B1087" w:rsidRDefault="002B1087" w:rsidP="002B1087">
      <w:pPr>
        <w:spacing w:before="0" w:line="240" w:lineRule="auto"/>
        <w:jc w:val="left"/>
        <w:rPr>
          <w:b/>
          <w:sz w:val="16"/>
        </w:rPr>
      </w:pPr>
    </w:p>
    <w:p w14:paraId="3B15EDEA" w14:textId="77777777" w:rsidR="0040308B" w:rsidRDefault="0040308B" w:rsidP="002B1087">
      <w:pPr>
        <w:spacing w:before="0" w:line="240" w:lineRule="auto"/>
        <w:jc w:val="left"/>
        <w:rPr>
          <w:b/>
          <w:sz w:val="16"/>
        </w:rPr>
      </w:pPr>
    </w:p>
    <w:p w14:paraId="7BEF56A0" w14:textId="77777777" w:rsidR="0040308B" w:rsidRDefault="0040308B" w:rsidP="002B1087">
      <w:pPr>
        <w:spacing w:before="0" w:line="240" w:lineRule="auto"/>
        <w:jc w:val="left"/>
        <w:rPr>
          <w:b/>
          <w:sz w:val="16"/>
        </w:rPr>
      </w:pPr>
    </w:p>
    <w:p w14:paraId="20E73670" w14:textId="77777777" w:rsidR="0040308B" w:rsidRDefault="0040308B" w:rsidP="002B1087">
      <w:pPr>
        <w:spacing w:before="0" w:line="240" w:lineRule="auto"/>
        <w:jc w:val="left"/>
        <w:rPr>
          <w:b/>
          <w:sz w:val="16"/>
        </w:rPr>
      </w:pPr>
    </w:p>
    <w:p w14:paraId="27A12E8B" w14:textId="77777777" w:rsidR="0040308B" w:rsidRDefault="0040308B" w:rsidP="002B1087">
      <w:pPr>
        <w:spacing w:before="0" w:line="240" w:lineRule="auto"/>
        <w:jc w:val="left"/>
        <w:rPr>
          <w:b/>
          <w:sz w:val="16"/>
        </w:rPr>
      </w:pPr>
    </w:p>
    <w:p w14:paraId="62C17F07" w14:textId="77777777" w:rsidR="0040308B" w:rsidRDefault="0040308B" w:rsidP="002B1087">
      <w:pPr>
        <w:spacing w:before="0" w:line="240" w:lineRule="auto"/>
        <w:jc w:val="left"/>
        <w:rPr>
          <w:b/>
          <w:sz w:val="16"/>
        </w:rPr>
      </w:pPr>
    </w:p>
    <w:p w14:paraId="270CAE7B" w14:textId="77777777" w:rsidR="0040308B" w:rsidRDefault="0040308B" w:rsidP="002B1087">
      <w:pPr>
        <w:spacing w:before="0" w:line="240" w:lineRule="auto"/>
        <w:jc w:val="left"/>
        <w:rPr>
          <w:b/>
          <w:sz w:val="16"/>
        </w:rPr>
      </w:pPr>
    </w:p>
    <w:p w14:paraId="6D209FD2" w14:textId="77777777" w:rsidR="0040308B" w:rsidRDefault="0040308B" w:rsidP="002B1087">
      <w:pPr>
        <w:spacing w:before="0" w:line="240" w:lineRule="auto"/>
        <w:jc w:val="left"/>
        <w:rPr>
          <w:b/>
          <w:sz w:val="16"/>
        </w:rPr>
      </w:pPr>
    </w:p>
    <w:p w14:paraId="779BB397" w14:textId="77777777" w:rsidR="0040308B" w:rsidRDefault="0040308B" w:rsidP="002B1087">
      <w:pPr>
        <w:spacing w:before="0" w:line="240" w:lineRule="auto"/>
        <w:jc w:val="left"/>
        <w:rPr>
          <w:b/>
          <w:sz w:val="16"/>
        </w:rPr>
      </w:pPr>
    </w:p>
    <w:p w14:paraId="268FE457" w14:textId="77777777" w:rsidR="0040308B" w:rsidRDefault="0040308B" w:rsidP="002B1087">
      <w:pPr>
        <w:spacing w:before="0" w:line="240" w:lineRule="auto"/>
        <w:jc w:val="left"/>
        <w:rPr>
          <w:b/>
          <w:sz w:val="16"/>
        </w:rPr>
      </w:pPr>
    </w:p>
    <w:p w14:paraId="647ABC27" w14:textId="77777777" w:rsidR="0040308B" w:rsidRDefault="0040308B" w:rsidP="002B1087">
      <w:pPr>
        <w:spacing w:before="0" w:line="240" w:lineRule="auto"/>
        <w:jc w:val="left"/>
        <w:rPr>
          <w:b/>
          <w:sz w:val="16"/>
        </w:rPr>
      </w:pPr>
    </w:p>
    <w:p w14:paraId="7DB515A7" w14:textId="77777777" w:rsidR="0040308B" w:rsidRDefault="0040308B" w:rsidP="002B1087">
      <w:pPr>
        <w:spacing w:before="0" w:line="240" w:lineRule="auto"/>
        <w:jc w:val="left"/>
        <w:rPr>
          <w:b/>
          <w:sz w:val="16"/>
        </w:rPr>
      </w:pPr>
    </w:p>
    <w:p w14:paraId="2A1578D5" w14:textId="77777777" w:rsidR="0040308B" w:rsidRDefault="0040308B" w:rsidP="002B1087">
      <w:pPr>
        <w:spacing w:before="0" w:line="240" w:lineRule="auto"/>
        <w:jc w:val="left"/>
        <w:rPr>
          <w:b/>
          <w:sz w:val="16"/>
        </w:rPr>
      </w:pPr>
    </w:p>
    <w:p w14:paraId="084CCA16" w14:textId="77777777" w:rsidR="0040308B" w:rsidRDefault="0040308B" w:rsidP="002B1087">
      <w:pPr>
        <w:spacing w:before="0" w:line="240" w:lineRule="auto"/>
        <w:jc w:val="left"/>
        <w:rPr>
          <w:b/>
          <w:sz w:val="16"/>
        </w:rPr>
      </w:pPr>
    </w:p>
    <w:p w14:paraId="39D37A2C" w14:textId="77777777" w:rsidR="0040308B" w:rsidRDefault="0040308B" w:rsidP="002B1087">
      <w:pPr>
        <w:spacing w:before="0" w:line="240" w:lineRule="auto"/>
        <w:jc w:val="left"/>
        <w:rPr>
          <w:b/>
          <w:sz w:val="16"/>
        </w:rPr>
      </w:pPr>
    </w:p>
    <w:p w14:paraId="63475A00" w14:textId="77777777" w:rsidR="0040308B" w:rsidRDefault="0040308B" w:rsidP="002B1087">
      <w:pPr>
        <w:spacing w:before="0" w:line="240" w:lineRule="auto"/>
        <w:jc w:val="left"/>
        <w:rPr>
          <w:b/>
          <w:sz w:val="16"/>
        </w:rPr>
      </w:pPr>
    </w:p>
    <w:p w14:paraId="22D53713" w14:textId="77777777" w:rsidR="0040308B" w:rsidRDefault="0040308B" w:rsidP="002B1087">
      <w:pPr>
        <w:spacing w:before="0" w:line="240" w:lineRule="auto"/>
        <w:jc w:val="left"/>
        <w:rPr>
          <w:b/>
          <w:sz w:val="16"/>
        </w:rPr>
      </w:pPr>
    </w:p>
    <w:p w14:paraId="0A5E67FC" w14:textId="77777777" w:rsidR="0040308B" w:rsidRDefault="0040308B" w:rsidP="002B1087">
      <w:pPr>
        <w:spacing w:before="0" w:line="240" w:lineRule="auto"/>
        <w:jc w:val="left"/>
        <w:rPr>
          <w:b/>
          <w:sz w:val="16"/>
        </w:rPr>
      </w:pPr>
    </w:p>
    <w:p w14:paraId="2787A541" w14:textId="77777777" w:rsidR="0040308B" w:rsidRDefault="0040308B" w:rsidP="002B1087">
      <w:pPr>
        <w:spacing w:before="0" w:line="240" w:lineRule="auto"/>
        <w:jc w:val="left"/>
        <w:rPr>
          <w:b/>
          <w:sz w:val="16"/>
        </w:rPr>
      </w:pPr>
    </w:p>
    <w:p w14:paraId="10E4574E" w14:textId="77777777" w:rsidR="0040308B" w:rsidRDefault="0040308B" w:rsidP="002B1087">
      <w:pPr>
        <w:spacing w:before="0" w:line="240" w:lineRule="auto"/>
        <w:jc w:val="left"/>
        <w:rPr>
          <w:b/>
          <w:sz w:val="16"/>
        </w:rPr>
      </w:pPr>
    </w:p>
    <w:p w14:paraId="548D6898" w14:textId="77777777" w:rsidR="0040308B" w:rsidRDefault="0040308B" w:rsidP="002B1087">
      <w:pPr>
        <w:spacing w:before="0" w:line="240" w:lineRule="auto"/>
        <w:jc w:val="left"/>
        <w:rPr>
          <w:b/>
          <w:sz w:val="16"/>
        </w:rPr>
      </w:pPr>
    </w:p>
    <w:p w14:paraId="20E63F6F" w14:textId="77777777" w:rsidR="0040308B" w:rsidRDefault="0040308B" w:rsidP="002B1087">
      <w:pPr>
        <w:spacing w:before="0" w:line="240" w:lineRule="auto"/>
        <w:jc w:val="left"/>
        <w:rPr>
          <w:b/>
          <w:sz w:val="16"/>
        </w:rPr>
      </w:pPr>
    </w:p>
    <w:p w14:paraId="405D6AA1" w14:textId="77777777" w:rsidR="0040308B" w:rsidRDefault="0040308B" w:rsidP="002B1087">
      <w:pPr>
        <w:spacing w:before="0" w:line="240" w:lineRule="auto"/>
        <w:jc w:val="left"/>
        <w:rPr>
          <w:b/>
          <w:sz w:val="16"/>
        </w:rPr>
      </w:pPr>
    </w:p>
    <w:p w14:paraId="4EB14C66" w14:textId="3EA17406" w:rsidR="0040308B" w:rsidRPr="0040308B" w:rsidRDefault="0040308B" w:rsidP="0040308B">
      <w:pPr>
        <w:spacing w:before="0" w:line="240" w:lineRule="auto"/>
        <w:jc w:val="left"/>
        <w:rPr>
          <w:b/>
          <w:bCs/>
          <w:szCs w:val="32"/>
          <w:lang w:val="en-GB"/>
        </w:rPr>
      </w:pPr>
      <w:r w:rsidRPr="0040308B">
        <w:rPr>
          <w:b/>
          <w:bCs/>
          <w:szCs w:val="32"/>
          <w:lang w:val="en-GB"/>
        </w:rPr>
        <w:t>Technical Support</w:t>
      </w:r>
    </w:p>
    <w:p w14:paraId="73C8CBBC" w14:textId="325C41B5" w:rsidR="0040308B" w:rsidRPr="0040308B" w:rsidRDefault="0040308B" w:rsidP="0040308B">
      <w:pPr>
        <w:spacing w:before="0" w:line="240" w:lineRule="auto"/>
        <w:jc w:val="left"/>
        <w:rPr>
          <w:szCs w:val="32"/>
          <w:lang w:val="en-GB"/>
        </w:rPr>
      </w:pPr>
      <w:r w:rsidRPr="0040308B">
        <w:rPr>
          <w:szCs w:val="32"/>
          <w:lang w:val="en-GB"/>
        </w:rPr>
        <w:t>Copyright © 2023 Abcam. All Rights Reserved. The Abcam logo is a registered trademark. All information / detail is correct at time of going to print.</w:t>
      </w:r>
    </w:p>
    <w:p w14:paraId="2E016341" w14:textId="3AFD0371" w:rsidR="0040308B" w:rsidRPr="0040308B" w:rsidRDefault="0040308B" w:rsidP="0040308B">
      <w:pPr>
        <w:spacing w:before="0" w:line="240" w:lineRule="auto"/>
        <w:jc w:val="left"/>
        <w:rPr>
          <w:szCs w:val="32"/>
          <w:lang w:val="en-GB"/>
        </w:rPr>
      </w:pPr>
      <w:r w:rsidRPr="0040308B">
        <w:rPr>
          <w:szCs w:val="32"/>
          <w:lang w:val="en-GB"/>
        </w:rPr>
        <w:t>For all technical or commercial enquiries please go to:</w:t>
      </w:r>
    </w:p>
    <w:p w14:paraId="67CC230E" w14:textId="1C8CD4F5" w:rsidR="0040308B" w:rsidRPr="0040308B" w:rsidRDefault="00054443" w:rsidP="0040308B">
      <w:pPr>
        <w:spacing w:before="0" w:line="240" w:lineRule="auto"/>
        <w:jc w:val="left"/>
        <w:rPr>
          <w:szCs w:val="32"/>
          <w:lang w:val="en-GB"/>
        </w:rPr>
      </w:pPr>
      <w:hyperlink r:id="rId16" w:tgtFrame="_blank" w:tooltip="http://www.abcam.com/contactus" w:history="1">
        <w:r w:rsidR="0040308B" w:rsidRPr="0040308B">
          <w:rPr>
            <w:rStyle w:val="Hyperlink"/>
            <w:szCs w:val="32"/>
            <w:lang w:val="en-GB"/>
          </w:rPr>
          <w:t>www.abcam.com/contactus</w:t>
        </w:r>
      </w:hyperlink>
    </w:p>
    <w:p w14:paraId="1D69C666" w14:textId="77777777" w:rsidR="0040308B" w:rsidRPr="0040308B" w:rsidRDefault="00054443" w:rsidP="0040308B">
      <w:pPr>
        <w:spacing w:before="0" w:line="240" w:lineRule="auto"/>
        <w:jc w:val="left"/>
        <w:rPr>
          <w:szCs w:val="32"/>
          <w:lang w:val="en-GB"/>
        </w:rPr>
      </w:pPr>
      <w:hyperlink r:id="rId17" w:tgtFrame="_blank" w:tooltip="http://www.abcam.cn/contactus" w:history="1">
        <w:r w:rsidR="0040308B" w:rsidRPr="0040308B">
          <w:rPr>
            <w:rStyle w:val="Hyperlink"/>
            <w:szCs w:val="32"/>
            <w:lang w:val="en-GB"/>
          </w:rPr>
          <w:t>www.abcam.cn/contactus</w:t>
        </w:r>
      </w:hyperlink>
      <w:r w:rsidR="0040308B" w:rsidRPr="0040308B">
        <w:rPr>
          <w:szCs w:val="32"/>
          <w:lang w:val="en-GB"/>
        </w:rPr>
        <w:t xml:space="preserve"> (China)</w:t>
      </w:r>
    </w:p>
    <w:p w14:paraId="2E518095" w14:textId="5440968C" w:rsidR="00DC1372" w:rsidRPr="0040308B" w:rsidRDefault="00054443" w:rsidP="002B1087">
      <w:pPr>
        <w:spacing w:before="0" w:line="240" w:lineRule="auto"/>
        <w:jc w:val="left"/>
        <w:rPr>
          <w:szCs w:val="32"/>
          <w:lang w:val="en-GB"/>
        </w:rPr>
      </w:pPr>
      <w:hyperlink r:id="rId18" w:tgtFrame="_blank" w:tooltip="https://www.abcam.co.jp/contactus" w:history="1">
        <w:r w:rsidR="0040308B" w:rsidRPr="0040308B">
          <w:rPr>
            <w:rStyle w:val="Hyperlink"/>
            <w:szCs w:val="32"/>
            <w:lang w:val="en-GB"/>
          </w:rPr>
          <w:t>www.abcam.co.jp/contactus</w:t>
        </w:r>
      </w:hyperlink>
      <w:r w:rsidR="0040308B" w:rsidRPr="0040308B">
        <w:rPr>
          <w:szCs w:val="32"/>
          <w:lang w:val="en-GB"/>
        </w:rPr>
        <w:t xml:space="preserve"> (Japan)</w:t>
      </w:r>
    </w:p>
    <w:sectPr w:rsidR="00DC1372" w:rsidRPr="0040308B" w:rsidSect="00DC1372">
      <w:headerReference w:type="even" r:id="rId19"/>
      <w:headerReference w:type="default" r:id="rId20"/>
      <w:footerReference w:type="even" r:id="rId21"/>
      <w:footerReference w:type="default" r:id="rId22"/>
      <w:footerReference w:type="first" r:id="rId23"/>
      <w:pgSz w:w="7920" w:h="12240"/>
      <w:pgMar w:top="1418" w:right="907" w:bottom="1418" w:left="907" w:header="708" w:footer="73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9B9A" w14:textId="77777777" w:rsidR="00F44924" w:rsidRDefault="00F44924" w:rsidP="00DC1372">
      <w:r>
        <w:separator/>
      </w:r>
    </w:p>
  </w:endnote>
  <w:endnote w:type="continuationSeparator" w:id="0">
    <w:p w14:paraId="16C82363" w14:textId="77777777" w:rsidR="00F44924" w:rsidRDefault="00F44924"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A9E5" w14:textId="77777777" w:rsidR="00BC4E0E" w:rsidRDefault="009F2DAB" w:rsidP="00DC1372">
    <w:pPr>
      <w:pStyle w:val="Footer"/>
      <w:framePr w:wrap="around" w:vAnchor="text" w:hAnchor="margin" w:xAlign="right" w:y="1"/>
      <w:rPr>
        <w:rStyle w:val="PageNumber"/>
      </w:rPr>
    </w:pPr>
    <w:r>
      <w:rPr>
        <w:rStyle w:val="PageNumber"/>
      </w:rPr>
      <w:fldChar w:fldCharType="begin"/>
    </w:r>
    <w:r w:rsidR="00BC4E0E">
      <w:rPr>
        <w:rStyle w:val="PageNumber"/>
      </w:rPr>
      <w:instrText xml:space="preserve">PAGE  </w:instrText>
    </w:r>
    <w:r>
      <w:rPr>
        <w:rStyle w:val="PageNumber"/>
      </w:rPr>
      <w:fldChar w:fldCharType="separate"/>
    </w:r>
    <w:r w:rsidR="00BC4E0E">
      <w:rPr>
        <w:rStyle w:val="PageNumber"/>
        <w:noProof/>
      </w:rPr>
      <w:t>27</w:t>
    </w:r>
    <w:r>
      <w:rPr>
        <w:rStyle w:val="PageNumber"/>
      </w:rPr>
      <w:fldChar w:fldCharType="end"/>
    </w:r>
  </w:p>
  <w:p w14:paraId="2F5D8B9C" w14:textId="77777777" w:rsidR="00BC4E0E" w:rsidRDefault="00BC4E0E"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239B" w14:textId="77777777" w:rsidR="00BC4E0E" w:rsidRPr="0001222D" w:rsidRDefault="009F2DAB" w:rsidP="00DC1372">
    <w:pPr>
      <w:pStyle w:val="Footer"/>
      <w:framePr w:wrap="around" w:vAnchor="text" w:hAnchor="margin" w:xAlign="right" w:y="1"/>
      <w:rPr>
        <w:rStyle w:val="PageNumber"/>
      </w:rPr>
    </w:pPr>
    <w:r w:rsidRPr="0001222D">
      <w:rPr>
        <w:rStyle w:val="PageNumber"/>
      </w:rPr>
      <w:fldChar w:fldCharType="begin"/>
    </w:r>
    <w:r w:rsidR="00BC4E0E" w:rsidRPr="0001222D">
      <w:rPr>
        <w:rStyle w:val="PageNumber"/>
      </w:rPr>
      <w:instrText>PAGE</w:instrText>
    </w:r>
    <w:r w:rsidRPr="0001222D">
      <w:rPr>
        <w:rStyle w:val="PageNumber"/>
      </w:rPr>
      <w:fldChar w:fldCharType="separate"/>
    </w:r>
    <w:r w:rsidR="00874400">
      <w:rPr>
        <w:rStyle w:val="PageNumber"/>
        <w:noProof/>
      </w:rPr>
      <w:t>15</w:t>
    </w:r>
    <w:r w:rsidRPr="0001222D">
      <w:rPr>
        <w:rStyle w:val="PageNumber"/>
      </w:rPr>
      <w:fldChar w:fldCharType="end"/>
    </w:r>
  </w:p>
  <w:p w14:paraId="2F88CFCB" w14:textId="77777777" w:rsidR="00BC4E0E" w:rsidRDefault="00BC4E0E" w:rsidP="00DC1372">
    <w:pPr>
      <w:pStyle w:val="Footer"/>
      <w:ind w:right="360"/>
      <w:jc w:val="center"/>
    </w:pPr>
  </w:p>
  <w:p w14:paraId="2E987A76" w14:textId="77777777" w:rsidR="00BC4E0E" w:rsidRDefault="00BC4E0E"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9410" w14:textId="01F8DC9D" w:rsidR="002427FD" w:rsidRDefault="002427FD">
    <w:pPr>
      <w:pStyle w:val="Footer"/>
    </w:pPr>
    <w:r>
      <w:t xml:space="preserve">Version 4a, Last Updated </w:t>
    </w:r>
    <w:r>
      <w:fldChar w:fldCharType="begin"/>
    </w:r>
    <w:r>
      <w:instrText xml:space="preserve"> DATE \@ "d MMMM yyyy" </w:instrText>
    </w:r>
    <w:r>
      <w:fldChar w:fldCharType="separate"/>
    </w:r>
    <w:r w:rsidR="00054443">
      <w:rPr>
        <w:noProof/>
      </w:rPr>
      <w:t>15 August 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C0EF" w14:textId="77777777" w:rsidR="00F44924" w:rsidRDefault="00F44924" w:rsidP="00DC1372">
      <w:r>
        <w:separator/>
      </w:r>
    </w:p>
  </w:footnote>
  <w:footnote w:type="continuationSeparator" w:id="0">
    <w:p w14:paraId="275C4FEA" w14:textId="77777777" w:rsidR="00F44924" w:rsidRDefault="00F44924"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6DF" w14:textId="77777777" w:rsidR="00BC4E0E" w:rsidRDefault="00054443">
    <w:pPr>
      <w:pStyle w:val="Header"/>
    </w:pPr>
    <w:r>
      <w:rPr>
        <w:noProof/>
      </w:rPr>
      <w:pict w14:anchorId="23896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5FB4" w14:textId="77777777" w:rsidR="00BC4E0E" w:rsidRPr="00885DC3" w:rsidRDefault="00BC4E0E"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687F33"/>
    <w:multiLevelType w:val="hybridMultilevel"/>
    <w:tmpl w:val="EE364CF8"/>
    <w:lvl w:ilvl="0" w:tplc="2F6252EA">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4311D"/>
    <w:multiLevelType w:val="hybridMultilevel"/>
    <w:tmpl w:val="1158C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C76D80"/>
    <w:multiLevelType w:val="hybridMultilevel"/>
    <w:tmpl w:val="53D8F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0043D"/>
    <w:multiLevelType w:val="hybridMultilevel"/>
    <w:tmpl w:val="B2C242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4959CF"/>
    <w:multiLevelType w:val="hybridMultilevel"/>
    <w:tmpl w:val="109C6EC6"/>
    <w:lvl w:ilvl="0" w:tplc="2D50DAC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121D3"/>
    <w:multiLevelType w:val="hybridMultilevel"/>
    <w:tmpl w:val="C61E1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4"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215C4D"/>
    <w:multiLevelType w:val="hybridMultilevel"/>
    <w:tmpl w:val="0CD0F340"/>
    <w:lvl w:ilvl="0" w:tplc="7FC0562A">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15:restartNumberingAfterBreak="0">
    <w:nsid w:val="72015E50"/>
    <w:multiLevelType w:val="hybridMultilevel"/>
    <w:tmpl w:val="984AB2DE"/>
    <w:lvl w:ilvl="0" w:tplc="7C3689A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A4A9B"/>
    <w:multiLevelType w:val="hybridMultilevel"/>
    <w:tmpl w:val="EE364CF8"/>
    <w:lvl w:ilvl="0" w:tplc="2F6252EA">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70825669">
    <w:abstractNumId w:val="4"/>
  </w:num>
  <w:num w:numId="2" w16cid:durableId="2023966806">
    <w:abstractNumId w:val="0"/>
  </w:num>
  <w:num w:numId="3" w16cid:durableId="583757458">
    <w:abstractNumId w:val="9"/>
  </w:num>
  <w:num w:numId="4" w16cid:durableId="294262467">
    <w:abstractNumId w:val="6"/>
  </w:num>
  <w:num w:numId="5" w16cid:durableId="226306563">
    <w:abstractNumId w:val="18"/>
  </w:num>
  <w:num w:numId="6" w16cid:durableId="69932121">
    <w:abstractNumId w:val="6"/>
    <w:lvlOverride w:ilvl="0">
      <w:startOverride w:val="1"/>
    </w:lvlOverride>
  </w:num>
  <w:num w:numId="7" w16cid:durableId="39982161">
    <w:abstractNumId w:val="6"/>
    <w:lvlOverride w:ilvl="0">
      <w:startOverride w:val="1"/>
    </w:lvlOverride>
  </w:num>
  <w:num w:numId="8" w16cid:durableId="111172610">
    <w:abstractNumId w:val="13"/>
  </w:num>
  <w:num w:numId="9" w16cid:durableId="2115441212">
    <w:abstractNumId w:val="7"/>
  </w:num>
  <w:num w:numId="10" w16cid:durableId="792285951">
    <w:abstractNumId w:val="1"/>
  </w:num>
  <w:num w:numId="11" w16cid:durableId="429618777">
    <w:abstractNumId w:val="19"/>
  </w:num>
  <w:num w:numId="12" w16cid:durableId="1113792121">
    <w:abstractNumId w:val="3"/>
  </w:num>
  <w:num w:numId="13" w16cid:durableId="542450268">
    <w:abstractNumId w:val="0"/>
  </w:num>
  <w:num w:numId="14" w16cid:durableId="625503755">
    <w:abstractNumId w:val="15"/>
  </w:num>
  <w:num w:numId="15" w16cid:durableId="1005548409">
    <w:abstractNumId w:val="0"/>
  </w:num>
  <w:num w:numId="16" w16cid:durableId="704060473">
    <w:abstractNumId w:val="0"/>
  </w:num>
  <w:num w:numId="17" w16cid:durableId="1116868820">
    <w:abstractNumId w:val="0"/>
  </w:num>
  <w:num w:numId="18" w16cid:durableId="1065252427">
    <w:abstractNumId w:val="0"/>
  </w:num>
  <w:num w:numId="19" w16cid:durableId="1024289937">
    <w:abstractNumId w:val="14"/>
  </w:num>
  <w:num w:numId="20" w16cid:durableId="236207030">
    <w:abstractNumId w:val="10"/>
  </w:num>
  <w:num w:numId="21" w16cid:durableId="1952202495">
    <w:abstractNumId w:val="11"/>
  </w:num>
  <w:num w:numId="22" w16cid:durableId="308828532">
    <w:abstractNumId w:val="17"/>
  </w:num>
  <w:num w:numId="23" w16cid:durableId="1242133329">
    <w:abstractNumId w:val="4"/>
  </w:num>
  <w:num w:numId="24" w16cid:durableId="1346398047">
    <w:abstractNumId w:val="4"/>
  </w:num>
  <w:num w:numId="25" w16cid:durableId="38287975">
    <w:abstractNumId w:val="4"/>
  </w:num>
  <w:num w:numId="26" w16cid:durableId="1326201456">
    <w:abstractNumId w:val="4"/>
  </w:num>
  <w:num w:numId="27" w16cid:durableId="1068377737">
    <w:abstractNumId w:val="4"/>
  </w:num>
  <w:num w:numId="28" w16cid:durableId="1520729222">
    <w:abstractNumId w:val="5"/>
  </w:num>
  <w:num w:numId="29" w16cid:durableId="1253778820">
    <w:abstractNumId w:val="8"/>
  </w:num>
  <w:num w:numId="30" w16cid:durableId="8257970">
    <w:abstractNumId w:val="2"/>
  </w:num>
  <w:num w:numId="31" w16cid:durableId="292295652">
    <w:abstractNumId w:val="12"/>
  </w:num>
  <w:num w:numId="32" w16cid:durableId="1234000543">
    <w:abstractNumId w:val="20"/>
  </w:num>
  <w:num w:numId="33" w16cid:durableId="89956110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E0"/>
    <w:rsid w:val="00024DA4"/>
    <w:rsid w:val="00036A61"/>
    <w:rsid w:val="000519C2"/>
    <w:rsid w:val="00054443"/>
    <w:rsid w:val="000A3896"/>
    <w:rsid w:val="000C104B"/>
    <w:rsid w:val="000C1244"/>
    <w:rsid w:val="000C387F"/>
    <w:rsid w:val="000E402A"/>
    <w:rsid w:val="000F2781"/>
    <w:rsid w:val="001326E7"/>
    <w:rsid w:val="00146054"/>
    <w:rsid w:val="001C6CF5"/>
    <w:rsid w:val="00200422"/>
    <w:rsid w:val="00220404"/>
    <w:rsid w:val="00231C71"/>
    <w:rsid w:val="002427FD"/>
    <w:rsid w:val="002448BD"/>
    <w:rsid w:val="002556EF"/>
    <w:rsid w:val="002651B1"/>
    <w:rsid w:val="00280407"/>
    <w:rsid w:val="0029034E"/>
    <w:rsid w:val="002B1087"/>
    <w:rsid w:val="002B7729"/>
    <w:rsid w:val="002D28E9"/>
    <w:rsid w:val="00343A31"/>
    <w:rsid w:val="00352194"/>
    <w:rsid w:val="00370419"/>
    <w:rsid w:val="00373E7C"/>
    <w:rsid w:val="0038421B"/>
    <w:rsid w:val="003B579B"/>
    <w:rsid w:val="0040308B"/>
    <w:rsid w:val="00411175"/>
    <w:rsid w:val="004247B9"/>
    <w:rsid w:val="00445BED"/>
    <w:rsid w:val="00472745"/>
    <w:rsid w:val="00482CB4"/>
    <w:rsid w:val="00495F55"/>
    <w:rsid w:val="004D4232"/>
    <w:rsid w:val="004E7C53"/>
    <w:rsid w:val="00503C3E"/>
    <w:rsid w:val="00532D6D"/>
    <w:rsid w:val="00551176"/>
    <w:rsid w:val="005610F8"/>
    <w:rsid w:val="00565162"/>
    <w:rsid w:val="005A523C"/>
    <w:rsid w:val="005B4251"/>
    <w:rsid w:val="005C7DD2"/>
    <w:rsid w:val="005D5667"/>
    <w:rsid w:val="005E38BD"/>
    <w:rsid w:val="005E50B8"/>
    <w:rsid w:val="006125F8"/>
    <w:rsid w:val="00635D38"/>
    <w:rsid w:val="0064683A"/>
    <w:rsid w:val="00661167"/>
    <w:rsid w:val="006621B2"/>
    <w:rsid w:val="006648B2"/>
    <w:rsid w:val="006C21B6"/>
    <w:rsid w:val="006C6C2D"/>
    <w:rsid w:val="006F6822"/>
    <w:rsid w:val="00703B39"/>
    <w:rsid w:val="00736187"/>
    <w:rsid w:val="00764C38"/>
    <w:rsid w:val="0077065B"/>
    <w:rsid w:val="007A2DD2"/>
    <w:rsid w:val="007D0E68"/>
    <w:rsid w:val="007D1D2E"/>
    <w:rsid w:val="007E5747"/>
    <w:rsid w:val="007F2573"/>
    <w:rsid w:val="00861D18"/>
    <w:rsid w:val="00874400"/>
    <w:rsid w:val="008A0916"/>
    <w:rsid w:val="008B2920"/>
    <w:rsid w:val="008F132A"/>
    <w:rsid w:val="00901E8F"/>
    <w:rsid w:val="00904BAC"/>
    <w:rsid w:val="00920CA4"/>
    <w:rsid w:val="00931DD8"/>
    <w:rsid w:val="0094350E"/>
    <w:rsid w:val="009636A4"/>
    <w:rsid w:val="0096591D"/>
    <w:rsid w:val="00970ECB"/>
    <w:rsid w:val="00971D31"/>
    <w:rsid w:val="009C1E8B"/>
    <w:rsid w:val="009C64B7"/>
    <w:rsid w:val="009F17EE"/>
    <w:rsid w:val="009F2DAB"/>
    <w:rsid w:val="00A0126A"/>
    <w:rsid w:val="00A04347"/>
    <w:rsid w:val="00A32193"/>
    <w:rsid w:val="00A61EE0"/>
    <w:rsid w:val="00A835F2"/>
    <w:rsid w:val="00A93842"/>
    <w:rsid w:val="00AC6B42"/>
    <w:rsid w:val="00AD1D71"/>
    <w:rsid w:val="00AE7D68"/>
    <w:rsid w:val="00B15EFF"/>
    <w:rsid w:val="00B23BC1"/>
    <w:rsid w:val="00B26D5E"/>
    <w:rsid w:val="00B42057"/>
    <w:rsid w:val="00B8255E"/>
    <w:rsid w:val="00B872EF"/>
    <w:rsid w:val="00BB03C3"/>
    <w:rsid w:val="00BC4E0E"/>
    <w:rsid w:val="00BC59B4"/>
    <w:rsid w:val="00C12998"/>
    <w:rsid w:val="00C33A74"/>
    <w:rsid w:val="00C94B78"/>
    <w:rsid w:val="00CA6738"/>
    <w:rsid w:val="00D005A9"/>
    <w:rsid w:val="00D00680"/>
    <w:rsid w:val="00D00968"/>
    <w:rsid w:val="00D05B6C"/>
    <w:rsid w:val="00D36450"/>
    <w:rsid w:val="00D50132"/>
    <w:rsid w:val="00D6414F"/>
    <w:rsid w:val="00D718D4"/>
    <w:rsid w:val="00D96267"/>
    <w:rsid w:val="00DA2BD0"/>
    <w:rsid w:val="00DC1372"/>
    <w:rsid w:val="00DC2DAB"/>
    <w:rsid w:val="00DC6219"/>
    <w:rsid w:val="00DD3F8B"/>
    <w:rsid w:val="00E30980"/>
    <w:rsid w:val="00E80001"/>
    <w:rsid w:val="00E81CD2"/>
    <w:rsid w:val="00E8302D"/>
    <w:rsid w:val="00ED55F2"/>
    <w:rsid w:val="00EF5BCD"/>
    <w:rsid w:val="00F1087A"/>
    <w:rsid w:val="00F44924"/>
    <w:rsid w:val="00F44E2F"/>
    <w:rsid w:val="00FA0504"/>
    <w:rsid w:val="00FB60DD"/>
    <w:rsid w:val="00FF35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C4304FB"/>
  <w15:docId w15:val="{D4E9A7DA-BC4D-412B-A7A6-16116A00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cs="Times New Roman"/>
      <w:bCs/>
      <w:sz w:val="20"/>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 w:val="20"/>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220404"/>
    <w:pPr>
      <w:ind w:left="1440" w:hanging="360"/>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24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3429">
      <w:bodyDiv w:val="1"/>
      <w:marLeft w:val="0"/>
      <w:marRight w:val="0"/>
      <w:marTop w:val="0"/>
      <w:marBottom w:val="0"/>
      <w:divBdr>
        <w:top w:val="none" w:sz="0" w:space="0" w:color="auto"/>
        <w:left w:val="none" w:sz="0" w:space="0" w:color="auto"/>
        <w:bottom w:val="none" w:sz="0" w:space="0" w:color="auto"/>
        <w:right w:val="none" w:sz="0" w:space="0" w:color="auto"/>
      </w:divBdr>
    </w:div>
    <w:div w:id="1757166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abcam.co.jp/contact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bcam.cn/contact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bcam.com/contact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bcam.com" TargetMode="External"/><Relationship Id="rId23" Type="http://schemas.openxmlformats.org/officeDocument/2006/relationships/footer" Target="footer3.xml"/><Relationship Id="rId10" Type="http://schemas.openxmlformats.org/officeDocument/2006/relationships/hyperlink" Target="https://www.abcam.co.jp/ab1559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bcam.cn/ab155900" TargetMode="External"/><Relationship Id="rId14" Type="http://schemas.openxmlformats.org/officeDocument/2006/relationships/hyperlink" Target="mailto:technical@abcam.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7B6E-4A2C-45EA-AF8F-3F629093BCA6}">
  <ds:schemaRefs>
    <ds:schemaRef ds:uri="http://schemas.openxmlformats.org/officeDocument/2006/bibliography"/>
  </ds:schemaRefs>
</ds:datastoreItem>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Alexandra Manoylova</cp:lastModifiedBy>
  <cp:revision>5</cp:revision>
  <cp:lastPrinted>2012-06-26T08:25:00Z</cp:lastPrinted>
  <dcterms:created xsi:type="dcterms:W3CDTF">2023-08-11T11:40:00Z</dcterms:created>
  <dcterms:modified xsi:type="dcterms:W3CDTF">2023-08-15T15:41:00Z</dcterms:modified>
</cp:coreProperties>
</file>