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26D7" w14:textId="77777777" w:rsidR="00DC1372" w:rsidRPr="006E17B3" w:rsidRDefault="001326E7" w:rsidP="00DC1372">
      <w:pPr>
        <w:rPr>
          <w:rFonts w:cs="Arial"/>
          <w:lang w:val="en-GB"/>
        </w:rPr>
      </w:pPr>
      <w:r>
        <w:rPr>
          <w:rFonts w:cs="Arial"/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38A72864" wp14:editId="38A72865">
            <wp:simplePos x="0" y="0"/>
            <wp:positionH relativeFrom="column">
              <wp:posOffset>2286000</wp:posOffset>
            </wp:positionH>
            <wp:positionV relativeFrom="page">
              <wp:posOffset>-13970</wp:posOffset>
            </wp:positionV>
            <wp:extent cx="2184400" cy="2184400"/>
            <wp:effectExtent l="19050" t="0" r="6350" b="0"/>
            <wp:wrapNone/>
            <wp:docPr id="14" name="Picture 14" descr="Abcam_Logo_3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bcam_Logo_35m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A726D8" w14:textId="77777777" w:rsidR="00DC1372" w:rsidRPr="006E17B3" w:rsidRDefault="00DC1372" w:rsidP="00DC1372">
      <w:pPr>
        <w:rPr>
          <w:rFonts w:cs="Arial"/>
          <w:lang w:val="en-GB"/>
        </w:rPr>
      </w:pPr>
    </w:p>
    <w:p w14:paraId="38A726D9" w14:textId="77777777" w:rsidR="00DC1372" w:rsidRPr="006E17B3" w:rsidRDefault="00DC1372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DC1372" w:rsidRPr="00DC1372" w14:paraId="38A726DC" w14:textId="77777777" w:rsidTr="00C12998">
        <w:trPr>
          <w:trHeight w:hRule="exact" w:val="3402"/>
        </w:trPr>
        <w:tc>
          <w:tcPr>
            <w:tcW w:w="6096" w:type="dxa"/>
            <w:vAlign w:val="center"/>
          </w:tcPr>
          <w:p w14:paraId="38A726DA" w14:textId="77777777" w:rsidR="00A04347" w:rsidRPr="00A04347" w:rsidRDefault="00F258E0" w:rsidP="00A04347">
            <w:pPr>
              <w:ind w:left="34"/>
              <w:jc w:val="left"/>
              <w:rPr>
                <w:b/>
                <w:sz w:val="48"/>
              </w:rPr>
            </w:pPr>
            <w:r>
              <w:rPr>
                <w:b/>
                <w:sz w:val="48"/>
              </w:rPr>
              <w:t>ab1</w:t>
            </w:r>
            <w:r w:rsidR="000D4E5A">
              <w:rPr>
                <w:b/>
                <w:sz w:val="48"/>
              </w:rPr>
              <w:t>74094</w:t>
            </w:r>
          </w:p>
          <w:p w14:paraId="38A726DB" w14:textId="77777777" w:rsidR="00DC1372" w:rsidRPr="00DC1372" w:rsidRDefault="000D4E5A" w:rsidP="00C14771">
            <w:pPr>
              <w:ind w:left="34"/>
              <w:jc w:val="left"/>
              <w:rPr>
                <w:b/>
                <w:sz w:val="48"/>
              </w:rPr>
            </w:pPr>
            <w:r w:rsidRPr="000D4E5A">
              <w:rPr>
                <w:b/>
                <w:bCs/>
                <w:sz w:val="48"/>
                <w:lang w:val="en-GB"/>
              </w:rPr>
              <w:t>Glycerol-3-phosphate (G3P) Assay Kit (Colorimetric)</w:t>
            </w:r>
          </w:p>
        </w:tc>
      </w:tr>
    </w:tbl>
    <w:p w14:paraId="24A0AAA6" w14:textId="77777777" w:rsidR="00036EA6" w:rsidRDefault="00036EA6" w:rsidP="00DC1372">
      <w:pPr>
        <w:jc w:val="left"/>
        <w:rPr>
          <w:rFonts w:cs="Arial"/>
          <w:sz w:val="24"/>
          <w:lang w:val="en-GB"/>
        </w:rPr>
      </w:pPr>
    </w:p>
    <w:p w14:paraId="38A726DE" w14:textId="22B21371" w:rsidR="00DC1372" w:rsidRPr="00036EA6" w:rsidRDefault="00DC1372" w:rsidP="00DC1372">
      <w:pPr>
        <w:jc w:val="left"/>
        <w:rPr>
          <w:rFonts w:cs="Arial"/>
          <w:sz w:val="24"/>
          <w:lang w:val="en-GB"/>
        </w:rPr>
      </w:pPr>
      <w:r w:rsidRPr="00036EA6">
        <w:rPr>
          <w:rFonts w:cs="Arial"/>
          <w:sz w:val="24"/>
          <w:lang w:val="en-GB"/>
        </w:rPr>
        <w:t>Instructions for Use</w:t>
      </w:r>
    </w:p>
    <w:p w14:paraId="38A726DF" w14:textId="77777777" w:rsidR="00DC1372" w:rsidRPr="00036EA6" w:rsidRDefault="00A04347" w:rsidP="00DC1372">
      <w:pPr>
        <w:spacing w:line="240" w:lineRule="auto"/>
        <w:jc w:val="left"/>
        <w:rPr>
          <w:rFonts w:cs="Arial"/>
          <w:sz w:val="24"/>
          <w:lang w:val="en-GB"/>
        </w:rPr>
      </w:pPr>
      <w:r w:rsidRPr="00036EA6">
        <w:rPr>
          <w:rFonts w:cs="Arial"/>
          <w:szCs w:val="20"/>
        </w:rPr>
        <w:t>For the sensit</w:t>
      </w:r>
      <w:r w:rsidR="000D20C1" w:rsidRPr="00036EA6">
        <w:rPr>
          <w:rFonts w:cs="Arial"/>
          <w:szCs w:val="20"/>
        </w:rPr>
        <w:t xml:space="preserve">ive and accurate measurement of </w:t>
      </w:r>
      <w:r w:rsidR="002667D3" w:rsidRPr="00036EA6">
        <w:rPr>
          <w:rFonts w:cs="Arial"/>
          <w:szCs w:val="20"/>
        </w:rPr>
        <w:t xml:space="preserve">G3P </w:t>
      </w:r>
      <w:r w:rsidR="000D20C1" w:rsidRPr="00036EA6">
        <w:rPr>
          <w:rFonts w:cs="Arial"/>
          <w:szCs w:val="20"/>
        </w:rPr>
        <w:t>activity in a variety of samples</w:t>
      </w:r>
    </w:p>
    <w:p w14:paraId="38A726E0" w14:textId="77777777" w:rsidR="00DC1372" w:rsidRPr="00036EA6" w:rsidRDefault="00DC1372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Cs w:val="20"/>
        </w:rPr>
      </w:pPr>
    </w:p>
    <w:p w14:paraId="6CEB490F" w14:textId="12F84B24" w:rsidR="0061299A" w:rsidRPr="00036EA6" w:rsidRDefault="00DC1372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Cs w:val="20"/>
        </w:rPr>
      </w:pPr>
      <w:r w:rsidRPr="00036EA6">
        <w:rPr>
          <w:rFonts w:cs="Arial"/>
          <w:szCs w:val="20"/>
        </w:rPr>
        <w:t>This product is for research use only and is not intended for diagnostic use.</w:t>
      </w:r>
    </w:p>
    <w:p w14:paraId="38A726E2" w14:textId="1D30A75C" w:rsidR="00CE5CB3" w:rsidRDefault="0061299A">
      <w:pPr>
        <w:spacing w:before="0" w:line="240" w:lineRule="auto"/>
        <w:jc w:val="left"/>
        <w:rPr>
          <w:rFonts w:cs="Arial"/>
          <w:sz w:val="28"/>
          <w:szCs w:val="28"/>
        </w:rPr>
      </w:pPr>
      <w:r w:rsidRPr="0061299A">
        <w:rPr>
          <w:rFonts w:cs="Arial"/>
          <w:szCs w:val="20"/>
        </w:rPr>
        <w:t xml:space="preserve">PLEASE NOTE: With the acquisition of </w:t>
      </w:r>
      <w:proofErr w:type="spellStart"/>
      <w:r w:rsidRPr="0061299A">
        <w:rPr>
          <w:rFonts w:cs="Arial"/>
          <w:szCs w:val="20"/>
        </w:rPr>
        <w:t>BioVision</w:t>
      </w:r>
      <w:proofErr w:type="spellEnd"/>
      <w:r w:rsidRPr="0061299A">
        <w:rPr>
          <w:rFonts w:cs="Arial"/>
          <w:szCs w:val="20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  <w:r w:rsidR="00D2466E">
        <w:rPr>
          <w:rFonts w:cs="Arial"/>
          <w:szCs w:val="20"/>
        </w:rPr>
        <w:t xml:space="preserve"> </w:t>
      </w:r>
      <w:r w:rsidR="00CE5CB3">
        <w:rPr>
          <w:rFonts w:cs="Arial"/>
          <w:sz w:val="28"/>
          <w:szCs w:val="28"/>
        </w:rPr>
        <w:br w:type="page"/>
      </w:r>
    </w:p>
    <w:p w14:paraId="38A726E3" w14:textId="77777777" w:rsidR="00DC1372" w:rsidRPr="001C6CF5" w:rsidRDefault="00DC1372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 w:val="28"/>
          <w:szCs w:val="28"/>
        </w:rPr>
      </w:pPr>
    </w:p>
    <w:p w14:paraId="38A726E4" w14:textId="77777777" w:rsidR="00DC1372" w:rsidRPr="00450C6C" w:rsidRDefault="00DC1372" w:rsidP="00DC1372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sz w:val="28"/>
          <w:szCs w:val="28"/>
          <w:highlight w:val="lightGray"/>
        </w:rPr>
      </w:pPr>
    </w:p>
    <w:p w14:paraId="38A726E5" w14:textId="77777777" w:rsidR="008B2920" w:rsidRDefault="008B2920">
      <w:pPr>
        <w:spacing w:before="0" w:line="240" w:lineRule="auto"/>
        <w:jc w:val="left"/>
        <w:rPr>
          <w:rFonts w:cs="Arial"/>
          <w:lang w:val="en-AU"/>
        </w:rPr>
      </w:pPr>
      <w:r>
        <w:rPr>
          <w:rFonts w:cs="Arial"/>
          <w:lang w:val="en-AU"/>
        </w:rPr>
        <w:br w:type="page"/>
      </w:r>
    </w:p>
    <w:p w14:paraId="38A726E6" w14:textId="77777777" w:rsidR="009C1E8B" w:rsidRDefault="009C1E8B" w:rsidP="009C1E8B">
      <w:pPr>
        <w:pStyle w:val="Heading1"/>
        <w:numPr>
          <w:ilvl w:val="0"/>
          <w:numId w:val="0"/>
        </w:numPr>
        <w:spacing w:before="0"/>
      </w:pPr>
      <w:bookmarkStart w:id="0" w:name="_Toc315440409"/>
      <w:bookmarkStart w:id="1" w:name="_Toc318703571"/>
      <w:bookmarkStart w:id="2" w:name="_Toc328465706"/>
      <w:bookmarkStart w:id="3" w:name="_Toc363404489"/>
      <w:r>
        <w:lastRenderedPageBreak/>
        <w:t>Table of Contents</w:t>
      </w:r>
      <w:bookmarkEnd w:id="0"/>
      <w:bookmarkEnd w:id="1"/>
      <w:bookmarkEnd w:id="2"/>
      <w:bookmarkEnd w:id="3"/>
    </w:p>
    <w:p w14:paraId="38A726E7" w14:textId="77777777" w:rsidR="00280E03" w:rsidRDefault="00F1537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 w:rsidR="00A04347">
        <w:instrText xml:space="preserve"> TOC  \* MERGEFORMAT </w:instrText>
      </w:r>
      <w:r>
        <w:fldChar w:fldCharType="separate"/>
      </w:r>
      <w:r w:rsidR="00280E03">
        <w:rPr>
          <w:noProof/>
        </w:rPr>
        <w:t>Table of Contents</w:t>
      </w:r>
      <w:r w:rsidR="00280E03">
        <w:rPr>
          <w:noProof/>
        </w:rPr>
        <w:tab/>
      </w:r>
      <w:r>
        <w:rPr>
          <w:noProof/>
        </w:rPr>
        <w:fldChar w:fldCharType="begin"/>
      </w:r>
      <w:r w:rsidR="00280E03">
        <w:rPr>
          <w:noProof/>
        </w:rPr>
        <w:instrText xml:space="preserve"> PAGEREF _Toc363404489 \h </w:instrText>
      </w:r>
      <w:r>
        <w:rPr>
          <w:noProof/>
        </w:rPr>
      </w:r>
      <w:r>
        <w:rPr>
          <w:noProof/>
        </w:rPr>
        <w:fldChar w:fldCharType="separate"/>
      </w:r>
      <w:r w:rsidR="002A2264">
        <w:rPr>
          <w:noProof/>
        </w:rPr>
        <w:t>2</w:t>
      </w:r>
      <w:r>
        <w:rPr>
          <w:noProof/>
        </w:rPr>
        <w:fldChar w:fldCharType="end"/>
      </w:r>
    </w:p>
    <w:p w14:paraId="38A726E8" w14:textId="77777777" w:rsidR="00280E03" w:rsidRDefault="00280E0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3736E2">
        <w:rPr>
          <w:rFonts w:cs="Wingdings"/>
          <w:noProof/>
          <w:snapToGrid w:val="0"/>
          <w:color w:val="000000"/>
          <w:w w:val="0"/>
        </w:rPr>
        <w:t>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Overview</w:t>
      </w:r>
      <w:r>
        <w:rPr>
          <w:noProof/>
        </w:rPr>
        <w:tab/>
      </w:r>
      <w:r w:rsidR="00F15371">
        <w:rPr>
          <w:noProof/>
        </w:rPr>
        <w:fldChar w:fldCharType="begin"/>
      </w:r>
      <w:r>
        <w:rPr>
          <w:noProof/>
        </w:rPr>
        <w:instrText xml:space="preserve"> PAGEREF _Toc363404490 \h </w:instrText>
      </w:r>
      <w:r w:rsidR="00F15371">
        <w:rPr>
          <w:noProof/>
        </w:rPr>
      </w:r>
      <w:r w:rsidR="00F15371">
        <w:rPr>
          <w:noProof/>
        </w:rPr>
        <w:fldChar w:fldCharType="separate"/>
      </w:r>
      <w:r w:rsidR="002A2264">
        <w:rPr>
          <w:noProof/>
        </w:rPr>
        <w:t>3</w:t>
      </w:r>
      <w:r w:rsidR="00F15371">
        <w:rPr>
          <w:noProof/>
        </w:rPr>
        <w:fldChar w:fldCharType="end"/>
      </w:r>
    </w:p>
    <w:p w14:paraId="38A726E9" w14:textId="77777777" w:rsidR="00280E03" w:rsidRDefault="00280E0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3736E2">
        <w:rPr>
          <w:rFonts w:cs="Wingdings"/>
          <w:noProof/>
          <w:snapToGrid w:val="0"/>
          <w:color w:val="000000"/>
          <w:w w:val="0"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Protocol Summary</w:t>
      </w:r>
      <w:r>
        <w:rPr>
          <w:noProof/>
        </w:rPr>
        <w:tab/>
      </w:r>
      <w:r w:rsidR="00F15371">
        <w:rPr>
          <w:noProof/>
        </w:rPr>
        <w:fldChar w:fldCharType="begin"/>
      </w:r>
      <w:r>
        <w:rPr>
          <w:noProof/>
        </w:rPr>
        <w:instrText xml:space="preserve"> PAGEREF _Toc363404491 \h </w:instrText>
      </w:r>
      <w:r w:rsidR="00F15371">
        <w:rPr>
          <w:noProof/>
        </w:rPr>
      </w:r>
      <w:r w:rsidR="00F15371">
        <w:rPr>
          <w:noProof/>
        </w:rPr>
        <w:fldChar w:fldCharType="separate"/>
      </w:r>
      <w:r w:rsidR="002A2264">
        <w:rPr>
          <w:noProof/>
        </w:rPr>
        <w:t>4</w:t>
      </w:r>
      <w:r w:rsidR="00F15371">
        <w:rPr>
          <w:noProof/>
        </w:rPr>
        <w:fldChar w:fldCharType="end"/>
      </w:r>
    </w:p>
    <w:p w14:paraId="38A726EA" w14:textId="77777777" w:rsidR="00280E03" w:rsidRDefault="00280E0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3736E2">
        <w:rPr>
          <w:rFonts w:cs="Wingdings"/>
          <w:noProof/>
          <w:snapToGrid w:val="0"/>
          <w:color w:val="000000"/>
          <w:w w:val="0"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Kits Components</w:t>
      </w:r>
      <w:r>
        <w:rPr>
          <w:noProof/>
        </w:rPr>
        <w:tab/>
      </w:r>
      <w:r w:rsidR="00F15371">
        <w:rPr>
          <w:noProof/>
        </w:rPr>
        <w:fldChar w:fldCharType="begin"/>
      </w:r>
      <w:r>
        <w:rPr>
          <w:noProof/>
        </w:rPr>
        <w:instrText xml:space="preserve"> PAGEREF _Toc363404492 \h </w:instrText>
      </w:r>
      <w:r w:rsidR="00F15371">
        <w:rPr>
          <w:noProof/>
        </w:rPr>
      </w:r>
      <w:r w:rsidR="00F15371">
        <w:rPr>
          <w:noProof/>
        </w:rPr>
        <w:fldChar w:fldCharType="separate"/>
      </w:r>
      <w:r w:rsidR="002A2264">
        <w:rPr>
          <w:noProof/>
        </w:rPr>
        <w:t>5</w:t>
      </w:r>
      <w:r w:rsidR="00F15371">
        <w:rPr>
          <w:noProof/>
        </w:rPr>
        <w:fldChar w:fldCharType="end"/>
      </w:r>
    </w:p>
    <w:p w14:paraId="38A726EB" w14:textId="77777777" w:rsidR="00280E03" w:rsidRDefault="00280E0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3736E2">
        <w:rPr>
          <w:rFonts w:cs="Wingdings"/>
          <w:noProof/>
          <w:snapToGrid w:val="0"/>
          <w:color w:val="000000"/>
          <w:w w:val="0"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Storage and Stability</w:t>
      </w:r>
      <w:r>
        <w:rPr>
          <w:noProof/>
        </w:rPr>
        <w:tab/>
      </w:r>
      <w:r w:rsidR="00F15371">
        <w:rPr>
          <w:noProof/>
        </w:rPr>
        <w:fldChar w:fldCharType="begin"/>
      </w:r>
      <w:r>
        <w:rPr>
          <w:noProof/>
        </w:rPr>
        <w:instrText xml:space="preserve"> PAGEREF _Toc363404493 \h </w:instrText>
      </w:r>
      <w:r w:rsidR="00F15371">
        <w:rPr>
          <w:noProof/>
        </w:rPr>
      </w:r>
      <w:r w:rsidR="00F15371">
        <w:rPr>
          <w:noProof/>
        </w:rPr>
        <w:fldChar w:fldCharType="separate"/>
      </w:r>
      <w:r w:rsidR="002A2264">
        <w:rPr>
          <w:noProof/>
        </w:rPr>
        <w:t>5</w:t>
      </w:r>
      <w:r w:rsidR="00F15371">
        <w:rPr>
          <w:noProof/>
        </w:rPr>
        <w:fldChar w:fldCharType="end"/>
      </w:r>
    </w:p>
    <w:p w14:paraId="38A726EC" w14:textId="77777777" w:rsidR="00280E03" w:rsidRDefault="00280E0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3736E2">
        <w:rPr>
          <w:rFonts w:cs="Wingdings"/>
          <w:noProof/>
          <w:snapToGrid w:val="0"/>
          <w:color w:val="000000"/>
          <w:w w:val="0"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 w:rsidR="00F15371">
        <w:rPr>
          <w:noProof/>
        </w:rPr>
        <w:fldChar w:fldCharType="begin"/>
      </w:r>
      <w:r>
        <w:rPr>
          <w:noProof/>
        </w:rPr>
        <w:instrText xml:space="preserve"> PAGEREF _Toc363404494 \h </w:instrText>
      </w:r>
      <w:r w:rsidR="00F15371">
        <w:rPr>
          <w:noProof/>
        </w:rPr>
      </w:r>
      <w:r w:rsidR="00F15371">
        <w:rPr>
          <w:noProof/>
        </w:rPr>
        <w:fldChar w:fldCharType="separate"/>
      </w:r>
      <w:r w:rsidR="002A2264">
        <w:rPr>
          <w:noProof/>
        </w:rPr>
        <w:t>6</w:t>
      </w:r>
      <w:r w:rsidR="00F15371">
        <w:rPr>
          <w:noProof/>
        </w:rPr>
        <w:fldChar w:fldCharType="end"/>
      </w:r>
    </w:p>
    <w:p w14:paraId="38A726ED" w14:textId="77777777" w:rsidR="00280E03" w:rsidRDefault="00280E0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3736E2">
        <w:rPr>
          <w:rFonts w:cs="Wingdings"/>
          <w:noProof/>
          <w:snapToGrid w:val="0"/>
          <w:color w:val="000000"/>
          <w:w w:val="0"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Reagents Preparation</w:t>
      </w:r>
      <w:r>
        <w:rPr>
          <w:noProof/>
        </w:rPr>
        <w:tab/>
      </w:r>
      <w:r w:rsidR="00F15371">
        <w:rPr>
          <w:noProof/>
        </w:rPr>
        <w:fldChar w:fldCharType="begin"/>
      </w:r>
      <w:r>
        <w:rPr>
          <w:noProof/>
        </w:rPr>
        <w:instrText xml:space="preserve"> PAGEREF _Toc363404495 \h </w:instrText>
      </w:r>
      <w:r w:rsidR="00F15371">
        <w:rPr>
          <w:noProof/>
        </w:rPr>
      </w:r>
      <w:r w:rsidR="00F15371">
        <w:rPr>
          <w:noProof/>
        </w:rPr>
        <w:fldChar w:fldCharType="separate"/>
      </w:r>
      <w:r w:rsidR="002A2264">
        <w:rPr>
          <w:noProof/>
        </w:rPr>
        <w:t>7</w:t>
      </w:r>
      <w:r w:rsidR="00F15371">
        <w:rPr>
          <w:noProof/>
        </w:rPr>
        <w:fldChar w:fldCharType="end"/>
      </w:r>
    </w:p>
    <w:p w14:paraId="38A726EE" w14:textId="77777777" w:rsidR="00280E03" w:rsidRDefault="00280E0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3736E2">
        <w:rPr>
          <w:rFonts w:cs="Wingdings"/>
          <w:noProof/>
          <w:snapToGrid w:val="0"/>
          <w:color w:val="000000"/>
          <w:w w:val="0"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Protocol</w:t>
      </w:r>
      <w:r>
        <w:rPr>
          <w:noProof/>
        </w:rPr>
        <w:tab/>
      </w:r>
      <w:r w:rsidR="00F15371">
        <w:rPr>
          <w:noProof/>
        </w:rPr>
        <w:fldChar w:fldCharType="begin"/>
      </w:r>
      <w:r>
        <w:rPr>
          <w:noProof/>
        </w:rPr>
        <w:instrText xml:space="preserve"> PAGEREF _Toc363404496 \h </w:instrText>
      </w:r>
      <w:r w:rsidR="00F15371">
        <w:rPr>
          <w:noProof/>
        </w:rPr>
      </w:r>
      <w:r w:rsidR="00F15371">
        <w:rPr>
          <w:noProof/>
        </w:rPr>
        <w:fldChar w:fldCharType="separate"/>
      </w:r>
      <w:r w:rsidR="002A2264">
        <w:rPr>
          <w:noProof/>
        </w:rPr>
        <w:t>8</w:t>
      </w:r>
      <w:r w:rsidR="00F15371">
        <w:rPr>
          <w:noProof/>
        </w:rPr>
        <w:fldChar w:fldCharType="end"/>
      </w:r>
    </w:p>
    <w:p w14:paraId="38A726EF" w14:textId="77777777" w:rsidR="00280E03" w:rsidRDefault="00280E0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3736E2">
        <w:rPr>
          <w:rFonts w:cs="Wingdings"/>
          <w:noProof/>
          <w:snapToGrid w:val="0"/>
          <w:color w:val="000000"/>
          <w:w w:val="0"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 w:rsidR="00F15371">
        <w:rPr>
          <w:noProof/>
        </w:rPr>
        <w:fldChar w:fldCharType="begin"/>
      </w:r>
      <w:r>
        <w:rPr>
          <w:noProof/>
        </w:rPr>
        <w:instrText xml:space="preserve"> PAGEREF _Toc363404497 \h </w:instrText>
      </w:r>
      <w:r w:rsidR="00F15371">
        <w:rPr>
          <w:noProof/>
        </w:rPr>
      </w:r>
      <w:r w:rsidR="00F15371">
        <w:rPr>
          <w:noProof/>
        </w:rPr>
        <w:fldChar w:fldCharType="separate"/>
      </w:r>
      <w:r w:rsidR="002A2264">
        <w:rPr>
          <w:noProof/>
        </w:rPr>
        <w:t>12</w:t>
      </w:r>
      <w:r w:rsidR="00F15371">
        <w:rPr>
          <w:noProof/>
        </w:rPr>
        <w:fldChar w:fldCharType="end"/>
      </w:r>
    </w:p>
    <w:p w14:paraId="38A726F0" w14:textId="77777777" w:rsidR="00280E03" w:rsidRDefault="00280E0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3736E2">
        <w:rPr>
          <w:rFonts w:cs="Wingdings"/>
          <w:noProof/>
          <w:snapToGrid w:val="0"/>
          <w:color w:val="000000"/>
          <w:w w:val="0"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Troubleshooting</w:t>
      </w:r>
      <w:r>
        <w:rPr>
          <w:noProof/>
        </w:rPr>
        <w:tab/>
      </w:r>
      <w:r w:rsidR="00F15371">
        <w:rPr>
          <w:noProof/>
        </w:rPr>
        <w:fldChar w:fldCharType="begin"/>
      </w:r>
      <w:r>
        <w:rPr>
          <w:noProof/>
        </w:rPr>
        <w:instrText xml:space="preserve"> PAGEREF _Toc363404498 \h </w:instrText>
      </w:r>
      <w:r w:rsidR="00F15371">
        <w:rPr>
          <w:noProof/>
        </w:rPr>
      </w:r>
      <w:r w:rsidR="00F15371">
        <w:rPr>
          <w:noProof/>
        </w:rPr>
        <w:fldChar w:fldCharType="separate"/>
      </w:r>
      <w:r w:rsidR="002A2264">
        <w:rPr>
          <w:noProof/>
        </w:rPr>
        <w:t>15</w:t>
      </w:r>
      <w:r w:rsidR="00F15371">
        <w:rPr>
          <w:noProof/>
        </w:rPr>
        <w:fldChar w:fldCharType="end"/>
      </w:r>
    </w:p>
    <w:p w14:paraId="38A726F1" w14:textId="77777777" w:rsidR="009C1E8B" w:rsidRDefault="00F15371" w:rsidP="00A04347">
      <w:pPr>
        <w:pStyle w:val="TOC1"/>
        <w:rPr>
          <w:noProof/>
        </w:rPr>
      </w:pPr>
      <w:r>
        <w:fldChar w:fldCharType="end"/>
      </w:r>
      <w:r>
        <w:fldChar w:fldCharType="begin"/>
      </w:r>
      <w:r w:rsidR="009C1E8B">
        <w:instrText xml:space="preserve"> TOC \o "1-1" \u </w:instrText>
      </w:r>
      <w:r>
        <w:fldChar w:fldCharType="separate"/>
      </w:r>
    </w:p>
    <w:p w14:paraId="38A726F2" w14:textId="77777777" w:rsidR="00A04347" w:rsidRDefault="00A04347">
      <w:pPr>
        <w:spacing w:before="0" w:line="240" w:lineRule="auto"/>
        <w:jc w:val="left"/>
        <w:rPr>
          <w:noProof/>
        </w:rPr>
      </w:pPr>
      <w:r>
        <w:rPr>
          <w:noProof/>
        </w:rPr>
        <w:br w:type="page"/>
      </w:r>
    </w:p>
    <w:p w14:paraId="38A726F3" w14:textId="77777777" w:rsidR="009C1E8B" w:rsidRDefault="00F15371" w:rsidP="00A04347">
      <w:pPr>
        <w:pStyle w:val="Heading1"/>
        <w:spacing w:before="0"/>
        <w:ind w:left="502" w:hanging="502"/>
      </w:pPr>
      <w:r>
        <w:lastRenderedPageBreak/>
        <w:fldChar w:fldCharType="end"/>
      </w:r>
      <w:bookmarkStart w:id="4" w:name="_Toc315440410"/>
      <w:bookmarkStart w:id="5" w:name="_Toc318703572"/>
      <w:bookmarkStart w:id="6" w:name="_Toc363404490"/>
      <w:r w:rsidR="009C1E8B">
        <w:t>Overview</w:t>
      </w:r>
      <w:bookmarkEnd w:id="4"/>
      <w:bookmarkEnd w:id="5"/>
      <w:bookmarkEnd w:id="6"/>
    </w:p>
    <w:p w14:paraId="38A726F4" w14:textId="77777777" w:rsidR="00C9475B" w:rsidRDefault="00C9475B" w:rsidP="00C9475B">
      <w:pPr>
        <w:rPr>
          <w:lang w:val="en-GB"/>
        </w:rPr>
      </w:pPr>
      <w:r w:rsidRPr="00C9475B">
        <w:rPr>
          <w:lang w:val="en-GB"/>
        </w:rPr>
        <w:t xml:space="preserve">Glycerol-3-phosphate (G3P) is an important intermediate for all living organisms. Glycerol-3-Phosphate is produced either by glycerol via glycerol kinase or by dihydroxyacetone phosphate through glycerol-3-phosphate dehydrogenase. In response to cellular signals, glycerol-3-phosphate can be utilized in multiple pathways: it can be further converted into glyceraldehyde-3-phosphate and enter glycolysis or rapidly generate NAD+ in brain or muscle tissues through the G3P shuttle or enter the lipid biosynthetic pathway. Recent studies have found that glycerol-3-phosphate is a novel regulator and plays a fundamental </w:t>
      </w:r>
      <w:proofErr w:type="spellStart"/>
      <w:r w:rsidR="005A27D3">
        <w:rPr>
          <w:lang w:val="en-GB"/>
        </w:rPr>
        <w:t>defens</w:t>
      </w:r>
      <w:r w:rsidR="005A27D3" w:rsidRPr="00C9475B">
        <w:rPr>
          <w:lang w:val="en-GB"/>
        </w:rPr>
        <w:t>e</w:t>
      </w:r>
      <w:proofErr w:type="spellEnd"/>
      <w:r w:rsidRPr="00C9475B">
        <w:rPr>
          <w:lang w:val="en-GB"/>
        </w:rPr>
        <w:t xml:space="preserve"> role in plant pathogenesis.</w:t>
      </w:r>
    </w:p>
    <w:p w14:paraId="38A726F5" w14:textId="1F5F4DD9" w:rsidR="00C9475B" w:rsidRDefault="002667D3" w:rsidP="00C9475B">
      <w:pPr>
        <w:rPr>
          <w:lang w:val="en-GB"/>
        </w:rPr>
      </w:pPr>
      <w:r>
        <w:rPr>
          <w:lang w:val="en-GB"/>
        </w:rPr>
        <w:t>Abcam</w:t>
      </w:r>
      <w:r w:rsidR="00C9475B" w:rsidRPr="00C9475B">
        <w:rPr>
          <w:lang w:val="en-GB"/>
        </w:rPr>
        <w:t xml:space="preserve">’s Glycerol-3-Phosphate Assay kit </w:t>
      </w:r>
      <w:r w:rsidR="002C45F9">
        <w:rPr>
          <w:lang w:val="en-GB"/>
        </w:rPr>
        <w:t xml:space="preserve">(ab174094) </w:t>
      </w:r>
      <w:r w:rsidR="00C9475B" w:rsidRPr="00C9475B">
        <w:rPr>
          <w:lang w:val="en-GB"/>
        </w:rPr>
        <w:t xml:space="preserve">is a sensitive, </w:t>
      </w:r>
      <w:proofErr w:type="gramStart"/>
      <w:r w:rsidR="00C9475B" w:rsidRPr="00C9475B">
        <w:rPr>
          <w:lang w:val="en-GB"/>
        </w:rPr>
        <w:t>fast</w:t>
      </w:r>
      <w:proofErr w:type="gramEnd"/>
      <w:r w:rsidR="00C9475B" w:rsidRPr="00C9475B">
        <w:rPr>
          <w:lang w:val="en-GB"/>
        </w:rPr>
        <w:t xml:space="preserve"> and easy-to-use kit. In this assay, G3P is oxidized by </w:t>
      </w:r>
      <w:r w:rsidR="00BD0914">
        <w:rPr>
          <w:lang w:val="en-GB"/>
        </w:rPr>
        <w:t xml:space="preserve">Development Enzyme Mix </w:t>
      </w:r>
      <w:r w:rsidR="0024759B">
        <w:rPr>
          <w:lang w:val="en-GB"/>
        </w:rPr>
        <w:t>VII/</w:t>
      </w:r>
      <w:r w:rsidR="00C9475B" w:rsidRPr="00C9475B">
        <w:rPr>
          <w:lang w:val="en-GB"/>
        </w:rPr>
        <w:t xml:space="preserve">G3P Enzyme Mix to form an intermediate, which reduces a nearly </w:t>
      </w:r>
      <w:proofErr w:type="spellStart"/>
      <w:r w:rsidR="00C9475B" w:rsidRPr="00C9475B">
        <w:rPr>
          <w:lang w:val="en-GB"/>
        </w:rPr>
        <w:t>colorless</w:t>
      </w:r>
      <w:proofErr w:type="spellEnd"/>
      <w:r w:rsidR="00C9475B" w:rsidRPr="00C9475B">
        <w:rPr>
          <w:lang w:val="en-GB"/>
        </w:rPr>
        <w:t xml:space="preserve"> </w:t>
      </w:r>
      <w:r w:rsidR="000B52CA">
        <w:rPr>
          <w:lang w:val="en-GB"/>
        </w:rPr>
        <w:t>Developer Solution III/</w:t>
      </w:r>
      <w:r w:rsidR="00C9475B" w:rsidRPr="00C9475B">
        <w:rPr>
          <w:lang w:val="en-GB"/>
        </w:rPr>
        <w:t xml:space="preserve">probe to a </w:t>
      </w:r>
      <w:proofErr w:type="spellStart"/>
      <w:r w:rsidR="00C9475B" w:rsidRPr="00C9475B">
        <w:rPr>
          <w:lang w:val="en-GB"/>
        </w:rPr>
        <w:t>colored</w:t>
      </w:r>
      <w:proofErr w:type="spellEnd"/>
      <w:r w:rsidR="00C9475B" w:rsidRPr="00C9475B">
        <w:rPr>
          <w:lang w:val="en-GB"/>
        </w:rPr>
        <w:t xml:space="preserve"> product with strong absorbance at 450 nm. This assay kit can detect G3P less than 2 nmol/well and can be used for a variety </w:t>
      </w:r>
      <w:r w:rsidR="00C9475B">
        <w:rPr>
          <w:noProof/>
          <w:lang w:val="en-GB" w:eastAsia="en-GB"/>
        </w:rPr>
        <w:drawing>
          <wp:anchor distT="0" distB="0" distL="114300" distR="114300" simplePos="0" relativeHeight="251672064" behindDoc="0" locked="0" layoutInCell="1" allowOverlap="1" wp14:anchorId="38A72866" wp14:editId="38A72867">
            <wp:simplePos x="0" y="0"/>
            <wp:positionH relativeFrom="margin">
              <wp:posOffset>-134620</wp:posOffset>
            </wp:positionH>
            <wp:positionV relativeFrom="margin">
              <wp:posOffset>4801870</wp:posOffset>
            </wp:positionV>
            <wp:extent cx="4237990" cy="334010"/>
            <wp:effectExtent l="1905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124" t="66669" r="21316" b="25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75B" w:rsidRPr="00C9475B">
        <w:rPr>
          <w:lang w:val="en-GB"/>
        </w:rPr>
        <w:t>of sample types.</w:t>
      </w:r>
    </w:p>
    <w:p w14:paraId="38A726F6" w14:textId="77777777" w:rsidR="00585F79" w:rsidRDefault="00DD5F77" w:rsidP="009636A4">
      <w:pPr>
        <w:rPr>
          <w:lang w:val="en-GB"/>
        </w:rPr>
      </w:pPr>
      <w:r w:rsidRPr="00BE58DB">
        <w:rPr>
          <w:b/>
          <w:lang w:val="en-GB"/>
        </w:rPr>
        <w:t>Figure 1:</w:t>
      </w:r>
      <w:r>
        <w:rPr>
          <w:lang w:val="en-GB"/>
        </w:rPr>
        <w:t xml:space="preserve"> Assay Procedure.</w:t>
      </w:r>
    </w:p>
    <w:p w14:paraId="38A726F7" w14:textId="77777777" w:rsidR="009C1E8B" w:rsidRDefault="009C1E8B" w:rsidP="00A04347">
      <w:pPr>
        <w:pStyle w:val="Heading1"/>
        <w:spacing w:before="240"/>
        <w:ind w:left="502" w:hanging="502"/>
      </w:pPr>
      <w:bookmarkStart w:id="7" w:name="_Toc315440411"/>
      <w:bookmarkStart w:id="8" w:name="_Toc318703573"/>
      <w:bookmarkStart w:id="9" w:name="_Toc363404491"/>
      <w:r>
        <w:lastRenderedPageBreak/>
        <w:t>Protocol Summary</w:t>
      </w:r>
      <w:bookmarkEnd w:id="7"/>
      <w:bookmarkEnd w:id="8"/>
      <w:bookmarkEnd w:id="9"/>
    </w:p>
    <w:bookmarkStart w:id="10" w:name="_Toc315440412"/>
    <w:bookmarkStart w:id="11" w:name="_Toc318703574"/>
    <w:bookmarkStart w:id="12" w:name="_Toc271554832"/>
    <w:bookmarkStart w:id="13" w:name="_Toc273532551"/>
    <w:p w14:paraId="38A726F8" w14:textId="2695179E" w:rsidR="00A04347" w:rsidRPr="00503C3E" w:rsidRDefault="007E6BD8" w:rsidP="00A04347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A72868" wp14:editId="2A269E56">
                <wp:simplePos x="0" y="0"/>
                <wp:positionH relativeFrom="margin">
                  <wp:posOffset>1834515</wp:posOffset>
                </wp:positionH>
                <wp:positionV relativeFrom="paragraph">
                  <wp:posOffset>291465</wp:posOffset>
                </wp:positionV>
                <wp:extent cx="180975" cy="231140"/>
                <wp:effectExtent l="38100" t="0" r="9525" b="1651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F1D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144.45pt;margin-top:22.95pt;width:14.25pt;height:18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">
                <w10:wrap anchorx="margin"/>
              </v:shape>
            </w:pict>
          </mc:Fallback>
        </mc:AlternateContent>
      </w:r>
      <w:r w:rsidR="00503C3E" w:rsidRPr="00503C3E">
        <w:rPr>
          <w:noProof/>
          <w:lang w:val="en-GB" w:eastAsia="en-GB"/>
        </w:rPr>
        <w:t>Reagent</w:t>
      </w:r>
      <w:r w:rsidR="00A04347" w:rsidRPr="00503C3E">
        <w:t xml:space="preserve"> Preparation</w:t>
      </w:r>
    </w:p>
    <w:p w14:paraId="38A726F9" w14:textId="6B431556" w:rsidR="00A04347" w:rsidRPr="00503C3E" w:rsidRDefault="007E6BD8" w:rsidP="00A04347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A72869" wp14:editId="48CFE9A4">
                <wp:simplePos x="0" y="0"/>
                <wp:positionH relativeFrom="margin">
                  <wp:posOffset>1834515</wp:posOffset>
                </wp:positionH>
                <wp:positionV relativeFrom="paragraph">
                  <wp:posOffset>288925</wp:posOffset>
                </wp:positionV>
                <wp:extent cx="180975" cy="231140"/>
                <wp:effectExtent l="38100" t="0" r="9525" b="1651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2AB2D" id="AutoShape 12" o:spid="_x0000_s1026" type="#_x0000_t67" style="position:absolute;margin-left:144.45pt;margin-top:22.75pt;width:14.25pt;height:18.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">
                <w10:wrap anchorx="margin"/>
              </v:shape>
            </w:pict>
          </mc:Fallback>
        </mc:AlternateContent>
      </w:r>
      <w:r w:rsidR="00503C3E" w:rsidRPr="00503C3E">
        <w:rPr>
          <w:noProof/>
          <w:lang w:val="en-GB" w:eastAsia="en-GB"/>
        </w:rPr>
        <w:t>Standard Curve Preparation</w:t>
      </w:r>
    </w:p>
    <w:p w14:paraId="38A726FA" w14:textId="0DF35CA7" w:rsidR="00A04347" w:rsidRDefault="007E6BD8" w:rsidP="00A04347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A7286A" wp14:editId="4F29B436">
                <wp:simplePos x="0" y="0"/>
                <wp:positionH relativeFrom="margin">
                  <wp:posOffset>1834515</wp:posOffset>
                </wp:positionH>
                <wp:positionV relativeFrom="paragraph">
                  <wp:posOffset>310515</wp:posOffset>
                </wp:positionV>
                <wp:extent cx="180975" cy="231140"/>
                <wp:effectExtent l="38100" t="0" r="9525" b="1651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A0AB8" id="AutoShape 13" o:spid="_x0000_s1026" type="#_x0000_t67" style="position:absolute;margin-left:144.45pt;margin-top:24.45pt;width:14.25pt;height:18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">
                <w10:wrap anchorx="margin"/>
              </v:shape>
            </w:pict>
          </mc:Fallback>
        </mc:AlternateContent>
      </w:r>
      <w:r w:rsidR="00A33F91">
        <w:rPr>
          <w:noProof/>
          <w:lang w:val="en-GB" w:eastAsia="en-GB"/>
        </w:rPr>
        <w:t xml:space="preserve">Control &amp; </w:t>
      </w:r>
      <w:r w:rsidR="00503C3E" w:rsidRPr="00503C3E">
        <w:rPr>
          <w:noProof/>
          <w:lang w:val="en-GB" w:eastAsia="en-GB"/>
        </w:rPr>
        <w:t>Sample</w:t>
      </w:r>
      <w:r w:rsidR="00A33F91">
        <w:rPr>
          <w:noProof/>
          <w:lang w:val="en-GB" w:eastAsia="en-GB"/>
        </w:rPr>
        <w:t>s</w:t>
      </w:r>
      <w:r w:rsidR="00A04347" w:rsidRPr="00503C3E">
        <w:t xml:space="preserve"> Preparation</w:t>
      </w:r>
    </w:p>
    <w:p w14:paraId="38A726FB" w14:textId="488E3322" w:rsidR="00A04347" w:rsidRPr="00503C3E" w:rsidRDefault="007E6BD8" w:rsidP="00A04347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A7286B" wp14:editId="7B8F6E7A">
                <wp:simplePos x="0" y="0"/>
                <wp:positionH relativeFrom="margin">
                  <wp:posOffset>1837690</wp:posOffset>
                </wp:positionH>
                <wp:positionV relativeFrom="paragraph">
                  <wp:posOffset>307975</wp:posOffset>
                </wp:positionV>
                <wp:extent cx="180975" cy="231140"/>
                <wp:effectExtent l="38100" t="0" r="9525" b="1651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273CC" id="AutoShape 14" o:spid="_x0000_s1026" type="#_x0000_t67" style="position:absolute;margin-left:144.7pt;margin-top:24.25pt;width:14.25pt;height:18.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">
                <w10:wrap anchorx="margin"/>
              </v:shape>
            </w:pict>
          </mc:Fallback>
        </mc:AlternateContent>
      </w:r>
      <w:r w:rsidR="00503C3E" w:rsidRPr="00503C3E">
        <w:rPr>
          <w:noProof/>
          <w:lang w:val="en-GB" w:eastAsia="en-GB"/>
        </w:rPr>
        <w:t>Reaction</w:t>
      </w:r>
    </w:p>
    <w:p w14:paraId="38A726FC" w14:textId="77777777" w:rsidR="00A0126A" w:rsidRDefault="00503C3E" w:rsidP="00503C3E">
      <w:pPr>
        <w:jc w:val="center"/>
      </w:pPr>
      <w:r>
        <w:t>Measurement and Calculation</w:t>
      </w:r>
    </w:p>
    <w:p w14:paraId="38A726FD" w14:textId="77777777" w:rsidR="00472745" w:rsidRDefault="00472745" w:rsidP="00503C3E">
      <w:pPr>
        <w:jc w:val="center"/>
      </w:pPr>
    </w:p>
    <w:p w14:paraId="38A726FE" w14:textId="77777777" w:rsidR="00472745" w:rsidRDefault="00472745" w:rsidP="00CE5CB3"/>
    <w:p w14:paraId="38A726FF" w14:textId="77777777" w:rsidR="00F258E0" w:rsidRDefault="00F258E0">
      <w:pPr>
        <w:spacing w:before="0" w:line="240" w:lineRule="auto"/>
        <w:jc w:val="left"/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38A72700" w14:textId="77777777" w:rsidR="009C1E8B" w:rsidRDefault="00A33F91" w:rsidP="00A04347">
      <w:pPr>
        <w:pStyle w:val="Heading1"/>
        <w:spacing w:before="0"/>
        <w:ind w:left="502" w:hanging="502"/>
      </w:pPr>
      <w:bookmarkStart w:id="14" w:name="_Toc363404492"/>
      <w:r>
        <w:lastRenderedPageBreak/>
        <w:t xml:space="preserve">Kits </w:t>
      </w:r>
      <w:r w:rsidR="009C1E8B">
        <w:t>Components</w:t>
      </w:r>
      <w:bookmarkEnd w:id="10"/>
      <w:bookmarkEnd w:id="11"/>
      <w:bookmarkEnd w:id="14"/>
    </w:p>
    <w:p w14:paraId="38A72701" w14:textId="77777777" w:rsidR="009C1E8B" w:rsidRPr="00A33F91" w:rsidRDefault="009C1E8B" w:rsidP="00A33F91">
      <w:pPr>
        <w:rPr>
          <w:b/>
        </w:rPr>
      </w:pPr>
    </w:p>
    <w:tbl>
      <w:tblPr>
        <w:tblStyle w:val="LightShading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11"/>
        <w:gridCol w:w="1276"/>
      </w:tblGrid>
      <w:tr w:rsidR="00A04347" w:rsidRPr="00332830" w14:paraId="38A72704" w14:textId="77777777" w:rsidTr="00DE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38A72702" w14:textId="77777777" w:rsidR="00A04347" w:rsidRPr="00332830" w:rsidRDefault="00A04347" w:rsidP="00DE1EFA">
            <w:pPr>
              <w:autoSpaceDE w:val="0"/>
              <w:autoSpaceDN w:val="0"/>
              <w:adjustRightInd w:val="0"/>
              <w:spacing w:after="240" w:line="240" w:lineRule="auto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>Item</w:t>
            </w:r>
          </w:p>
        </w:tc>
        <w:tc>
          <w:tcPr>
            <w:tcW w:w="1276" w:type="dxa"/>
            <w:shd w:val="clear" w:color="auto" w:fill="auto"/>
          </w:tcPr>
          <w:p w14:paraId="38A72703" w14:textId="77777777" w:rsidR="00A04347" w:rsidRPr="00332830" w:rsidRDefault="00A04347" w:rsidP="00DE1EFA">
            <w:pPr>
              <w:autoSpaceDE w:val="0"/>
              <w:autoSpaceDN w:val="0"/>
              <w:adjustRightInd w:val="0"/>
              <w:spacing w:after="24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>Quantity</w:t>
            </w:r>
          </w:p>
        </w:tc>
      </w:tr>
      <w:tr w:rsidR="00A04347" w:rsidRPr="00332830" w14:paraId="38A72707" w14:textId="77777777" w:rsidTr="00DE1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38A72705" w14:textId="63A7FCD3" w:rsidR="00A04347" w:rsidRPr="00485F8A" w:rsidRDefault="006A4395" w:rsidP="004E30DE">
            <w:pPr>
              <w:rPr>
                <w:b w:val="0"/>
                <w:sz w:val="18"/>
              </w:rPr>
            </w:pPr>
            <w:r>
              <w:rPr>
                <w:b w:val="0"/>
                <w:sz w:val="18"/>
                <w:lang w:val="en-GB"/>
              </w:rPr>
              <w:t>Assay Buffer V/</w:t>
            </w:r>
            <w:r w:rsidR="002667D3">
              <w:rPr>
                <w:b w:val="0"/>
                <w:sz w:val="18"/>
                <w:lang w:val="en-GB"/>
              </w:rPr>
              <w:t xml:space="preserve">G3P </w:t>
            </w:r>
            <w:r w:rsidR="004E30DE">
              <w:rPr>
                <w:b w:val="0"/>
                <w:sz w:val="18"/>
                <w:lang w:val="en-GB"/>
              </w:rPr>
              <w:t>Assay</w:t>
            </w:r>
            <w:r w:rsidR="0077065B" w:rsidRPr="0077065B">
              <w:rPr>
                <w:b w:val="0"/>
                <w:sz w:val="18"/>
                <w:lang w:val="en-GB"/>
              </w:rPr>
              <w:t xml:space="preserve"> Buffer</w:t>
            </w:r>
          </w:p>
        </w:tc>
        <w:tc>
          <w:tcPr>
            <w:tcW w:w="1276" w:type="dxa"/>
            <w:shd w:val="clear" w:color="auto" w:fill="auto"/>
          </w:tcPr>
          <w:p w14:paraId="38A72706" w14:textId="77777777" w:rsidR="00A04347" w:rsidRPr="00332830" w:rsidRDefault="004E30DE" w:rsidP="004E30DE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25</w:t>
            </w:r>
            <w:r w:rsidR="00A04347" w:rsidRPr="0033283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CE29BA">
              <w:rPr>
                <w:rFonts w:cs="Arial"/>
                <w:color w:val="000000"/>
                <w:sz w:val="18"/>
                <w:szCs w:val="18"/>
                <w:lang w:val="en-GB"/>
              </w:rPr>
              <w:t>mL</w:t>
            </w:r>
          </w:p>
        </w:tc>
      </w:tr>
      <w:tr w:rsidR="00A04347" w:rsidRPr="00332830" w14:paraId="38A7270A" w14:textId="77777777" w:rsidTr="00DE1EF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38A72708" w14:textId="3FDCBDCA" w:rsidR="00A04347" w:rsidRPr="00485F8A" w:rsidRDefault="006A4395" w:rsidP="006A4395">
            <w:pPr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  <w:lang w:val="en-GB"/>
              </w:rPr>
              <w:t>Development Enzyme Mix VII/</w:t>
            </w:r>
            <w:r w:rsidR="000B3F8D" w:rsidRPr="000B3F8D">
              <w:rPr>
                <w:b w:val="0"/>
                <w:sz w:val="18"/>
                <w:lang w:val="en-GB"/>
              </w:rPr>
              <w:t>G3P Enzyme Mix (Lyophilized)</w:t>
            </w:r>
          </w:p>
        </w:tc>
        <w:tc>
          <w:tcPr>
            <w:tcW w:w="1276" w:type="dxa"/>
            <w:shd w:val="clear" w:color="auto" w:fill="auto"/>
          </w:tcPr>
          <w:p w14:paraId="38A72709" w14:textId="77777777" w:rsidR="00A04347" w:rsidRPr="00332830" w:rsidRDefault="002667D3" w:rsidP="004E30DE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</w:tr>
      <w:tr w:rsidR="00A04347" w:rsidRPr="00332830" w14:paraId="38A7270D" w14:textId="77777777" w:rsidTr="00DE1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38A7270B" w14:textId="61606B22" w:rsidR="00A04347" w:rsidRPr="00485F8A" w:rsidRDefault="006A4395" w:rsidP="006A4395">
            <w:pPr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  <w:lang w:val="en-GB"/>
              </w:rPr>
              <w:t>Developer Solution III/</w:t>
            </w:r>
            <w:r w:rsidR="000B3F8D" w:rsidRPr="000B3F8D">
              <w:rPr>
                <w:b w:val="0"/>
                <w:sz w:val="18"/>
                <w:lang w:val="en-GB"/>
              </w:rPr>
              <w:t>G3P Probe (Lyophilized)</w:t>
            </w:r>
          </w:p>
        </w:tc>
        <w:tc>
          <w:tcPr>
            <w:tcW w:w="1276" w:type="dxa"/>
            <w:shd w:val="clear" w:color="auto" w:fill="auto"/>
          </w:tcPr>
          <w:p w14:paraId="38A7270C" w14:textId="77777777" w:rsidR="00A04347" w:rsidRPr="00332830" w:rsidRDefault="008F132A" w:rsidP="004E30DE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  <w:r w:rsidR="00A0434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4E30DE">
              <w:rPr>
                <w:rFonts w:cs="Arial"/>
                <w:color w:val="000000"/>
                <w:sz w:val="18"/>
                <w:szCs w:val="18"/>
                <w:lang w:val="en-GB"/>
              </w:rPr>
              <w:t>vial</w:t>
            </w:r>
          </w:p>
        </w:tc>
      </w:tr>
      <w:tr w:rsidR="00A04347" w:rsidRPr="00332830" w14:paraId="38A72710" w14:textId="77777777" w:rsidTr="00DE1EF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1" w:type="dxa"/>
            <w:shd w:val="clear" w:color="auto" w:fill="auto"/>
          </w:tcPr>
          <w:p w14:paraId="38A7270E" w14:textId="24303B48" w:rsidR="00A04347" w:rsidRPr="00485F8A" w:rsidRDefault="006A4395" w:rsidP="006A4395">
            <w:pPr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G3P Standard/</w:t>
            </w:r>
            <w:r w:rsidR="00561DB9" w:rsidRPr="00561DB9">
              <w:rPr>
                <w:b w:val="0"/>
                <w:sz w:val="18"/>
              </w:rPr>
              <w:t>G3P Standard (Lyophilized)</w:t>
            </w:r>
          </w:p>
        </w:tc>
        <w:tc>
          <w:tcPr>
            <w:tcW w:w="1276" w:type="dxa"/>
            <w:shd w:val="clear" w:color="auto" w:fill="auto"/>
          </w:tcPr>
          <w:p w14:paraId="38A7270F" w14:textId="77777777" w:rsidR="00A04347" w:rsidRPr="00332830" w:rsidRDefault="002667D3" w:rsidP="00DE1EFA">
            <w:pPr>
              <w:autoSpaceDE w:val="0"/>
              <w:autoSpaceDN w:val="0"/>
              <w:adjustRightInd w:val="0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</w:tr>
    </w:tbl>
    <w:p w14:paraId="38A72711" w14:textId="77777777" w:rsidR="00A33F91" w:rsidRDefault="00A33F91" w:rsidP="00A04347">
      <w:bookmarkStart w:id="15" w:name="_Toc315440413"/>
      <w:bookmarkEnd w:id="12"/>
      <w:bookmarkEnd w:id="13"/>
    </w:p>
    <w:p w14:paraId="38A72712" w14:textId="77777777" w:rsidR="00A33F91" w:rsidRDefault="00A33F91" w:rsidP="00DE1EFA">
      <w:pPr>
        <w:pStyle w:val="Heading1"/>
        <w:spacing w:before="0"/>
        <w:ind w:left="502" w:hanging="502"/>
      </w:pPr>
      <w:bookmarkStart w:id="16" w:name="_Toc363404493"/>
      <w:r>
        <w:t>Storage and Stability</w:t>
      </w:r>
      <w:bookmarkEnd w:id="16"/>
    </w:p>
    <w:p w14:paraId="38A72713" w14:textId="77777777" w:rsidR="00A04347" w:rsidRDefault="00DE1EFA" w:rsidP="00A04347">
      <w:r>
        <w:t>Upon arrival, s</w:t>
      </w:r>
      <w:r w:rsidR="008F132A">
        <w:t>tore the kit at</w:t>
      </w:r>
      <w:r w:rsidR="007B32E7">
        <w:t xml:space="preserve"> </w:t>
      </w:r>
      <w:r w:rsidR="008F132A">
        <w:t>-20</w:t>
      </w:r>
      <w:r w:rsidR="00A04347">
        <w:t xml:space="preserve">°C and protect from light. Please read the entire protocol before performing the assay. Avoid repeated freeze/thaw cycles. </w:t>
      </w:r>
    </w:p>
    <w:p w14:paraId="38A72714" w14:textId="77777777" w:rsidR="00A04347" w:rsidRDefault="008F132A" w:rsidP="00A04347">
      <w:pPr>
        <w:spacing w:before="120"/>
      </w:pPr>
      <w:r w:rsidRPr="008F132A">
        <w:rPr>
          <w:lang w:val="en-GB"/>
        </w:rPr>
        <w:t>Briefly centrifuge a</w:t>
      </w:r>
      <w:r>
        <w:rPr>
          <w:lang w:val="en-GB"/>
        </w:rPr>
        <w:t>ll small vials prior to opening</w:t>
      </w:r>
      <w:r w:rsidR="00A04347">
        <w:t>.</w:t>
      </w:r>
    </w:p>
    <w:p w14:paraId="38A72715" w14:textId="77777777" w:rsidR="001E1C4E" w:rsidRDefault="001E1C4E" w:rsidP="00A04347">
      <w:pPr>
        <w:spacing w:before="120"/>
      </w:pPr>
    </w:p>
    <w:p w14:paraId="38A72716" w14:textId="77777777" w:rsidR="00F813CD" w:rsidRDefault="00F813CD" w:rsidP="00A04347">
      <w:pPr>
        <w:spacing w:before="120"/>
      </w:pPr>
    </w:p>
    <w:p w14:paraId="38A72717" w14:textId="77777777" w:rsidR="00542454" w:rsidRDefault="00542454" w:rsidP="00A04347">
      <w:pPr>
        <w:spacing w:before="120"/>
      </w:pPr>
    </w:p>
    <w:p w14:paraId="38A72718" w14:textId="77777777" w:rsidR="00A04347" w:rsidRPr="00DE1EFA" w:rsidRDefault="00A04347" w:rsidP="00DE1EFA">
      <w:pPr>
        <w:pStyle w:val="Heading1"/>
        <w:spacing w:before="0"/>
        <w:ind w:left="502" w:hanging="502"/>
      </w:pPr>
      <w:bookmarkStart w:id="17" w:name="_Toc363404494"/>
      <w:r w:rsidRPr="00DE1EFA">
        <w:t>Materials Required</w:t>
      </w:r>
      <w:r w:rsidR="00DE1EFA" w:rsidRPr="00DE1EFA">
        <w:t>, Not Supplied</w:t>
      </w:r>
      <w:bookmarkEnd w:id="17"/>
    </w:p>
    <w:p w14:paraId="38A72719" w14:textId="77777777" w:rsidR="00A51415" w:rsidRPr="00DE1EFA" w:rsidRDefault="00C24D5D" w:rsidP="00DE1EFA">
      <w:pPr>
        <w:pStyle w:val="ListParagraph"/>
        <w:numPr>
          <w:ilvl w:val="0"/>
          <w:numId w:val="19"/>
        </w:numPr>
        <w:ind w:left="851" w:hanging="357"/>
        <w:contextualSpacing w:val="0"/>
        <w:rPr>
          <w:lang w:val="en-GB"/>
        </w:rPr>
      </w:pPr>
      <w:r w:rsidRPr="00C24D5D">
        <w:rPr>
          <w:lang w:val="en-GB"/>
        </w:rPr>
        <w:t xml:space="preserve">96-well </w:t>
      </w:r>
      <w:r w:rsidR="00542454">
        <w:rPr>
          <w:lang w:val="en-GB"/>
        </w:rPr>
        <w:t xml:space="preserve">clear </w:t>
      </w:r>
      <w:r w:rsidRPr="00C24D5D">
        <w:rPr>
          <w:lang w:val="en-GB"/>
        </w:rPr>
        <w:t xml:space="preserve">plate with flat </w:t>
      </w:r>
      <w:r w:rsidR="00542454">
        <w:rPr>
          <w:lang w:val="en-GB"/>
        </w:rPr>
        <w:t>bottom</w:t>
      </w:r>
      <w:r w:rsidRPr="00C24D5D">
        <w:rPr>
          <w:lang w:val="en-GB"/>
        </w:rPr>
        <w:t xml:space="preserve"> </w:t>
      </w:r>
      <w:r w:rsidR="00D268F2">
        <w:rPr>
          <w:lang w:val="en-GB"/>
        </w:rPr>
        <w:t>(for colorimetric reading)</w:t>
      </w:r>
    </w:p>
    <w:p w14:paraId="38A7271A" w14:textId="77777777" w:rsidR="00CF6E26" w:rsidRDefault="00CF6E26" w:rsidP="00DE1EFA">
      <w:pPr>
        <w:pStyle w:val="ListParagraph"/>
        <w:numPr>
          <w:ilvl w:val="0"/>
          <w:numId w:val="19"/>
        </w:numPr>
        <w:ind w:left="851" w:hanging="357"/>
        <w:contextualSpacing w:val="0"/>
        <w:rPr>
          <w:lang w:val="en-GB"/>
        </w:rPr>
      </w:pPr>
      <w:r w:rsidRPr="00CF6E26">
        <w:rPr>
          <w:lang w:val="en-GB"/>
        </w:rPr>
        <w:t xml:space="preserve">Multi-well spectrophotometer (ELISA reader) </w:t>
      </w:r>
    </w:p>
    <w:p w14:paraId="38A7271B" w14:textId="77777777" w:rsidR="00A32193" w:rsidRPr="00DE1EFA" w:rsidRDefault="00A32193" w:rsidP="00DE1EFA">
      <w:pPr>
        <w:pStyle w:val="ListParagraph"/>
        <w:numPr>
          <w:ilvl w:val="0"/>
          <w:numId w:val="19"/>
        </w:numPr>
        <w:ind w:left="851" w:hanging="357"/>
        <w:contextualSpacing w:val="0"/>
        <w:rPr>
          <w:lang w:val="en-GB"/>
        </w:rPr>
      </w:pPr>
      <w:r w:rsidRPr="00C24D5D">
        <w:rPr>
          <w:lang w:val="en-GB"/>
        </w:rPr>
        <w:t>Multi-channel pipette</w:t>
      </w:r>
    </w:p>
    <w:p w14:paraId="38A7271C" w14:textId="77777777" w:rsidR="00A94C88" w:rsidRPr="00DE1EFA" w:rsidRDefault="00542454" w:rsidP="00DE1EFA">
      <w:pPr>
        <w:pStyle w:val="ListParagraph"/>
        <w:numPr>
          <w:ilvl w:val="0"/>
          <w:numId w:val="19"/>
        </w:numPr>
        <w:ind w:left="851" w:hanging="357"/>
        <w:contextualSpacing w:val="0"/>
        <w:rPr>
          <w:lang w:val="en-GB"/>
        </w:rPr>
      </w:pPr>
      <w:r>
        <w:rPr>
          <w:lang w:val="en-GB"/>
        </w:rPr>
        <w:t>Distilled water</w:t>
      </w:r>
    </w:p>
    <w:p w14:paraId="38A7271D" w14:textId="77777777" w:rsidR="00A04347" w:rsidRDefault="00A04347" w:rsidP="00A04347">
      <w:pPr>
        <w:pStyle w:val="ListParagraph"/>
        <w:ind w:left="851" w:firstLine="0"/>
        <w:contextualSpacing w:val="0"/>
      </w:pPr>
    </w:p>
    <w:p w14:paraId="38A7271E" w14:textId="77777777" w:rsidR="00A04347" w:rsidRPr="00F67600" w:rsidRDefault="009C1E8B" w:rsidP="00F67600">
      <w:pPr>
        <w:pStyle w:val="Heading1"/>
        <w:spacing w:before="0"/>
        <w:ind w:left="502" w:hanging="502"/>
      </w:pPr>
      <w:r>
        <w:br w:type="page"/>
      </w:r>
      <w:bookmarkStart w:id="18" w:name="_Toc363404495"/>
      <w:bookmarkEnd w:id="15"/>
      <w:r w:rsidR="00F67600">
        <w:lastRenderedPageBreak/>
        <w:t>Reagents Preparation</w:t>
      </w:r>
      <w:bookmarkStart w:id="19" w:name="_Toc315440414"/>
      <w:bookmarkStart w:id="20" w:name="_Toc271554840"/>
      <w:bookmarkStart w:id="21" w:name="_Toc273532559"/>
      <w:bookmarkEnd w:id="18"/>
    </w:p>
    <w:p w14:paraId="38A7271F" w14:textId="0C88ED6A" w:rsidR="008C226E" w:rsidRPr="00D877AA" w:rsidRDefault="000B52CA" w:rsidP="00DE1EF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284" w:right="284" w:hanging="284"/>
        <w:contextualSpacing w:val="0"/>
        <w:rPr>
          <w:rFonts w:cs="Arial"/>
          <w:bCs/>
          <w:szCs w:val="20"/>
        </w:rPr>
      </w:pPr>
      <w:r>
        <w:rPr>
          <w:rFonts w:cs="Arial"/>
          <w:b/>
          <w:bCs/>
          <w:szCs w:val="20"/>
        </w:rPr>
        <w:t>Developer Solution III/</w:t>
      </w:r>
      <w:r w:rsidR="008C226E">
        <w:rPr>
          <w:rFonts w:cs="Arial"/>
          <w:b/>
          <w:bCs/>
          <w:szCs w:val="20"/>
        </w:rPr>
        <w:t>G3P Probe</w:t>
      </w:r>
      <w:r w:rsidR="008C226E" w:rsidRPr="008C226E">
        <w:rPr>
          <w:rFonts w:cs="Arial"/>
          <w:bCs/>
          <w:szCs w:val="20"/>
        </w:rPr>
        <w:t>:</w:t>
      </w:r>
    </w:p>
    <w:p w14:paraId="38A72720" w14:textId="77777777" w:rsidR="0038759E" w:rsidRPr="001E1414" w:rsidRDefault="0038759E" w:rsidP="001E1414">
      <w:pPr>
        <w:pStyle w:val="ListParagraph"/>
        <w:autoSpaceDE w:val="0"/>
        <w:autoSpaceDN w:val="0"/>
        <w:adjustRightInd w:val="0"/>
        <w:ind w:left="284" w:right="284" w:firstLine="0"/>
        <w:rPr>
          <w:rFonts w:eastAsia="Cambria" w:cs="Arial"/>
          <w:szCs w:val="20"/>
        </w:rPr>
      </w:pPr>
      <w:r w:rsidRPr="0038759E">
        <w:rPr>
          <w:rFonts w:eastAsia="Cambria" w:cs="Arial"/>
          <w:szCs w:val="20"/>
        </w:rPr>
        <w:t xml:space="preserve">Reconstitute with 220 </w:t>
      </w:r>
      <w:r w:rsidR="00CE29BA">
        <w:rPr>
          <w:rFonts w:eastAsia="Cambria" w:cs="Arial"/>
          <w:szCs w:val="20"/>
        </w:rPr>
        <w:t>µL</w:t>
      </w:r>
      <w:r w:rsidRPr="0038759E">
        <w:rPr>
          <w:rFonts w:eastAsia="Cambria" w:cs="Arial"/>
          <w:szCs w:val="20"/>
        </w:rPr>
        <w:t xml:space="preserve"> dH</w:t>
      </w:r>
      <w:r w:rsidRPr="0038759E">
        <w:rPr>
          <w:rFonts w:eastAsia="Cambria" w:cs="Arial"/>
          <w:szCs w:val="20"/>
          <w:vertAlign w:val="subscript"/>
        </w:rPr>
        <w:t>2</w:t>
      </w:r>
      <w:r w:rsidRPr="0038759E">
        <w:rPr>
          <w:rFonts w:eastAsia="Cambria" w:cs="Arial"/>
          <w:szCs w:val="20"/>
        </w:rPr>
        <w:t>O. Pipette up and down to dissolve completely. Stable for 2 months at -20°C</w:t>
      </w:r>
      <w:r>
        <w:rPr>
          <w:rFonts w:eastAsia="Cambria" w:cs="Arial"/>
          <w:szCs w:val="20"/>
        </w:rPr>
        <w:t>.</w:t>
      </w:r>
    </w:p>
    <w:p w14:paraId="38A72721" w14:textId="46EFA3B1" w:rsidR="00B26D5E" w:rsidRPr="00A04347" w:rsidRDefault="0024759B" w:rsidP="001E1414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284" w:right="284" w:hanging="284"/>
        <w:contextualSpacing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Development Enzyme Mix VII/</w:t>
      </w:r>
      <w:r w:rsidR="002667D3">
        <w:rPr>
          <w:rFonts w:cs="Arial"/>
          <w:b/>
          <w:bCs/>
          <w:szCs w:val="20"/>
        </w:rPr>
        <w:t>G3P</w:t>
      </w:r>
      <w:r w:rsidR="00E55FC4">
        <w:rPr>
          <w:rFonts w:cs="Arial"/>
          <w:b/>
          <w:bCs/>
          <w:szCs w:val="20"/>
        </w:rPr>
        <w:t xml:space="preserve"> Enzyme Mix:</w:t>
      </w:r>
    </w:p>
    <w:p w14:paraId="38A72722" w14:textId="795763FF" w:rsidR="00E55FC4" w:rsidRDefault="00E55FC4" w:rsidP="00E55FC4">
      <w:pPr>
        <w:pStyle w:val="ListParagraph"/>
        <w:autoSpaceDE w:val="0"/>
        <w:autoSpaceDN w:val="0"/>
        <w:adjustRightInd w:val="0"/>
        <w:ind w:left="284" w:right="284" w:firstLine="0"/>
        <w:rPr>
          <w:rFonts w:eastAsia="Cambria" w:cs="Arial"/>
          <w:szCs w:val="20"/>
        </w:rPr>
      </w:pPr>
      <w:r w:rsidRPr="00E55FC4">
        <w:rPr>
          <w:rFonts w:eastAsia="Cambria" w:cs="Arial"/>
          <w:szCs w:val="20"/>
        </w:rPr>
        <w:t xml:space="preserve">Reconstitute with 220 </w:t>
      </w:r>
      <w:r w:rsidR="00CE29BA">
        <w:rPr>
          <w:rFonts w:eastAsia="Cambria" w:cs="Arial"/>
          <w:szCs w:val="20"/>
        </w:rPr>
        <w:t>µL</w:t>
      </w:r>
      <w:r w:rsidRPr="00E55FC4">
        <w:rPr>
          <w:rFonts w:eastAsia="Cambria" w:cs="Arial"/>
          <w:szCs w:val="20"/>
        </w:rPr>
        <w:t xml:space="preserve"> </w:t>
      </w:r>
      <w:r w:rsidR="00645C99">
        <w:rPr>
          <w:rFonts w:eastAsia="Cambria" w:cs="Arial"/>
          <w:szCs w:val="20"/>
        </w:rPr>
        <w:t>Assay Buffer V/</w:t>
      </w:r>
      <w:r w:rsidRPr="00E55FC4">
        <w:rPr>
          <w:rFonts w:eastAsia="Cambria" w:cs="Arial"/>
          <w:szCs w:val="20"/>
        </w:rPr>
        <w:t>G3P Assay Buffer. Pipette up and down to dissolve completely. Keep on ice while in use.</w:t>
      </w:r>
      <w:r w:rsidR="00857E42">
        <w:rPr>
          <w:rFonts w:eastAsia="Cambria" w:cs="Arial"/>
          <w:szCs w:val="20"/>
        </w:rPr>
        <w:t xml:space="preserve"> </w:t>
      </w:r>
      <w:r w:rsidRPr="00E55FC4">
        <w:rPr>
          <w:rFonts w:eastAsia="Cambria" w:cs="Arial"/>
          <w:szCs w:val="20"/>
        </w:rPr>
        <w:t>Aliquot and store at -20°C. Avoid repeated freeze/thaw.</w:t>
      </w:r>
    </w:p>
    <w:p w14:paraId="38A72723" w14:textId="77777777" w:rsidR="00E55FC4" w:rsidRPr="00A04347" w:rsidRDefault="00E55FC4" w:rsidP="00E55FC4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284" w:right="284" w:hanging="284"/>
        <w:contextualSpacing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G3P Standard:</w:t>
      </w:r>
    </w:p>
    <w:p w14:paraId="38A72724" w14:textId="77777777" w:rsidR="00472745" w:rsidRDefault="00E937FF" w:rsidP="00F67600">
      <w:pPr>
        <w:pStyle w:val="ListParagraph"/>
        <w:autoSpaceDE w:val="0"/>
        <w:autoSpaceDN w:val="0"/>
        <w:adjustRightInd w:val="0"/>
        <w:ind w:left="284" w:right="284" w:firstLine="0"/>
        <w:rPr>
          <w:rFonts w:eastAsia="Cambria" w:cs="Arial"/>
          <w:szCs w:val="20"/>
        </w:rPr>
      </w:pPr>
      <w:r w:rsidRPr="00E937FF">
        <w:rPr>
          <w:rFonts w:eastAsia="Cambria" w:cs="Arial"/>
          <w:szCs w:val="20"/>
        </w:rPr>
        <w:t xml:space="preserve">Reconstitute with 100 </w:t>
      </w:r>
      <w:r w:rsidR="00CE29BA">
        <w:rPr>
          <w:rFonts w:eastAsia="Cambria" w:cs="Arial"/>
          <w:szCs w:val="20"/>
        </w:rPr>
        <w:t>µL</w:t>
      </w:r>
      <w:r w:rsidRPr="00E937FF">
        <w:rPr>
          <w:rFonts w:eastAsia="Cambria" w:cs="Arial"/>
          <w:szCs w:val="20"/>
        </w:rPr>
        <w:t xml:space="preserve"> </w:t>
      </w:r>
      <w:r w:rsidR="00CC679F" w:rsidRPr="0038759E">
        <w:rPr>
          <w:rFonts w:eastAsia="Cambria" w:cs="Arial"/>
          <w:szCs w:val="20"/>
        </w:rPr>
        <w:t>dH</w:t>
      </w:r>
      <w:r w:rsidR="00CC679F" w:rsidRPr="0038759E">
        <w:rPr>
          <w:rFonts w:eastAsia="Cambria" w:cs="Arial"/>
          <w:szCs w:val="20"/>
          <w:vertAlign w:val="subscript"/>
        </w:rPr>
        <w:t>2</w:t>
      </w:r>
      <w:r w:rsidR="00CC679F" w:rsidRPr="0038759E">
        <w:rPr>
          <w:rFonts w:eastAsia="Cambria" w:cs="Arial"/>
          <w:szCs w:val="20"/>
        </w:rPr>
        <w:t>O</w:t>
      </w:r>
      <w:r w:rsidRPr="00E937FF">
        <w:rPr>
          <w:rFonts w:eastAsia="Cambria" w:cs="Arial"/>
          <w:szCs w:val="20"/>
        </w:rPr>
        <w:t xml:space="preserve"> to generate </w:t>
      </w:r>
      <w:r w:rsidR="00F2182D">
        <w:rPr>
          <w:rFonts w:eastAsia="Cambria" w:cs="Arial"/>
          <w:szCs w:val="20"/>
        </w:rPr>
        <w:t xml:space="preserve">a </w:t>
      </w:r>
      <w:r w:rsidRPr="00E937FF">
        <w:rPr>
          <w:rFonts w:eastAsia="Cambria" w:cs="Arial"/>
          <w:szCs w:val="20"/>
        </w:rPr>
        <w:t>100 mM</w:t>
      </w:r>
      <w:r w:rsidR="00857E42">
        <w:rPr>
          <w:rFonts w:eastAsia="Cambria" w:cs="Arial"/>
          <w:szCs w:val="20"/>
        </w:rPr>
        <w:t xml:space="preserve"> </w:t>
      </w:r>
      <w:r w:rsidRPr="00E937FF">
        <w:rPr>
          <w:rFonts w:eastAsia="Cambria" w:cs="Arial"/>
          <w:szCs w:val="20"/>
        </w:rPr>
        <w:t>(100 nmol/</w:t>
      </w:r>
      <w:r w:rsidR="00CE29BA">
        <w:rPr>
          <w:rFonts w:eastAsia="Cambria" w:cs="Arial"/>
          <w:szCs w:val="20"/>
        </w:rPr>
        <w:t>µL</w:t>
      </w:r>
      <w:r w:rsidRPr="00E937FF">
        <w:rPr>
          <w:rFonts w:eastAsia="Cambria" w:cs="Arial"/>
          <w:szCs w:val="20"/>
        </w:rPr>
        <w:t xml:space="preserve">) G3P Standard solution. Keep on ice while in use. </w:t>
      </w:r>
      <w:r w:rsidRPr="00F67600">
        <w:rPr>
          <w:rFonts w:eastAsia="Cambria" w:cs="Arial"/>
          <w:szCs w:val="20"/>
        </w:rPr>
        <w:t>Store at –20°C. Use within two months.</w:t>
      </w:r>
    </w:p>
    <w:p w14:paraId="38A72725" w14:textId="10779548" w:rsidR="00F813CD" w:rsidRPr="00A04347" w:rsidRDefault="00645C99" w:rsidP="00F813CD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284" w:right="284" w:hanging="284"/>
        <w:contextualSpacing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Assay Buffer V/</w:t>
      </w:r>
      <w:r w:rsidR="00F813CD">
        <w:rPr>
          <w:rFonts w:cs="Arial"/>
          <w:b/>
          <w:bCs/>
          <w:szCs w:val="20"/>
        </w:rPr>
        <w:t>G3P Assay Buffer:</w:t>
      </w:r>
    </w:p>
    <w:p w14:paraId="38A72726" w14:textId="54016B67" w:rsidR="00F813CD" w:rsidRPr="00F813CD" w:rsidRDefault="00F813CD" w:rsidP="00F813CD">
      <w:pPr>
        <w:pStyle w:val="ListParagraph"/>
        <w:autoSpaceDE w:val="0"/>
        <w:autoSpaceDN w:val="0"/>
        <w:adjustRightInd w:val="0"/>
        <w:ind w:left="284" w:right="284" w:firstLine="0"/>
        <w:rPr>
          <w:rFonts w:eastAsia="Cambria" w:cs="Arial"/>
          <w:szCs w:val="20"/>
        </w:rPr>
      </w:pPr>
      <w:r w:rsidRPr="00F813CD">
        <w:rPr>
          <w:rFonts w:eastAsia="Cambria" w:cs="Arial"/>
          <w:szCs w:val="20"/>
        </w:rPr>
        <w:t xml:space="preserve">Warm </w:t>
      </w:r>
      <w:r w:rsidR="00645C99">
        <w:rPr>
          <w:rFonts w:eastAsia="Cambria" w:cs="Arial"/>
          <w:szCs w:val="20"/>
        </w:rPr>
        <w:t>Assay Buffer V/</w:t>
      </w:r>
      <w:r>
        <w:rPr>
          <w:rFonts w:eastAsia="Cambria" w:cs="Arial"/>
          <w:szCs w:val="20"/>
        </w:rPr>
        <w:t>G3P</w:t>
      </w:r>
      <w:r w:rsidRPr="00F813CD">
        <w:rPr>
          <w:rFonts w:eastAsia="Cambria" w:cs="Arial"/>
          <w:szCs w:val="20"/>
        </w:rPr>
        <w:t xml:space="preserve"> Assay Buffer to room temperature before use.</w:t>
      </w:r>
    </w:p>
    <w:p w14:paraId="38A72727" w14:textId="77777777" w:rsidR="006904DD" w:rsidRDefault="006904DD" w:rsidP="00F67600">
      <w:pPr>
        <w:pStyle w:val="ListParagraph"/>
        <w:autoSpaceDE w:val="0"/>
        <w:autoSpaceDN w:val="0"/>
        <w:adjustRightInd w:val="0"/>
        <w:ind w:left="284" w:right="284" w:firstLine="0"/>
        <w:rPr>
          <w:rFonts w:eastAsia="Cambria" w:cs="Arial"/>
          <w:szCs w:val="20"/>
        </w:rPr>
      </w:pPr>
    </w:p>
    <w:p w14:paraId="38A72728" w14:textId="77777777" w:rsidR="006904DD" w:rsidRDefault="006904DD" w:rsidP="00F67600">
      <w:pPr>
        <w:pStyle w:val="ListParagraph"/>
        <w:autoSpaceDE w:val="0"/>
        <w:autoSpaceDN w:val="0"/>
        <w:adjustRightInd w:val="0"/>
        <w:ind w:left="284" w:right="284" w:firstLine="0"/>
        <w:rPr>
          <w:rFonts w:eastAsia="Cambria" w:cs="Arial"/>
          <w:szCs w:val="20"/>
        </w:rPr>
      </w:pPr>
    </w:p>
    <w:p w14:paraId="38A72729" w14:textId="77777777" w:rsidR="006904DD" w:rsidRDefault="006904DD" w:rsidP="00F67600">
      <w:pPr>
        <w:pStyle w:val="ListParagraph"/>
        <w:autoSpaceDE w:val="0"/>
        <w:autoSpaceDN w:val="0"/>
        <w:adjustRightInd w:val="0"/>
        <w:ind w:left="284" w:right="284" w:firstLine="0"/>
        <w:rPr>
          <w:rFonts w:eastAsia="Cambria" w:cs="Arial"/>
          <w:szCs w:val="20"/>
        </w:rPr>
      </w:pPr>
    </w:p>
    <w:p w14:paraId="38A7272A" w14:textId="77777777" w:rsidR="006904DD" w:rsidRDefault="006904DD" w:rsidP="00F67600">
      <w:pPr>
        <w:pStyle w:val="ListParagraph"/>
        <w:autoSpaceDE w:val="0"/>
        <w:autoSpaceDN w:val="0"/>
        <w:adjustRightInd w:val="0"/>
        <w:ind w:left="284" w:right="284" w:firstLine="0"/>
        <w:rPr>
          <w:rFonts w:eastAsia="Cambria" w:cs="Arial"/>
          <w:szCs w:val="20"/>
        </w:rPr>
      </w:pPr>
    </w:p>
    <w:p w14:paraId="38A72730" w14:textId="77777777" w:rsidR="003B587F" w:rsidRPr="00F67600" w:rsidRDefault="003B587F" w:rsidP="003B587F">
      <w:pPr>
        <w:pStyle w:val="Heading1"/>
        <w:spacing w:before="0"/>
        <w:ind w:left="502" w:hanging="502"/>
      </w:pPr>
      <w:bookmarkStart w:id="22" w:name="_Toc363404496"/>
      <w:r>
        <w:t>Assay Protocol</w:t>
      </w:r>
      <w:bookmarkEnd w:id="22"/>
    </w:p>
    <w:p w14:paraId="38A72731" w14:textId="77777777" w:rsidR="001C5D1C" w:rsidRDefault="001C5D1C" w:rsidP="001C5D1C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284" w:right="284" w:hanging="284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Control and Sample Preparation</w:t>
      </w:r>
      <w:r w:rsidRPr="00373E7C">
        <w:rPr>
          <w:rFonts w:cs="Arial"/>
          <w:b/>
          <w:bCs/>
          <w:szCs w:val="20"/>
        </w:rPr>
        <w:t>:</w:t>
      </w:r>
    </w:p>
    <w:p w14:paraId="38A72732" w14:textId="77777777" w:rsidR="00F813CD" w:rsidRPr="009E3084" w:rsidRDefault="00F813CD" w:rsidP="00F813CD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0"/>
        <w:ind w:left="284" w:hanging="284"/>
        <w:rPr>
          <w:rFonts w:cs="Arial"/>
          <w:b/>
          <w:bCs/>
          <w:szCs w:val="20"/>
        </w:rPr>
      </w:pPr>
      <w:r w:rsidRPr="009E3084">
        <w:rPr>
          <w:rFonts w:cs="Arial"/>
          <w:b/>
          <w:bCs/>
          <w:szCs w:val="20"/>
        </w:rPr>
        <w:lastRenderedPageBreak/>
        <w:t>Cells (starting material: 1 x 10</w:t>
      </w:r>
      <w:r w:rsidRPr="009E3084">
        <w:rPr>
          <w:rFonts w:cs="Arial"/>
          <w:b/>
          <w:bCs/>
          <w:szCs w:val="20"/>
          <w:vertAlign w:val="superscript"/>
        </w:rPr>
        <w:t>6</w:t>
      </w:r>
      <w:r w:rsidRPr="009E3084">
        <w:rPr>
          <w:rFonts w:cs="Arial"/>
          <w:b/>
          <w:bCs/>
          <w:szCs w:val="20"/>
        </w:rPr>
        <w:t xml:space="preserve"> cells)</w:t>
      </w:r>
    </w:p>
    <w:p w14:paraId="38A72733" w14:textId="703F9B81" w:rsidR="00F813CD" w:rsidRDefault="00F813CD" w:rsidP="00F813CD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Harvest cells and spin down briefly and discard supernatant. Resuspend the cell pellet in</w:t>
      </w:r>
      <w:r w:rsidRPr="00CE14E9">
        <w:rPr>
          <w:rFonts w:cs="Arial"/>
          <w:bCs/>
          <w:szCs w:val="20"/>
        </w:rPr>
        <w:t xml:space="preserve"> 200 </w:t>
      </w:r>
      <w:r>
        <w:rPr>
          <w:rFonts w:cs="Arial"/>
          <w:bCs/>
          <w:szCs w:val="20"/>
        </w:rPr>
        <w:t>µL</w:t>
      </w:r>
      <w:r w:rsidRPr="00CE14E9">
        <w:rPr>
          <w:rFonts w:cs="Arial"/>
          <w:bCs/>
          <w:szCs w:val="20"/>
        </w:rPr>
        <w:t xml:space="preserve"> ice cold </w:t>
      </w:r>
      <w:r w:rsidR="00645C99">
        <w:rPr>
          <w:rFonts w:cs="Arial"/>
          <w:bCs/>
          <w:szCs w:val="20"/>
        </w:rPr>
        <w:t>Assay Buffer V/</w:t>
      </w:r>
      <w:r>
        <w:rPr>
          <w:rFonts w:cs="Arial"/>
          <w:bCs/>
          <w:szCs w:val="20"/>
        </w:rPr>
        <w:t>G3P</w:t>
      </w:r>
      <w:r w:rsidRPr="00CE14E9">
        <w:rPr>
          <w:rFonts w:cs="Arial"/>
          <w:bCs/>
          <w:szCs w:val="20"/>
        </w:rPr>
        <w:t xml:space="preserve"> Assay Buffer </w:t>
      </w:r>
      <w:r>
        <w:rPr>
          <w:rFonts w:cs="Arial"/>
          <w:bCs/>
          <w:szCs w:val="20"/>
        </w:rPr>
        <w:t xml:space="preserve">and put on </w:t>
      </w:r>
      <w:r w:rsidRPr="00CE14E9">
        <w:rPr>
          <w:rFonts w:cs="Arial"/>
          <w:bCs/>
          <w:szCs w:val="20"/>
        </w:rPr>
        <w:t xml:space="preserve">ice. </w:t>
      </w:r>
      <w:r>
        <w:rPr>
          <w:rFonts w:cs="Arial"/>
          <w:bCs/>
          <w:szCs w:val="20"/>
        </w:rPr>
        <w:t xml:space="preserve">Homogenize with a </w:t>
      </w:r>
      <w:proofErr w:type="spellStart"/>
      <w:r>
        <w:rPr>
          <w:rFonts w:cs="Arial"/>
          <w:bCs/>
          <w:szCs w:val="20"/>
        </w:rPr>
        <w:t>Douncer</w:t>
      </w:r>
      <w:proofErr w:type="spellEnd"/>
      <w:r>
        <w:rPr>
          <w:rFonts w:cs="Arial"/>
          <w:bCs/>
          <w:szCs w:val="20"/>
        </w:rPr>
        <w:t xml:space="preserve"> homogenizer (10 – 15 passes) on ice, or by pipetting up and down using a smaller tip, until efficient lysis is confirmed by viewing the cells under the microscope. </w:t>
      </w:r>
      <w:r w:rsidRPr="00CE14E9">
        <w:rPr>
          <w:rFonts w:cs="Arial"/>
          <w:bCs/>
          <w:szCs w:val="20"/>
        </w:rPr>
        <w:t xml:space="preserve">Centrifuge </w:t>
      </w:r>
      <w:r>
        <w:rPr>
          <w:rFonts w:cs="Arial"/>
          <w:bCs/>
          <w:szCs w:val="20"/>
        </w:rPr>
        <w:t xml:space="preserve">homogenate </w:t>
      </w:r>
      <w:r w:rsidRPr="00CE14E9">
        <w:rPr>
          <w:rFonts w:cs="Arial"/>
          <w:bCs/>
          <w:szCs w:val="20"/>
        </w:rPr>
        <w:t xml:space="preserve">at 12000 rpm for 5 minutes </w:t>
      </w:r>
      <w:r w:rsidRPr="00D81566">
        <w:rPr>
          <w:rFonts w:cs="Arial"/>
          <w:bCs/>
          <w:szCs w:val="20"/>
        </w:rPr>
        <w:t>at 4°C</w:t>
      </w:r>
      <w:r w:rsidRPr="00CE14E9">
        <w:rPr>
          <w:rFonts w:cs="Arial"/>
          <w:bCs/>
          <w:szCs w:val="20"/>
        </w:rPr>
        <w:t xml:space="preserve"> to remove cell debris and </w:t>
      </w:r>
      <w:r>
        <w:rPr>
          <w:rFonts w:cs="Arial"/>
          <w:bCs/>
          <w:szCs w:val="20"/>
        </w:rPr>
        <w:t xml:space="preserve">collect the </w:t>
      </w:r>
      <w:r w:rsidRPr="00CE14E9">
        <w:rPr>
          <w:rFonts w:cs="Arial"/>
          <w:bCs/>
          <w:szCs w:val="20"/>
        </w:rPr>
        <w:t>supernatant.</w:t>
      </w:r>
    </w:p>
    <w:p w14:paraId="38A72734" w14:textId="77777777" w:rsidR="00F813CD" w:rsidRDefault="00F813CD" w:rsidP="00F813CD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Use the supernatant for your subsequent assays. Test different dilutions of the sample to ensure the readings will fall within the linear range of the standard curve.</w:t>
      </w:r>
    </w:p>
    <w:p w14:paraId="38A72735" w14:textId="26E29B79" w:rsidR="00F813CD" w:rsidRDefault="00F813CD" w:rsidP="00F813CD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Add 1 – 50 µL test sample to the wells of a 96-well plate. If volume need is &lt;50 µL, bring it up to </w:t>
      </w:r>
      <w:r w:rsidRPr="00CE14E9">
        <w:rPr>
          <w:rFonts w:cs="Arial"/>
          <w:bCs/>
          <w:szCs w:val="20"/>
        </w:rPr>
        <w:t xml:space="preserve">50 </w:t>
      </w:r>
      <w:r>
        <w:rPr>
          <w:rFonts w:cs="Arial"/>
          <w:bCs/>
          <w:szCs w:val="20"/>
        </w:rPr>
        <w:t xml:space="preserve">µL with </w:t>
      </w:r>
      <w:r w:rsidR="00645C99">
        <w:rPr>
          <w:rFonts w:cs="Arial"/>
          <w:bCs/>
          <w:szCs w:val="20"/>
        </w:rPr>
        <w:t>Assay Buffer V/</w:t>
      </w:r>
      <w:r>
        <w:rPr>
          <w:rFonts w:cs="Arial"/>
          <w:bCs/>
          <w:szCs w:val="20"/>
        </w:rPr>
        <w:t xml:space="preserve">G3P </w:t>
      </w:r>
      <w:r w:rsidRPr="00CE14E9">
        <w:rPr>
          <w:rFonts w:cs="Arial"/>
          <w:bCs/>
          <w:szCs w:val="20"/>
        </w:rPr>
        <w:t>Assay Buffer</w:t>
      </w:r>
      <w:r>
        <w:rPr>
          <w:rFonts w:cs="Arial"/>
          <w:bCs/>
          <w:szCs w:val="20"/>
        </w:rPr>
        <w:t>.</w:t>
      </w:r>
    </w:p>
    <w:p w14:paraId="38A72736" w14:textId="77777777" w:rsidR="00F813CD" w:rsidRPr="00FD0292" w:rsidRDefault="00F813CD" w:rsidP="00F2182D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0"/>
        <w:ind w:left="284" w:hanging="284"/>
        <w:rPr>
          <w:rFonts w:cs="Arial"/>
          <w:b/>
          <w:bCs/>
          <w:szCs w:val="20"/>
        </w:rPr>
      </w:pPr>
      <w:r w:rsidRPr="00FD0292">
        <w:rPr>
          <w:rFonts w:cs="Arial"/>
          <w:b/>
          <w:bCs/>
          <w:szCs w:val="20"/>
        </w:rPr>
        <w:t>Tissue Sample (starting material: 10mg tissue)</w:t>
      </w:r>
    </w:p>
    <w:p w14:paraId="38A72737" w14:textId="516F7975" w:rsidR="00F813CD" w:rsidRPr="00AD74FC" w:rsidRDefault="00F813CD" w:rsidP="00F813CD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szCs w:val="20"/>
        </w:rPr>
      </w:pPr>
      <w:r w:rsidRPr="00CB42E3">
        <w:rPr>
          <w:rFonts w:cs="Arial"/>
          <w:bCs/>
          <w:szCs w:val="20"/>
        </w:rPr>
        <w:t xml:space="preserve">Cut tissue in small pieces, add 200 µL ice cold </w:t>
      </w:r>
      <w:r w:rsidR="00645C99">
        <w:rPr>
          <w:rFonts w:cs="Arial"/>
          <w:bCs/>
          <w:szCs w:val="20"/>
        </w:rPr>
        <w:t>Assay Buffer V/</w:t>
      </w:r>
      <w:r>
        <w:rPr>
          <w:rFonts w:cs="Arial"/>
          <w:bCs/>
          <w:szCs w:val="20"/>
        </w:rPr>
        <w:t>G3P Assay Buffer</w:t>
      </w:r>
      <w:r w:rsidRPr="00914AF0">
        <w:rPr>
          <w:rFonts w:cs="Arial"/>
          <w:bCs/>
          <w:szCs w:val="20"/>
        </w:rPr>
        <w:t xml:space="preserve"> and put on ice.</w:t>
      </w:r>
      <w:r>
        <w:rPr>
          <w:rFonts w:cs="Arial"/>
          <w:bCs/>
          <w:szCs w:val="20"/>
        </w:rPr>
        <w:t xml:space="preserve"> </w:t>
      </w:r>
      <w:r w:rsidRPr="00AD74FC">
        <w:rPr>
          <w:rFonts w:cs="Arial"/>
          <w:bCs/>
          <w:szCs w:val="20"/>
        </w:rPr>
        <w:t xml:space="preserve">Homogenize using a </w:t>
      </w:r>
      <w:proofErr w:type="spellStart"/>
      <w:r w:rsidRPr="00AD74FC">
        <w:rPr>
          <w:rFonts w:cs="Arial"/>
          <w:bCs/>
          <w:szCs w:val="20"/>
        </w:rPr>
        <w:t>Douncer</w:t>
      </w:r>
      <w:proofErr w:type="spellEnd"/>
      <w:r w:rsidRPr="00AD74FC">
        <w:rPr>
          <w:rFonts w:cs="Arial"/>
          <w:bCs/>
          <w:szCs w:val="20"/>
        </w:rPr>
        <w:t xml:space="preserve"> homogenizer (10 – 15 passes) on ice, until efficient lysis is confirmed, by viewing the cells under the microscope. Spin down the samples and collect the supernatant.</w:t>
      </w:r>
    </w:p>
    <w:p w14:paraId="38A72738" w14:textId="77777777" w:rsidR="00F813CD" w:rsidRPr="00AD74FC" w:rsidRDefault="00F813CD" w:rsidP="00F813CD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szCs w:val="20"/>
        </w:rPr>
      </w:pPr>
      <w:r w:rsidRPr="00AD74FC">
        <w:rPr>
          <w:rFonts w:cs="Arial"/>
          <w:bCs/>
          <w:szCs w:val="20"/>
        </w:rPr>
        <w:t>Use the supernatant for your subsequent assays.</w:t>
      </w:r>
      <w:r>
        <w:rPr>
          <w:rFonts w:cs="Arial"/>
          <w:bCs/>
          <w:szCs w:val="20"/>
        </w:rPr>
        <w:t xml:space="preserve"> </w:t>
      </w:r>
      <w:r w:rsidRPr="00AD74FC">
        <w:rPr>
          <w:rFonts w:cs="Arial"/>
          <w:bCs/>
          <w:szCs w:val="20"/>
        </w:rPr>
        <w:t>Test different dilutions of the sample to ensure the readings will fall within the linear range of the standard curve.</w:t>
      </w:r>
    </w:p>
    <w:p w14:paraId="38A72739" w14:textId="47AB1CA8" w:rsidR="00F813CD" w:rsidRPr="00CE14E9" w:rsidRDefault="00F813CD" w:rsidP="00F813CD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szCs w:val="20"/>
        </w:rPr>
      </w:pPr>
      <w:r w:rsidRPr="00AD74FC">
        <w:rPr>
          <w:rFonts w:cs="Arial"/>
          <w:bCs/>
          <w:szCs w:val="20"/>
        </w:rPr>
        <w:lastRenderedPageBreak/>
        <w:t>A</w:t>
      </w:r>
      <w:r>
        <w:rPr>
          <w:rFonts w:cs="Arial"/>
          <w:bCs/>
          <w:szCs w:val="20"/>
        </w:rPr>
        <w:t>dd</w:t>
      </w:r>
      <w:r w:rsidRPr="00AD74F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1 – 50 µL </w:t>
      </w:r>
      <w:r w:rsidRPr="00AD74FC">
        <w:rPr>
          <w:rFonts w:cs="Arial"/>
          <w:bCs/>
          <w:szCs w:val="20"/>
        </w:rPr>
        <w:t>test sample to wells of a 96-well plate. If volume needed is &lt;50 µ</w:t>
      </w:r>
      <w:r>
        <w:rPr>
          <w:rFonts w:cs="Arial"/>
          <w:bCs/>
          <w:szCs w:val="20"/>
        </w:rPr>
        <w:t>L</w:t>
      </w:r>
      <w:r w:rsidRPr="00AD74FC">
        <w:rPr>
          <w:rFonts w:cs="Arial"/>
          <w:bCs/>
          <w:szCs w:val="20"/>
        </w:rPr>
        <w:t xml:space="preserve">, </w:t>
      </w:r>
      <w:r>
        <w:rPr>
          <w:rFonts w:cs="Arial"/>
          <w:bCs/>
          <w:szCs w:val="20"/>
        </w:rPr>
        <w:t xml:space="preserve">bring it up to 50 µL with </w:t>
      </w:r>
      <w:r w:rsidR="00645C99">
        <w:rPr>
          <w:rFonts w:cs="Arial"/>
          <w:bCs/>
          <w:szCs w:val="20"/>
        </w:rPr>
        <w:t>Assay Buffer V/</w:t>
      </w:r>
      <w:r>
        <w:rPr>
          <w:rFonts w:cs="Arial"/>
          <w:bCs/>
          <w:szCs w:val="20"/>
        </w:rPr>
        <w:t>G3P Assay Buffer.</w:t>
      </w:r>
    </w:p>
    <w:p w14:paraId="38A7273A" w14:textId="77777777" w:rsidR="001C5D1C" w:rsidRDefault="001C5D1C" w:rsidP="001C5D1C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szCs w:val="20"/>
        </w:rPr>
      </w:pPr>
    </w:p>
    <w:p w14:paraId="38A7273B" w14:textId="77777777" w:rsidR="00F813CD" w:rsidRDefault="00F813CD" w:rsidP="00F813CD">
      <w:pPr>
        <w:pStyle w:val="ListParagraph"/>
        <w:autoSpaceDE w:val="0"/>
        <w:autoSpaceDN w:val="0"/>
        <w:adjustRightInd w:val="0"/>
        <w:ind w:left="284" w:firstLine="0"/>
        <w:contextualSpacing w:val="0"/>
        <w:rPr>
          <w:rFonts w:cs="Arial"/>
          <w:bCs/>
          <w:i/>
          <w:szCs w:val="20"/>
        </w:rPr>
      </w:pPr>
      <w:r w:rsidRPr="00D81566">
        <w:rPr>
          <w:rFonts w:cs="Arial"/>
          <w:bCs/>
          <w:i/>
          <w:szCs w:val="20"/>
        </w:rPr>
        <w:t xml:space="preserve">NOTE: </w:t>
      </w:r>
    </w:p>
    <w:p w14:paraId="38A7273C" w14:textId="77777777" w:rsidR="00F813CD" w:rsidRDefault="00F813CD" w:rsidP="00F813CD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i/>
          <w:szCs w:val="20"/>
        </w:rPr>
      </w:pPr>
      <w:r w:rsidRPr="00A8599D">
        <w:rPr>
          <w:rFonts w:cs="Arial"/>
          <w:bCs/>
          <w:i/>
          <w:szCs w:val="20"/>
        </w:rPr>
        <w:t>For unknown samples, we suggest testing several doses of your samples to ensure the readings are w</w:t>
      </w:r>
      <w:r>
        <w:rPr>
          <w:rFonts w:cs="Arial"/>
          <w:bCs/>
          <w:i/>
          <w:szCs w:val="20"/>
        </w:rPr>
        <w:t>ithin the Standard Curve range.</w:t>
      </w:r>
    </w:p>
    <w:p w14:paraId="38A7273D" w14:textId="77777777" w:rsidR="00F813CD" w:rsidRDefault="00F813CD" w:rsidP="00F813CD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i/>
          <w:szCs w:val="20"/>
        </w:rPr>
      </w:pPr>
      <w:r>
        <w:rPr>
          <w:rFonts w:cs="Arial"/>
          <w:bCs/>
          <w:i/>
          <w:szCs w:val="20"/>
        </w:rPr>
        <w:t>NADH in samples will generate background. For samples suspected of having high NADH levels, prepare parallel samples well(s) as background control.</w:t>
      </w:r>
    </w:p>
    <w:p w14:paraId="38A7273E" w14:textId="77777777" w:rsidR="001C5D1C" w:rsidRPr="00A04347" w:rsidRDefault="001C5D1C" w:rsidP="001C5D1C">
      <w:pPr>
        <w:pStyle w:val="ListParagraph"/>
        <w:autoSpaceDE w:val="0"/>
        <w:autoSpaceDN w:val="0"/>
        <w:adjustRightInd w:val="0"/>
        <w:ind w:left="357" w:firstLine="0"/>
        <w:rPr>
          <w:b/>
        </w:rPr>
      </w:pPr>
    </w:p>
    <w:p w14:paraId="38A7273F" w14:textId="77777777" w:rsidR="001E1414" w:rsidRPr="001E1414" w:rsidRDefault="001E1414" w:rsidP="0070142F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284" w:right="284" w:hanging="284"/>
        <w:rPr>
          <w:rFonts w:cs="Arial"/>
          <w:b/>
          <w:bCs/>
          <w:szCs w:val="20"/>
        </w:rPr>
      </w:pPr>
      <w:r w:rsidRPr="001E1414">
        <w:rPr>
          <w:rFonts w:cs="Arial"/>
          <w:b/>
          <w:bCs/>
          <w:szCs w:val="20"/>
        </w:rPr>
        <w:t>Standard Curve</w:t>
      </w:r>
      <w:r w:rsidR="00F2182D">
        <w:rPr>
          <w:rFonts w:cs="Arial"/>
          <w:b/>
          <w:bCs/>
          <w:szCs w:val="20"/>
        </w:rPr>
        <w:t xml:space="preserve"> Preparation:</w:t>
      </w:r>
    </w:p>
    <w:p w14:paraId="38A72740" w14:textId="77777777" w:rsidR="00A8599D" w:rsidRDefault="00F2182D" w:rsidP="00A8599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0"/>
        <w:ind w:left="284" w:hanging="284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Prepare a 1mM (1nmol/µL)</w:t>
      </w:r>
      <w:r w:rsidR="00A8599D" w:rsidRPr="00A8599D">
        <w:rPr>
          <w:rFonts w:cs="Arial"/>
          <w:bCs/>
          <w:szCs w:val="20"/>
        </w:rPr>
        <w:t xml:space="preserve"> G3P Standard by adding 10 </w:t>
      </w:r>
      <w:r w:rsidR="00CE29BA">
        <w:rPr>
          <w:rFonts w:cs="Arial"/>
          <w:bCs/>
          <w:szCs w:val="20"/>
        </w:rPr>
        <w:t>µL</w:t>
      </w:r>
      <w:r w:rsidR="00A8599D" w:rsidRPr="00A8599D">
        <w:rPr>
          <w:rFonts w:cs="Arial"/>
          <w:bCs/>
          <w:szCs w:val="20"/>
        </w:rPr>
        <w:t xml:space="preserve"> of 100 mM G3P Standard to 990 </w:t>
      </w:r>
      <w:r w:rsidR="00CE29BA">
        <w:rPr>
          <w:rFonts w:cs="Arial"/>
          <w:bCs/>
          <w:szCs w:val="20"/>
        </w:rPr>
        <w:t>µL</w:t>
      </w:r>
      <w:r w:rsidR="00A8599D" w:rsidRPr="00A8599D">
        <w:rPr>
          <w:rFonts w:cs="Arial"/>
          <w:bCs/>
          <w:szCs w:val="20"/>
        </w:rPr>
        <w:t xml:space="preserve"> dH</w:t>
      </w:r>
      <w:r w:rsidR="00A8599D" w:rsidRPr="000519FA">
        <w:rPr>
          <w:rFonts w:cs="Arial"/>
          <w:bCs/>
          <w:szCs w:val="20"/>
          <w:vertAlign w:val="subscript"/>
        </w:rPr>
        <w:t>2</w:t>
      </w:r>
      <w:r w:rsidR="00A8599D" w:rsidRPr="00A8599D">
        <w:rPr>
          <w:rFonts w:cs="Arial"/>
          <w:bCs/>
          <w:szCs w:val="20"/>
        </w:rPr>
        <w:t>O</w:t>
      </w:r>
      <w:r>
        <w:rPr>
          <w:rFonts w:cs="Arial"/>
          <w:bCs/>
          <w:szCs w:val="20"/>
        </w:rPr>
        <w:t>. M</w:t>
      </w:r>
      <w:r w:rsidR="00A8599D" w:rsidRPr="00A8599D">
        <w:rPr>
          <w:rFonts w:cs="Arial"/>
          <w:bCs/>
          <w:szCs w:val="20"/>
        </w:rPr>
        <w:t>ix well</w:t>
      </w:r>
      <w:r>
        <w:rPr>
          <w:rFonts w:cs="Arial"/>
          <w:bCs/>
          <w:szCs w:val="20"/>
        </w:rPr>
        <w:t xml:space="preserve"> by pipetting up and down</w:t>
      </w:r>
      <w:r w:rsidR="00A8599D" w:rsidRPr="00A8599D">
        <w:rPr>
          <w:rFonts w:cs="Arial"/>
          <w:bCs/>
          <w:szCs w:val="20"/>
        </w:rPr>
        <w:t xml:space="preserve">. </w:t>
      </w:r>
    </w:p>
    <w:p w14:paraId="38A72741" w14:textId="77777777" w:rsidR="005C65DF" w:rsidRDefault="005C65DF" w:rsidP="00A8599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0"/>
        <w:ind w:left="284" w:hanging="284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Using the 1 mM G3P Standard please prepare a standard curve as follows, in a microplate or microcentrifuge tubes:</w:t>
      </w:r>
    </w:p>
    <w:p w14:paraId="38A72742" w14:textId="77777777" w:rsidR="005C65DF" w:rsidRDefault="005C65DF" w:rsidP="00DF3624">
      <w:pPr>
        <w:autoSpaceDE w:val="0"/>
        <w:autoSpaceDN w:val="0"/>
        <w:adjustRightInd w:val="0"/>
        <w:spacing w:before="0"/>
        <w:rPr>
          <w:rFonts w:eastAsiaTheme="minorHAnsi" w:cs="Arial"/>
          <w:bCs/>
          <w:szCs w:val="20"/>
        </w:rPr>
      </w:pPr>
    </w:p>
    <w:p w14:paraId="38A72743" w14:textId="77777777" w:rsidR="00F2182D" w:rsidRDefault="00F2182D" w:rsidP="00DF3624">
      <w:pPr>
        <w:autoSpaceDE w:val="0"/>
        <w:autoSpaceDN w:val="0"/>
        <w:adjustRightInd w:val="0"/>
        <w:spacing w:before="0"/>
        <w:rPr>
          <w:rFonts w:eastAsiaTheme="minorHAnsi" w:cs="Arial"/>
          <w:bCs/>
          <w:szCs w:val="20"/>
        </w:rPr>
      </w:pPr>
    </w:p>
    <w:p w14:paraId="38A72746" w14:textId="77777777" w:rsidR="00DF3624" w:rsidRDefault="00DF3624" w:rsidP="00DF3624">
      <w:pPr>
        <w:autoSpaceDE w:val="0"/>
        <w:autoSpaceDN w:val="0"/>
        <w:adjustRightInd w:val="0"/>
        <w:spacing w:before="0"/>
        <w:rPr>
          <w:rFonts w:eastAsiaTheme="minorHAnsi" w:cs="Arial"/>
          <w:bCs/>
          <w:szCs w:val="20"/>
        </w:rPr>
      </w:pPr>
    </w:p>
    <w:p w14:paraId="07148C0B" w14:textId="77777777" w:rsidR="007325F3" w:rsidRPr="00DF3624" w:rsidRDefault="007325F3" w:rsidP="00DF3624">
      <w:pPr>
        <w:autoSpaceDE w:val="0"/>
        <w:autoSpaceDN w:val="0"/>
        <w:adjustRightInd w:val="0"/>
        <w:spacing w:before="0"/>
        <w:rPr>
          <w:rFonts w:cs="Arial"/>
          <w:bCs/>
          <w:szCs w:val="20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361"/>
        <w:gridCol w:w="1361"/>
        <w:gridCol w:w="1191"/>
        <w:gridCol w:w="1814"/>
      </w:tblGrid>
      <w:tr w:rsidR="00DF3624" w14:paraId="38A7274B" w14:textId="77777777" w:rsidTr="00F2182D">
        <w:tc>
          <w:tcPr>
            <w:tcW w:w="1361" w:type="dxa"/>
          </w:tcPr>
          <w:p w14:paraId="38A72747" w14:textId="77777777" w:rsidR="005C65DF" w:rsidRPr="00F2182D" w:rsidRDefault="00DF3624" w:rsidP="00F2182D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F2182D">
              <w:rPr>
                <w:rFonts w:cs="Arial"/>
                <w:b/>
                <w:bCs/>
                <w:sz w:val="18"/>
                <w:szCs w:val="18"/>
              </w:rPr>
              <w:t>G3P 1 mM amount (µL)</w:t>
            </w:r>
          </w:p>
        </w:tc>
        <w:tc>
          <w:tcPr>
            <w:tcW w:w="1361" w:type="dxa"/>
          </w:tcPr>
          <w:p w14:paraId="38A72748" w14:textId="5B4EC64A" w:rsidR="005C65DF" w:rsidRPr="00F2182D" w:rsidRDefault="00645C99" w:rsidP="00F2182D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Assay Buffer V/</w:t>
            </w:r>
            <w:r w:rsidR="00DF3624" w:rsidRPr="00F2182D">
              <w:rPr>
                <w:rFonts w:cs="Arial"/>
                <w:b/>
                <w:bCs/>
                <w:sz w:val="18"/>
                <w:szCs w:val="18"/>
              </w:rPr>
              <w:t>G3P Assay buffer (µL)</w:t>
            </w:r>
          </w:p>
        </w:tc>
        <w:tc>
          <w:tcPr>
            <w:tcW w:w="1191" w:type="dxa"/>
          </w:tcPr>
          <w:p w14:paraId="38A72749" w14:textId="77777777" w:rsidR="005C65DF" w:rsidRPr="00F2182D" w:rsidRDefault="00DF3624" w:rsidP="00F2182D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F2182D">
              <w:rPr>
                <w:rFonts w:cs="Arial"/>
                <w:b/>
                <w:bCs/>
                <w:sz w:val="18"/>
                <w:szCs w:val="18"/>
              </w:rPr>
              <w:t>Amount in well</w:t>
            </w:r>
          </w:p>
        </w:tc>
        <w:tc>
          <w:tcPr>
            <w:tcW w:w="1814" w:type="dxa"/>
          </w:tcPr>
          <w:p w14:paraId="38A7274A" w14:textId="77777777" w:rsidR="005C65DF" w:rsidRPr="00F2182D" w:rsidRDefault="00DF3624" w:rsidP="00F2182D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F2182D">
              <w:rPr>
                <w:rFonts w:cs="Arial"/>
                <w:b/>
                <w:bCs/>
                <w:sz w:val="18"/>
                <w:szCs w:val="18"/>
              </w:rPr>
              <w:t>End concentration G3P in well</w:t>
            </w:r>
          </w:p>
        </w:tc>
      </w:tr>
      <w:tr w:rsidR="00DF3624" w14:paraId="38A72750" w14:textId="77777777" w:rsidTr="00F2182D">
        <w:tc>
          <w:tcPr>
            <w:tcW w:w="1361" w:type="dxa"/>
          </w:tcPr>
          <w:p w14:paraId="38A7274C" w14:textId="77777777" w:rsidR="005C65DF" w:rsidRDefault="005C65DF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0</w:t>
            </w:r>
          </w:p>
        </w:tc>
        <w:tc>
          <w:tcPr>
            <w:tcW w:w="1361" w:type="dxa"/>
          </w:tcPr>
          <w:p w14:paraId="38A7274D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150</w:t>
            </w:r>
          </w:p>
        </w:tc>
        <w:tc>
          <w:tcPr>
            <w:tcW w:w="1191" w:type="dxa"/>
          </w:tcPr>
          <w:p w14:paraId="38A7274E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50 µL</w:t>
            </w:r>
          </w:p>
        </w:tc>
        <w:tc>
          <w:tcPr>
            <w:tcW w:w="1814" w:type="dxa"/>
          </w:tcPr>
          <w:p w14:paraId="38A7274F" w14:textId="77777777" w:rsidR="005C65DF" w:rsidRDefault="005C65DF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0 nmol/well</w:t>
            </w:r>
          </w:p>
        </w:tc>
      </w:tr>
      <w:tr w:rsidR="00DF3624" w14:paraId="38A72755" w14:textId="77777777" w:rsidTr="00F2182D">
        <w:tc>
          <w:tcPr>
            <w:tcW w:w="1361" w:type="dxa"/>
          </w:tcPr>
          <w:p w14:paraId="38A72751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6</w:t>
            </w:r>
          </w:p>
        </w:tc>
        <w:tc>
          <w:tcPr>
            <w:tcW w:w="1361" w:type="dxa"/>
          </w:tcPr>
          <w:p w14:paraId="38A72752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144</w:t>
            </w:r>
          </w:p>
        </w:tc>
        <w:tc>
          <w:tcPr>
            <w:tcW w:w="1191" w:type="dxa"/>
          </w:tcPr>
          <w:p w14:paraId="38A72753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50 µL</w:t>
            </w:r>
          </w:p>
        </w:tc>
        <w:tc>
          <w:tcPr>
            <w:tcW w:w="1814" w:type="dxa"/>
          </w:tcPr>
          <w:p w14:paraId="38A72754" w14:textId="77777777" w:rsidR="005C65DF" w:rsidRDefault="005C65DF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 nmol/well</w:t>
            </w:r>
          </w:p>
        </w:tc>
      </w:tr>
      <w:tr w:rsidR="00DF3624" w14:paraId="38A7275A" w14:textId="77777777" w:rsidTr="00F2182D">
        <w:tc>
          <w:tcPr>
            <w:tcW w:w="1361" w:type="dxa"/>
          </w:tcPr>
          <w:p w14:paraId="38A72756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12</w:t>
            </w:r>
          </w:p>
        </w:tc>
        <w:tc>
          <w:tcPr>
            <w:tcW w:w="1361" w:type="dxa"/>
          </w:tcPr>
          <w:p w14:paraId="38A72757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138</w:t>
            </w:r>
          </w:p>
        </w:tc>
        <w:tc>
          <w:tcPr>
            <w:tcW w:w="1191" w:type="dxa"/>
          </w:tcPr>
          <w:p w14:paraId="38A72758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50 µL</w:t>
            </w:r>
          </w:p>
        </w:tc>
        <w:tc>
          <w:tcPr>
            <w:tcW w:w="1814" w:type="dxa"/>
          </w:tcPr>
          <w:p w14:paraId="38A72759" w14:textId="77777777" w:rsidR="005C65DF" w:rsidRDefault="005C65DF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4 nmol/well</w:t>
            </w:r>
          </w:p>
        </w:tc>
      </w:tr>
      <w:tr w:rsidR="00DF3624" w14:paraId="38A7275F" w14:textId="77777777" w:rsidTr="00F2182D">
        <w:tc>
          <w:tcPr>
            <w:tcW w:w="1361" w:type="dxa"/>
          </w:tcPr>
          <w:p w14:paraId="38A7275B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18</w:t>
            </w:r>
          </w:p>
        </w:tc>
        <w:tc>
          <w:tcPr>
            <w:tcW w:w="1361" w:type="dxa"/>
          </w:tcPr>
          <w:p w14:paraId="38A7275C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132</w:t>
            </w:r>
          </w:p>
        </w:tc>
        <w:tc>
          <w:tcPr>
            <w:tcW w:w="1191" w:type="dxa"/>
          </w:tcPr>
          <w:p w14:paraId="38A7275D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50 µL</w:t>
            </w:r>
          </w:p>
        </w:tc>
        <w:tc>
          <w:tcPr>
            <w:tcW w:w="1814" w:type="dxa"/>
          </w:tcPr>
          <w:p w14:paraId="38A7275E" w14:textId="77777777" w:rsidR="005C65DF" w:rsidRDefault="005C65DF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6 nmol/well</w:t>
            </w:r>
          </w:p>
        </w:tc>
      </w:tr>
      <w:tr w:rsidR="00DF3624" w14:paraId="38A72764" w14:textId="77777777" w:rsidTr="00F2182D">
        <w:tc>
          <w:tcPr>
            <w:tcW w:w="1361" w:type="dxa"/>
          </w:tcPr>
          <w:p w14:paraId="38A72760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24</w:t>
            </w:r>
          </w:p>
        </w:tc>
        <w:tc>
          <w:tcPr>
            <w:tcW w:w="1361" w:type="dxa"/>
          </w:tcPr>
          <w:p w14:paraId="38A72761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126</w:t>
            </w:r>
          </w:p>
        </w:tc>
        <w:tc>
          <w:tcPr>
            <w:tcW w:w="1191" w:type="dxa"/>
          </w:tcPr>
          <w:p w14:paraId="38A72762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50 µL</w:t>
            </w:r>
          </w:p>
        </w:tc>
        <w:tc>
          <w:tcPr>
            <w:tcW w:w="1814" w:type="dxa"/>
          </w:tcPr>
          <w:p w14:paraId="38A72763" w14:textId="77777777" w:rsidR="005C65DF" w:rsidRDefault="005C65DF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8 nmol/well</w:t>
            </w:r>
          </w:p>
        </w:tc>
      </w:tr>
      <w:tr w:rsidR="00DF3624" w14:paraId="38A72769" w14:textId="77777777" w:rsidTr="00F2182D">
        <w:tc>
          <w:tcPr>
            <w:tcW w:w="1361" w:type="dxa"/>
          </w:tcPr>
          <w:p w14:paraId="38A72765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</w:t>
            </w:r>
            <w:r w:rsidR="005C65DF"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1361" w:type="dxa"/>
          </w:tcPr>
          <w:p w14:paraId="38A72766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120</w:t>
            </w:r>
          </w:p>
        </w:tc>
        <w:tc>
          <w:tcPr>
            <w:tcW w:w="1191" w:type="dxa"/>
          </w:tcPr>
          <w:p w14:paraId="38A72767" w14:textId="77777777" w:rsidR="005C65DF" w:rsidRDefault="00DF3624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50 µL</w:t>
            </w:r>
          </w:p>
        </w:tc>
        <w:tc>
          <w:tcPr>
            <w:tcW w:w="1814" w:type="dxa"/>
          </w:tcPr>
          <w:p w14:paraId="38A72768" w14:textId="77777777" w:rsidR="005C65DF" w:rsidRDefault="005C65DF" w:rsidP="005C65DF">
            <w:pPr>
              <w:pStyle w:val="ListParagraph"/>
              <w:autoSpaceDE w:val="0"/>
              <w:autoSpaceDN w:val="0"/>
              <w:adjustRightInd w:val="0"/>
              <w:spacing w:before="0"/>
              <w:ind w:left="0" w:firstLin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10 nmol/well</w:t>
            </w:r>
          </w:p>
        </w:tc>
      </w:tr>
    </w:tbl>
    <w:p w14:paraId="38A7276A" w14:textId="77777777" w:rsidR="00E76A62" w:rsidRDefault="00E76A62" w:rsidP="005C65DF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szCs w:val="20"/>
        </w:rPr>
      </w:pPr>
    </w:p>
    <w:p w14:paraId="38A7276C" w14:textId="16896754" w:rsidR="001A53CA" w:rsidRPr="007325F3" w:rsidRDefault="00A23B7A" w:rsidP="007325F3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Add 50 µL of each standard dilution into a 96-well plate to set up standard. Each dilution has enough amount of standard to set up 2 x duplicates x 50 µL/well.</w:t>
      </w:r>
    </w:p>
    <w:p w14:paraId="38A7276D" w14:textId="77777777" w:rsidR="00373E7C" w:rsidRPr="00373E7C" w:rsidRDefault="00F2182D" w:rsidP="00D81566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284" w:right="284" w:hanging="284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Reaction </w:t>
      </w:r>
      <w:r w:rsidR="002A2264">
        <w:rPr>
          <w:rFonts w:cs="Arial"/>
          <w:b/>
          <w:bCs/>
          <w:szCs w:val="20"/>
        </w:rPr>
        <w:t>Mix</w:t>
      </w:r>
      <w:r w:rsidR="00373E7C" w:rsidRPr="00373E7C">
        <w:rPr>
          <w:rFonts w:cs="Arial"/>
          <w:b/>
          <w:bCs/>
          <w:szCs w:val="20"/>
        </w:rPr>
        <w:t>:</w:t>
      </w:r>
    </w:p>
    <w:p w14:paraId="38A7276E" w14:textId="77777777" w:rsidR="002B5E4C" w:rsidRDefault="00A23B7A" w:rsidP="002A2264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Prepare Reacti</w:t>
      </w:r>
      <w:r w:rsidR="000519FA" w:rsidRPr="000519FA">
        <w:rPr>
          <w:rFonts w:cs="Arial"/>
          <w:bCs/>
          <w:szCs w:val="20"/>
        </w:rPr>
        <w:t xml:space="preserve">on Mix </w:t>
      </w:r>
      <w:r>
        <w:rPr>
          <w:rFonts w:cs="Arial"/>
          <w:bCs/>
          <w:szCs w:val="20"/>
        </w:rPr>
        <w:t xml:space="preserve">for each reaction </w:t>
      </w:r>
      <w:r w:rsidR="000519FA" w:rsidRPr="000519FA">
        <w:rPr>
          <w:rFonts w:cs="Arial"/>
          <w:bCs/>
          <w:szCs w:val="20"/>
        </w:rPr>
        <w:t>containing:</w:t>
      </w:r>
    </w:p>
    <w:p w14:paraId="38A7276F" w14:textId="77777777" w:rsidR="00D81566" w:rsidRPr="00F2182D" w:rsidRDefault="00D81566" w:rsidP="00F2182D">
      <w:pPr>
        <w:autoSpaceDE w:val="0"/>
        <w:autoSpaceDN w:val="0"/>
        <w:adjustRightInd w:val="0"/>
        <w:spacing w:before="0"/>
        <w:rPr>
          <w:rFonts w:cs="Arial"/>
          <w:bCs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1582"/>
        <w:gridCol w:w="1532"/>
      </w:tblGrid>
      <w:tr w:rsidR="000519FA" w14:paraId="38A72773" w14:textId="77777777" w:rsidTr="00E76A62">
        <w:trPr>
          <w:jc w:val="center"/>
        </w:trPr>
        <w:tc>
          <w:tcPr>
            <w:tcW w:w="2168" w:type="dxa"/>
            <w:tcBorders>
              <w:bottom w:val="single" w:sz="4" w:space="0" w:color="auto"/>
            </w:tcBorders>
          </w:tcPr>
          <w:p w14:paraId="38A72770" w14:textId="77777777" w:rsidR="000519FA" w:rsidRDefault="000519FA" w:rsidP="002B5E4C">
            <w:pPr>
              <w:autoSpaceDE w:val="0"/>
              <w:autoSpaceDN w:val="0"/>
              <w:adjustRightInd w:val="0"/>
              <w:spacing w:before="0"/>
              <w:rPr>
                <w:rFonts w:cs="Arial"/>
                <w:bCs/>
                <w:szCs w:val="20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38A72771" w14:textId="77777777" w:rsidR="000519FA" w:rsidRPr="001376BA" w:rsidRDefault="000519FA" w:rsidP="002B5E4C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Reaction Mix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38A72772" w14:textId="77777777" w:rsidR="000519FA" w:rsidRDefault="000519FA" w:rsidP="002B5E4C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Background Control Mix</w:t>
            </w:r>
          </w:p>
        </w:tc>
      </w:tr>
      <w:tr w:rsidR="000519FA" w14:paraId="38A72777" w14:textId="77777777" w:rsidTr="00E76A62">
        <w:trPr>
          <w:jc w:val="center"/>
        </w:trPr>
        <w:tc>
          <w:tcPr>
            <w:tcW w:w="2168" w:type="dxa"/>
            <w:tcBorders>
              <w:top w:val="single" w:sz="4" w:space="0" w:color="auto"/>
            </w:tcBorders>
          </w:tcPr>
          <w:p w14:paraId="38A72774" w14:textId="56668726" w:rsidR="000519FA" w:rsidRDefault="00BD0914" w:rsidP="00D81566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Assay Buffer V/</w:t>
            </w:r>
            <w:r w:rsidR="000519FA">
              <w:rPr>
                <w:rFonts w:cs="Arial"/>
                <w:bCs/>
                <w:szCs w:val="20"/>
              </w:rPr>
              <w:t>G3P Assay Buffer</w:t>
            </w:r>
          </w:p>
        </w:tc>
        <w:tc>
          <w:tcPr>
            <w:tcW w:w="1582" w:type="dxa"/>
            <w:tcBorders>
              <w:top w:val="single" w:sz="4" w:space="0" w:color="auto"/>
            </w:tcBorders>
          </w:tcPr>
          <w:p w14:paraId="38A72775" w14:textId="77777777" w:rsidR="000519FA" w:rsidRDefault="000519FA" w:rsidP="000519F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46 </w:t>
            </w:r>
            <w:r w:rsidR="00CE29BA">
              <w:rPr>
                <w:rFonts w:cs="Arial"/>
                <w:bCs/>
                <w:szCs w:val="20"/>
              </w:rPr>
              <w:t>µL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38A72776" w14:textId="77777777" w:rsidR="000519FA" w:rsidRDefault="000519FA" w:rsidP="000519F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48 </w:t>
            </w:r>
            <w:r w:rsidR="00CE29BA">
              <w:rPr>
                <w:rFonts w:cs="Arial"/>
                <w:bCs/>
                <w:szCs w:val="20"/>
              </w:rPr>
              <w:t>µL</w:t>
            </w:r>
          </w:p>
        </w:tc>
      </w:tr>
      <w:tr w:rsidR="000519FA" w14:paraId="38A7277B" w14:textId="77777777" w:rsidTr="00E76A62">
        <w:trPr>
          <w:jc w:val="center"/>
        </w:trPr>
        <w:tc>
          <w:tcPr>
            <w:tcW w:w="2168" w:type="dxa"/>
          </w:tcPr>
          <w:p w14:paraId="38A72778" w14:textId="3D0A60D7" w:rsidR="000519FA" w:rsidRDefault="0024759B" w:rsidP="000519FA">
            <w:pPr>
              <w:autoSpaceDE w:val="0"/>
              <w:autoSpaceDN w:val="0"/>
              <w:adjustRightInd w:val="0"/>
              <w:spacing w:befor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Development Enzyme Mix VII/</w:t>
            </w:r>
            <w:r w:rsidR="000519FA">
              <w:rPr>
                <w:rFonts w:cs="Arial"/>
                <w:bCs/>
                <w:szCs w:val="20"/>
              </w:rPr>
              <w:t>G3P Enzyme Mix</w:t>
            </w:r>
          </w:p>
        </w:tc>
        <w:tc>
          <w:tcPr>
            <w:tcW w:w="1582" w:type="dxa"/>
          </w:tcPr>
          <w:p w14:paraId="38A72779" w14:textId="77777777" w:rsidR="000519FA" w:rsidRDefault="000519FA" w:rsidP="002B5E4C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2 </w:t>
            </w:r>
            <w:r w:rsidR="00CE29BA">
              <w:rPr>
                <w:rFonts w:cs="Arial"/>
                <w:bCs/>
                <w:szCs w:val="20"/>
              </w:rPr>
              <w:t>µL</w:t>
            </w:r>
          </w:p>
        </w:tc>
        <w:tc>
          <w:tcPr>
            <w:tcW w:w="1532" w:type="dxa"/>
          </w:tcPr>
          <w:p w14:paraId="38A7277A" w14:textId="77777777" w:rsidR="000519FA" w:rsidRDefault="000519FA" w:rsidP="002B5E4C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---</w:t>
            </w:r>
          </w:p>
        </w:tc>
      </w:tr>
      <w:tr w:rsidR="000519FA" w14:paraId="38A7277F" w14:textId="77777777" w:rsidTr="00E76A62">
        <w:trPr>
          <w:jc w:val="center"/>
        </w:trPr>
        <w:tc>
          <w:tcPr>
            <w:tcW w:w="2168" w:type="dxa"/>
            <w:tcBorders>
              <w:bottom w:val="single" w:sz="4" w:space="0" w:color="auto"/>
            </w:tcBorders>
          </w:tcPr>
          <w:p w14:paraId="38A7277C" w14:textId="5A33F091" w:rsidR="000519FA" w:rsidRDefault="000B52CA" w:rsidP="00D81566">
            <w:pPr>
              <w:autoSpaceDE w:val="0"/>
              <w:autoSpaceDN w:val="0"/>
              <w:adjustRightInd w:val="0"/>
              <w:spacing w:befor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Developer Solution III/</w:t>
            </w:r>
            <w:r w:rsidR="000519FA">
              <w:rPr>
                <w:rFonts w:cs="Arial"/>
                <w:bCs/>
                <w:szCs w:val="20"/>
              </w:rPr>
              <w:t>G3P Probe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38A7277D" w14:textId="77777777" w:rsidR="000519FA" w:rsidRDefault="000519FA" w:rsidP="002B5E4C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2 </w:t>
            </w:r>
            <w:r w:rsidR="00CE29BA">
              <w:rPr>
                <w:rFonts w:cs="Arial"/>
                <w:bCs/>
                <w:szCs w:val="20"/>
              </w:rPr>
              <w:t>µL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38A7277E" w14:textId="77777777" w:rsidR="000519FA" w:rsidRDefault="000519FA" w:rsidP="002B5E4C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2 </w:t>
            </w:r>
            <w:r w:rsidR="00CE29BA">
              <w:rPr>
                <w:rFonts w:cs="Arial"/>
                <w:bCs/>
                <w:szCs w:val="20"/>
              </w:rPr>
              <w:t>µL</w:t>
            </w:r>
          </w:p>
        </w:tc>
      </w:tr>
    </w:tbl>
    <w:p w14:paraId="38A72780" w14:textId="77777777" w:rsidR="002B5E4C" w:rsidRDefault="002B5E4C" w:rsidP="004426CE">
      <w:pPr>
        <w:autoSpaceDE w:val="0"/>
        <w:autoSpaceDN w:val="0"/>
        <w:adjustRightInd w:val="0"/>
        <w:spacing w:before="0"/>
        <w:ind w:left="284"/>
        <w:rPr>
          <w:rFonts w:cs="Arial"/>
          <w:bCs/>
          <w:szCs w:val="20"/>
        </w:rPr>
      </w:pPr>
    </w:p>
    <w:p w14:paraId="38A72781" w14:textId="77777777" w:rsidR="00E76A62" w:rsidRPr="006904DD" w:rsidRDefault="00A23B7A" w:rsidP="006904DD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lastRenderedPageBreak/>
        <w:t xml:space="preserve">Mix enough reagents for the number of assays to be performed. Prepare a Master Mix of the </w:t>
      </w:r>
      <w:r w:rsidR="009A29E9">
        <w:rPr>
          <w:rFonts w:cs="Arial"/>
          <w:bCs/>
          <w:szCs w:val="20"/>
        </w:rPr>
        <w:t>Reaction Mix to ensure consistency. We recommend the following calculation:</w:t>
      </w:r>
    </w:p>
    <w:p w14:paraId="38A72782" w14:textId="77777777" w:rsidR="009A29E9" w:rsidRDefault="009A29E9" w:rsidP="00A23B7A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3675"/>
      </w:tblGrid>
      <w:tr w:rsidR="009A29E9" w14:paraId="38A72785" w14:textId="77777777" w:rsidTr="00AC317B">
        <w:trPr>
          <w:jc w:val="center"/>
        </w:trPr>
        <w:tc>
          <w:tcPr>
            <w:tcW w:w="2465" w:type="dxa"/>
            <w:tcBorders>
              <w:bottom w:val="single" w:sz="4" w:space="0" w:color="auto"/>
            </w:tcBorders>
          </w:tcPr>
          <w:p w14:paraId="38A72783" w14:textId="77777777" w:rsidR="009A29E9" w:rsidRDefault="009A29E9" w:rsidP="005A27D3">
            <w:pPr>
              <w:autoSpaceDE w:val="0"/>
              <w:autoSpaceDN w:val="0"/>
              <w:adjustRightInd w:val="0"/>
              <w:spacing w:before="0"/>
              <w:rPr>
                <w:rFonts w:cs="Arial"/>
                <w:bCs/>
                <w:szCs w:val="20"/>
              </w:rPr>
            </w:pP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14:paraId="38A72784" w14:textId="77777777" w:rsidR="009A29E9" w:rsidRPr="001376BA" w:rsidRDefault="009A29E9" w:rsidP="005A27D3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Reaction Mix</w:t>
            </w:r>
          </w:p>
        </w:tc>
      </w:tr>
      <w:tr w:rsidR="009A29E9" w14:paraId="38A72788" w14:textId="77777777" w:rsidTr="00AC317B">
        <w:trPr>
          <w:jc w:val="center"/>
        </w:trPr>
        <w:tc>
          <w:tcPr>
            <w:tcW w:w="2465" w:type="dxa"/>
            <w:tcBorders>
              <w:top w:val="single" w:sz="4" w:space="0" w:color="auto"/>
            </w:tcBorders>
          </w:tcPr>
          <w:p w14:paraId="38A72786" w14:textId="38B413CE" w:rsidR="009A29E9" w:rsidRDefault="00BD0914" w:rsidP="005A27D3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Assay Buffer V/</w:t>
            </w:r>
            <w:r w:rsidR="009A29E9">
              <w:rPr>
                <w:rFonts w:cs="Arial"/>
                <w:bCs/>
                <w:szCs w:val="20"/>
              </w:rPr>
              <w:t>G3P Assay Buffer</w:t>
            </w:r>
          </w:p>
        </w:tc>
        <w:tc>
          <w:tcPr>
            <w:tcW w:w="3750" w:type="dxa"/>
            <w:tcBorders>
              <w:top w:val="single" w:sz="4" w:space="0" w:color="auto"/>
            </w:tcBorders>
          </w:tcPr>
          <w:p w14:paraId="38A72787" w14:textId="445FE6D9" w:rsidR="009A29E9" w:rsidRDefault="009A29E9" w:rsidP="009A29E9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46 µL x (Nb samples</w:t>
            </w:r>
            <w:r w:rsidR="00F2182D">
              <w:rPr>
                <w:rFonts w:cs="Arial"/>
                <w:bCs/>
                <w:szCs w:val="20"/>
              </w:rPr>
              <w:t xml:space="preserve"> + Standards </w:t>
            </w:r>
            <w:r>
              <w:rPr>
                <w:rFonts w:cs="Arial"/>
                <w:bCs/>
                <w:szCs w:val="20"/>
              </w:rPr>
              <w:t>+ 1)</w:t>
            </w:r>
          </w:p>
        </w:tc>
      </w:tr>
      <w:tr w:rsidR="009A29E9" w14:paraId="38A7278B" w14:textId="77777777" w:rsidTr="00AC317B">
        <w:trPr>
          <w:jc w:val="center"/>
        </w:trPr>
        <w:tc>
          <w:tcPr>
            <w:tcW w:w="2465" w:type="dxa"/>
          </w:tcPr>
          <w:p w14:paraId="38A72789" w14:textId="6EC00AC0" w:rsidR="009A29E9" w:rsidRDefault="0024759B" w:rsidP="005A27D3">
            <w:pPr>
              <w:autoSpaceDE w:val="0"/>
              <w:autoSpaceDN w:val="0"/>
              <w:adjustRightInd w:val="0"/>
              <w:spacing w:befor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Development Enzyme Mix VII/</w:t>
            </w:r>
            <w:r w:rsidR="009A29E9">
              <w:rPr>
                <w:rFonts w:cs="Arial"/>
                <w:bCs/>
                <w:szCs w:val="20"/>
              </w:rPr>
              <w:t>G3P Enzyme Mix</w:t>
            </w:r>
          </w:p>
        </w:tc>
        <w:tc>
          <w:tcPr>
            <w:tcW w:w="3750" w:type="dxa"/>
          </w:tcPr>
          <w:p w14:paraId="38A7278A" w14:textId="32EE25E0" w:rsidR="009A29E9" w:rsidRDefault="007325F3" w:rsidP="009A29E9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 </w:t>
            </w:r>
            <w:r w:rsidR="009A29E9">
              <w:rPr>
                <w:rFonts w:cs="Arial"/>
                <w:bCs/>
                <w:szCs w:val="20"/>
              </w:rPr>
              <w:t>2 µL x (Nb samples</w:t>
            </w:r>
            <w:r w:rsidR="00F2182D">
              <w:rPr>
                <w:rFonts w:cs="Arial"/>
                <w:bCs/>
                <w:szCs w:val="20"/>
              </w:rPr>
              <w:t xml:space="preserve"> + Standards </w:t>
            </w:r>
            <w:r w:rsidR="009A29E9">
              <w:rPr>
                <w:rFonts w:cs="Arial"/>
                <w:bCs/>
                <w:szCs w:val="20"/>
              </w:rPr>
              <w:t>+ 1)</w:t>
            </w:r>
          </w:p>
        </w:tc>
      </w:tr>
      <w:tr w:rsidR="009A29E9" w14:paraId="38A7278E" w14:textId="77777777" w:rsidTr="00AC317B">
        <w:trPr>
          <w:jc w:val="center"/>
        </w:trPr>
        <w:tc>
          <w:tcPr>
            <w:tcW w:w="2465" w:type="dxa"/>
            <w:tcBorders>
              <w:bottom w:val="single" w:sz="4" w:space="0" w:color="auto"/>
            </w:tcBorders>
          </w:tcPr>
          <w:p w14:paraId="38A7278C" w14:textId="1C1F8251" w:rsidR="009A29E9" w:rsidRDefault="000B52CA" w:rsidP="005A27D3">
            <w:pPr>
              <w:autoSpaceDE w:val="0"/>
              <w:autoSpaceDN w:val="0"/>
              <w:adjustRightInd w:val="0"/>
              <w:spacing w:before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Developer Solution III/</w:t>
            </w:r>
            <w:r w:rsidR="009A29E9">
              <w:rPr>
                <w:rFonts w:cs="Arial"/>
                <w:bCs/>
                <w:szCs w:val="20"/>
              </w:rPr>
              <w:t>G3P Probe</w:t>
            </w: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14:paraId="38A7278D" w14:textId="752FC32F" w:rsidR="009A29E9" w:rsidRDefault="007325F3" w:rsidP="009A29E9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 </w:t>
            </w:r>
            <w:r w:rsidR="009A29E9">
              <w:rPr>
                <w:rFonts w:cs="Arial"/>
                <w:bCs/>
                <w:szCs w:val="20"/>
              </w:rPr>
              <w:t>2 µL x (Nb samples</w:t>
            </w:r>
            <w:r w:rsidR="00F2182D">
              <w:rPr>
                <w:rFonts w:cs="Arial"/>
                <w:bCs/>
                <w:szCs w:val="20"/>
              </w:rPr>
              <w:t xml:space="preserve"> + Standards </w:t>
            </w:r>
            <w:r w:rsidR="009A29E9">
              <w:rPr>
                <w:rFonts w:cs="Arial"/>
                <w:bCs/>
                <w:szCs w:val="20"/>
              </w:rPr>
              <w:t>+ 1)</w:t>
            </w:r>
          </w:p>
        </w:tc>
      </w:tr>
    </w:tbl>
    <w:p w14:paraId="38A7278F" w14:textId="77777777" w:rsidR="002A2264" w:rsidRDefault="002A2264" w:rsidP="002A2264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szCs w:val="20"/>
        </w:rPr>
      </w:pPr>
    </w:p>
    <w:p w14:paraId="38A72790" w14:textId="77777777" w:rsidR="00F2182D" w:rsidRDefault="00F2182D" w:rsidP="002A2264">
      <w:pPr>
        <w:pStyle w:val="ListParagraph"/>
        <w:autoSpaceDE w:val="0"/>
        <w:autoSpaceDN w:val="0"/>
        <w:adjustRightInd w:val="0"/>
        <w:spacing w:before="0"/>
        <w:ind w:left="284" w:firstLine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We also recommend preparing enough </w:t>
      </w:r>
      <w:r w:rsidRPr="00163246">
        <w:rPr>
          <w:rFonts w:cs="Arial"/>
          <w:b/>
          <w:bCs/>
          <w:szCs w:val="20"/>
        </w:rPr>
        <w:t>Background Control Mix</w:t>
      </w:r>
      <w:r>
        <w:rPr>
          <w:rFonts w:cs="Arial"/>
          <w:bCs/>
          <w:szCs w:val="20"/>
        </w:rPr>
        <w:t xml:space="preserve"> to set up duplicate readings for the </w:t>
      </w:r>
      <w:r w:rsidR="002A2264">
        <w:rPr>
          <w:rFonts w:cs="Arial"/>
          <w:bCs/>
          <w:szCs w:val="20"/>
        </w:rPr>
        <w:t>NADH background</w:t>
      </w:r>
      <w:r w:rsidRPr="002A2264">
        <w:rPr>
          <w:rFonts w:cs="Arial"/>
          <w:bCs/>
          <w:szCs w:val="20"/>
        </w:rPr>
        <w:t xml:space="preserve"> control</w:t>
      </w:r>
      <w:r>
        <w:rPr>
          <w:rFonts w:cs="Arial"/>
          <w:bCs/>
          <w:szCs w:val="20"/>
        </w:rPr>
        <w:t xml:space="preserve"> using the same calculation.</w:t>
      </w:r>
    </w:p>
    <w:p w14:paraId="38A72791" w14:textId="77777777" w:rsidR="002A2264" w:rsidRPr="002A2264" w:rsidRDefault="002A2264" w:rsidP="002A2264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284" w:right="284" w:hanging="284"/>
        <w:rPr>
          <w:rFonts w:cs="Arial"/>
          <w:b/>
          <w:bCs/>
          <w:szCs w:val="20"/>
        </w:rPr>
      </w:pPr>
      <w:r w:rsidRPr="002A2264">
        <w:rPr>
          <w:rFonts w:cs="Arial"/>
          <w:b/>
          <w:bCs/>
          <w:szCs w:val="20"/>
        </w:rPr>
        <w:t>Plate set up and Detection:</w:t>
      </w:r>
    </w:p>
    <w:p w14:paraId="38A72792" w14:textId="77777777" w:rsidR="002A2264" w:rsidRDefault="002A2264" w:rsidP="002A226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0"/>
        <w:ind w:left="284" w:hanging="284"/>
        <w:rPr>
          <w:rFonts w:cs="Arial"/>
          <w:bCs/>
          <w:szCs w:val="20"/>
        </w:rPr>
      </w:pPr>
      <w:r w:rsidRPr="000519FA">
        <w:rPr>
          <w:rFonts w:cs="Arial"/>
          <w:bCs/>
          <w:szCs w:val="20"/>
        </w:rPr>
        <w:t xml:space="preserve">Add </w:t>
      </w:r>
      <w:r w:rsidR="001A53CA">
        <w:rPr>
          <w:rFonts w:cs="Arial"/>
          <w:bCs/>
          <w:szCs w:val="20"/>
        </w:rPr>
        <w:t xml:space="preserve">50 µL of standard or sample to </w:t>
      </w:r>
      <w:proofErr w:type="gramStart"/>
      <w:r w:rsidR="001A53CA">
        <w:rPr>
          <w:rFonts w:cs="Arial"/>
          <w:bCs/>
          <w:szCs w:val="20"/>
        </w:rPr>
        <w:t>wells</w:t>
      </w:r>
      <w:proofErr w:type="gramEnd"/>
    </w:p>
    <w:p w14:paraId="38A72793" w14:textId="77777777" w:rsidR="002A2264" w:rsidRDefault="002A2264" w:rsidP="002A226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0"/>
        <w:ind w:left="284" w:hanging="284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Add 50 </w:t>
      </w:r>
      <w:r w:rsidR="001A53CA">
        <w:rPr>
          <w:rFonts w:cs="Arial"/>
          <w:bCs/>
          <w:szCs w:val="20"/>
        </w:rPr>
        <w:t>µL</w:t>
      </w:r>
      <w:r w:rsidR="001A53CA" w:rsidRPr="000519FA">
        <w:rPr>
          <w:rFonts w:cs="Arial"/>
          <w:bCs/>
          <w:szCs w:val="20"/>
        </w:rPr>
        <w:t xml:space="preserve"> of the Reaction Mix to </w:t>
      </w:r>
      <w:r>
        <w:rPr>
          <w:rFonts w:cs="Arial"/>
          <w:bCs/>
          <w:szCs w:val="20"/>
        </w:rPr>
        <w:t>wells</w:t>
      </w:r>
      <w:r w:rsidR="001A53CA">
        <w:rPr>
          <w:rFonts w:cs="Arial"/>
          <w:bCs/>
          <w:szCs w:val="20"/>
        </w:rPr>
        <w:t xml:space="preserve"> containing standard and samples</w:t>
      </w:r>
      <w:r>
        <w:rPr>
          <w:rFonts w:cs="Arial"/>
          <w:bCs/>
          <w:szCs w:val="20"/>
        </w:rPr>
        <w:t>.</w:t>
      </w:r>
      <w:r w:rsidR="001A53CA">
        <w:rPr>
          <w:rFonts w:cs="Arial"/>
          <w:bCs/>
          <w:szCs w:val="20"/>
        </w:rPr>
        <w:t xml:space="preserve"> Mix well.</w:t>
      </w:r>
    </w:p>
    <w:p w14:paraId="38A72794" w14:textId="77777777" w:rsidR="002A2264" w:rsidRPr="000519FA" w:rsidRDefault="002A2264" w:rsidP="002A226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0"/>
        <w:ind w:left="284" w:hanging="284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If necessary, also add 50 µL of Background Control Mix to 50 µL of</w:t>
      </w:r>
      <w:r w:rsidRPr="000519FA">
        <w:rPr>
          <w:rFonts w:cs="Arial"/>
          <w:bCs/>
          <w:szCs w:val="20"/>
        </w:rPr>
        <w:t xml:space="preserve"> </w:t>
      </w:r>
      <w:r w:rsidR="001A53CA">
        <w:rPr>
          <w:rFonts w:cs="Arial"/>
          <w:bCs/>
          <w:szCs w:val="20"/>
        </w:rPr>
        <w:t xml:space="preserve">background </w:t>
      </w:r>
      <w:r w:rsidRPr="000519FA">
        <w:rPr>
          <w:rFonts w:cs="Arial"/>
          <w:bCs/>
          <w:szCs w:val="20"/>
        </w:rPr>
        <w:t>control well(s). Mix well.</w:t>
      </w:r>
    </w:p>
    <w:p w14:paraId="38A72795" w14:textId="77777777" w:rsidR="002A2264" w:rsidRDefault="000519FA" w:rsidP="000519F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0"/>
        <w:ind w:left="284" w:hanging="284"/>
        <w:rPr>
          <w:rFonts w:cs="Arial"/>
          <w:bCs/>
          <w:szCs w:val="20"/>
        </w:rPr>
      </w:pPr>
      <w:r w:rsidRPr="000519FA">
        <w:rPr>
          <w:rFonts w:cs="Arial"/>
          <w:bCs/>
          <w:szCs w:val="20"/>
        </w:rPr>
        <w:t>I</w:t>
      </w:r>
      <w:r w:rsidR="002A2264">
        <w:rPr>
          <w:rFonts w:cs="Arial"/>
          <w:bCs/>
          <w:szCs w:val="20"/>
        </w:rPr>
        <w:t>ncubate for 40 minutes at 37°C.</w:t>
      </w:r>
    </w:p>
    <w:p w14:paraId="38A7279D" w14:textId="6E13FF63" w:rsidR="006904DD" w:rsidRPr="007325F3" w:rsidRDefault="000519FA" w:rsidP="007325F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0"/>
        <w:ind w:left="284" w:hanging="284"/>
        <w:rPr>
          <w:rFonts w:cs="Arial"/>
          <w:bCs/>
          <w:szCs w:val="20"/>
        </w:rPr>
      </w:pPr>
      <w:r w:rsidRPr="000519FA">
        <w:rPr>
          <w:rFonts w:cs="Arial"/>
          <w:bCs/>
          <w:szCs w:val="20"/>
        </w:rPr>
        <w:t>Measure OD450nm.</w:t>
      </w:r>
    </w:p>
    <w:p w14:paraId="38A7279E" w14:textId="77777777" w:rsidR="000519FA" w:rsidRPr="006904DD" w:rsidRDefault="000519FA" w:rsidP="006904DD">
      <w:pPr>
        <w:autoSpaceDE w:val="0"/>
        <w:autoSpaceDN w:val="0"/>
        <w:adjustRightInd w:val="0"/>
        <w:spacing w:before="0"/>
        <w:rPr>
          <w:rFonts w:cs="Arial"/>
          <w:bCs/>
          <w:szCs w:val="20"/>
        </w:rPr>
      </w:pPr>
    </w:p>
    <w:p w14:paraId="38A7279F" w14:textId="77777777" w:rsidR="009C1E8B" w:rsidRDefault="009C1E8B" w:rsidP="00F258E0">
      <w:pPr>
        <w:pStyle w:val="Heading1"/>
        <w:spacing w:before="240"/>
        <w:ind w:left="502" w:hanging="502"/>
      </w:pPr>
      <w:bookmarkStart w:id="23" w:name="_Toc318703576"/>
      <w:bookmarkStart w:id="24" w:name="_Toc363404497"/>
      <w:r>
        <w:lastRenderedPageBreak/>
        <w:t>Data Analysis</w:t>
      </w:r>
      <w:bookmarkEnd w:id="19"/>
      <w:bookmarkEnd w:id="23"/>
      <w:bookmarkEnd w:id="24"/>
    </w:p>
    <w:p w14:paraId="38A727A0" w14:textId="77777777" w:rsidR="00B91CCF" w:rsidRDefault="00E8302D" w:rsidP="00F258E0">
      <w:pPr>
        <w:autoSpaceDE w:val="0"/>
        <w:autoSpaceDN w:val="0"/>
        <w:adjustRightInd w:val="0"/>
        <w:rPr>
          <w:rFonts w:cs="Arial"/>
          <w:b/>
          <w:bCs/>
          <w:szCs w:val="20"/>
          <w:lang w:val="en-GB"/>
        </w:rPr>
      </w:pPr>
      <w:bookmarkStart w:id="25" w:name="_Toc315440415"/>
      <w:r w:rsidRPr="00E8302D">
        <w:rPr>
          <w:rFonts w:cs="Arial"/>
          <w:b/>
          <w:bCs/>
          <w:szCs w:val="20"/>
          <w:lang w:val="en-GB"/>
        </w:rPr>
        <w:t>Calculation</w:t>
      </w:r>
      <w:r w:rsidR="00B91CCF">
        <w:rPr>
          <w:rFonts w:cs="Arial"/>
          <w:b/>
          <w:bCs/>
          <w:szCs w:val="20"/>
          <w:lang w:val="en-GB"/>
        </w:rPr>
        <w:t>s</w:t>
      </w:r>
      <w:r w:rsidRPr="00E8302D">
        <w:rPr>
          <w:rFonts w:cs="Arial"/>
          <w:b/>
          <w:bCs/>
          <w:szCs w:val="20"/>
          <w:lang w:val="en-GB"/>
        </w:rPr>
        <w:t>:</w:t>
      </w:r>
    </w:p>
    <w:p w14:paraId="38A727A1" w14:textId="77777777" w:rsidR="009A29E9" w:rsidRDefault="009A29E9" w:rsidP="004E6E53">
      <w:pPr>
        <w:pStyle w:val="ListParagraph"/>
        <w:numPr>
          <w:ilvl w:val="1"/>
          <w:numId w:val="36"/>
        </w:numPr>
        <w:autoSpaceDE w:val="0"/>
        <w:autoSpaceDN w:val="0"/>
        <w:adjustRightInd w:val="0"/>
        <w:ind w:left="284" w:hanging="284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Correct background by subtracting the value derived from the zero standard from all readings.</w:t>
      </w:r>
    </w:p>
    <w:p w14:paraId="38A727A2" w14:textId="77777777" w:rsidR="009A29E9" w:rsidRDefault="009A29E9" w:rsidP="004E6E53">
      <w:pPr>
        <w:pStyle w:val="ListParagraph"/>
        <w:numPr>
          <w:ilvl w:val="1"/>
          <w:numId w:val="36"/>
        </w:numPr>
        <w:autoSpaceDE w:val="0"/>
        <w:autoSpaceDN w:val="0"/>
        <w:adjustRightInd w:val="0"/>
        <w:ind w:left="284" w:hanging="284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Plot the G3P Standard Curve.</w:t>
      </w:r>
    </w:p>
    <w:p w14:paraId="38A727A3" w14:textId="77777777" w:rsidR="004E6E53" w:rsidRPr="004E6E53" w:rsidRDefault="009A29E9" w:rsidP="004E6E53">
      <w:pPr>
        <w:pStyle w:val="ListParagraph"/>
        <w:numPr>
          <w:ilvl w:val="1"/>
          <w:numId w:val="36"/>
        </w:numPr>
        <w:autoSpaceDE w:val="0"/>
        <w:autoSpaceDN w:val="0"/>
        <w:adjustRightInd w:val="0"/>
        <w:ind w:left="284" w:hanging="284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If sample Background C</w:t>
      </w:r>
      <w:r w:rsidR="004E6E53" w:rsidRPr="004E6E53">
        <w:rPr>
          <w:rFonts w:cs="Arial"/>
          <w:szCs w:val="20"/>
          <w:lang w:val="en-GB"/>
        </w:rPr>
        <w:t>ontrol readin</w:t>
      </w:r>
      <w:r>
        <w:rPr>
          <w:rFonts w:cs="Arial"/>
          <w:szCs w:val="20"/>
          <w:lang w:val="en-GB"/>
        </w:rPr>
        <w:t>g is significant, subtract the Background C</w:t>
      </w:r>
      <w:r w:rsidR="004E6E53" w:rsidRPr="004E6E53">
        <w:rPr>
          <w:rFonts w:cs="Arial"/>
          <w:szCs w:val="20"/>
          <w:lang w:val="en-GB"/>
        </w:rPr>
        <w:t xml:space="preserve">ontrol reading from sample reading. Apply the corrected sample reading to G3P Standard Curve to get </w:t>
      </w:r>
      <w:r w:rsidR="004E6E53" w:rsidRPr="002A2264">
        <w:rPr>
          <w:rFonts w:cs="Arial"/>
          <w:b/>
          <w:szCs w:val="20"/>
          <w:lang w:val="en-GB"/>
        </w:rPr>
        <w:t>B</w:t>
      </w:r>
      <w:r w:rsidR="004E6E53" w:rsidRPr="004E6E53">
        <w:rPr>
          <w:rFonts w:cs="Arial"/>
          <w:szCs w:val="20"/>
          <w:lang w:val="en-GB"/>
        </w:rPr>
        <w:t xml:space="preserve"> </w:t>
      </w:r>
      <w:r w:rsidR="002A2264">
        <w:rPr>
          <w:rFonts w:cs="Arial"/>
          <w:szCs w:val="20"/>
          <w:lang w:val="en-GB"/>
        </w:rPr>
        <w:t>(</w:t>
      </w:r>
      <w:r w:rsidR="004E6E53" w:rsidRPr="004E6E53">
        <w:rPr>
          <w:rFonts w:cs="Arial"/>
          <w:szCs w:val="20"/>
          <w:lang w:val="en-GB"/>
        </w:rPr>
        <w:t>nmol of G3P</w:t>
      </w:r>
      <w:r w:rsidR="002A2264">
        <w:rPr>
          <w:rFonts w:cs="Arial"/>
          <w:szCs w:val="20"/>
          <w:lang w:val="en-GB"/>
        </w:rPr>
        <w:t>)</w:t>
      </w:r>
      <w:r w:rsidR="004E6E53" w:rsidRPr="004E6E53">
        <w:rPr>
          <w:rFonts w:cs="Arial"/>
          <w:szCs w:val="20"/>
          <w:lang w:val="en-GB"/>
        </w:rPr>
        <w:t xml:space="preserve"> in the sample wells.</w:t>
      </w:r>
    </w:p>
    <w:p w14:paraId="38A727A4" w14:textId="77777777" w:rsidR="002A2264" w:rsidRDefault="004E6E53" w:rsidP="004E6E53">
      <w:pPr>
        <w:autoSpaceDE w:val="0"/>
        <w:autoSpaceDN w:val="0"/>
        <w:adjustRightInd w:val="0"/>
        <w:jc w:val="center"/>
        <w:rPr>
          <w:rFonts w:cs="Arial"/>
          <w:b/>
          <w:szCs w:val="20"/>
          <w:lang w:val="en-GB"/>
        </w:rPr>
      </w:pPr>
      <w:r w:rsidRPr="004E6E53">
        <w:rPr>
          <w:rFonts w:cs="Arial"/>
          <w:b/>
          <w:szCs w:val="20"/>
          <w:lang w:val="en-GB"/>
        </w:rPr>
        <w:t>Sample G3P concentration = B/V x Dilution Factor</w:t>
      </w:r>
    </w:p>
    <w:p w14:paraId="38A727A6" w14:textId="0338503A" w:rsidR="000C669F" w:rsidRPr="007325F3" w:rsidRDefault="004E6E53" w:rsidP="007325F3">
      <w:pPr>
        <w:autoSpaceDE w:val="0"/>
        <w:autoSpaceDN w:val="0"/>
        <w:adjustRightInd w:val="0"/>
        <w:contextualSpacing/>
        <w:jc w:val="center"/>
        <w:rPr>
          <w:rFonts w:cs="Arial"/>
          <w:b/>
          <w:szCs w:val="20"/>
          <w:lang w:val="en-GB"/>
        </w:rPr>
      </w:pPr>
      <w:r w:rsidRPr="004E6E53">
        <w:rPr>
          <w:rFonts w:cs="Arial"/>
          <w:b/>
          <w:szCs w:val="20"/>
          <w:lang w:val="en-GB"/>
        </w:rPr>
        <w:t>= nmol/</w:t>
      </w:r>
      <w:r w:rsidR="00CE29BA">
        <w:rPr>
          <w:rFonts w:cs="Arial"/>
          <w:b/>
          <w:szCs w:val="20"/>
          <w:lang w:val="en-GB"/>
        </w:rPr>
        <w:t>mL</w:t>
      </w:r>
      <w:r w:rsidRPr="004E6E53">
        <w:rPr>
          <w:rFonts w:cs="Arial"/>
          <w:b/>
          <w:szCs w:val="20"/>
          <w:lang w:val="en-GB"/>
        </w:rPr>
        <w:t xml:space="preserve"> = µM</w:t>
      </w:r>
    </w:p>
    <w:p w14:paraId="38A727A7" w14:textId="77777777" w:rsidR="00023E6B" w:rsidRDefault="00D85A54" w:rsidP="00F258E0">
      <w:pPr>
        <w:autoSpaceDE w:val="0"/>
        <w:autoSpaceDN w:val="0"/>
        <w:adjustRightInd w:val="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Where:</w:t>
      </w:r>
      <w:r w:rsidR="00CE5CB3">
        <w:rPr>
          <w:rFonts w:cs="Arial"/>
          <w:szCs w:val="20"/>
          <w:lang w:val="en-GB"/>
        </w:rPr>
        <w:t xml:space="preserve"> </w:t>
      </w:r>
    </w:p>
    <w:p w14:paraId="38A727A8" w14:textId="77777777" w:rsidR="00023E6B" w:rsidRDefault="004E6E53" w:rsidP="00023E6B">
      <w:pPr>
        <w:autoSpaceDE w:val="0"/>
        <w:autoSpaceDN w:val="0"/>
        <w:adjustRightInd w:val="0"/>
        <w:spacing w:before="0"/>
        <w:rPr>
          <w:rFonts w:cs="Arial"/>
          <w:szCs w:val="20"/>
          <w:lang w:val="en-GB"/>
        </w:rPr>
      </w:pPr>
      <w:r>
        <w:rPr>
          <w:rFonts w:cs="Arial"/>
          <w:b/>
          <w:szCs w:val="20"/>
          <w:lang w:val="en-GB"/>
        </w:rPr>
        <w:t>B =</w:t>
      </w:r>
      <w:r w:rsidR="00D85A54" w:rsidRPr="00D85A54">
        <w:rPr>
          <w:rFonts w:cs="Arial"/>
          <w:szCs w:val="20"/>
          <w:lang w:val="en-GB"/>
        </w:rPr>
        <w:t xml:space="preserve"> </w:t>
      </w:r>
      <w:r w:rsidRPr="004E6E53">
        <w:rPr>
          <w:rFonts w:cs="Arial"/>
          <w:szCs w:val="20"/>
          <w:lang w:val="en-GB"/>
        </w:rPr>
        <w:t>amount of G3P in the sample well (nmol)</w:t>
      </w:r>
    </w:p>
    <w:p w14:paraId="38A727A9" w14:textId="77777777" w:rsidR="00D81566" w:rsidRDefault="00D81566" w:rsidP="00023E6B">
      <w:pPr>
        <w:autoSpaceDE w:val="0"/>
        <w:autoSpaceDN w:val="0"/>
        <w:adjustRightInd w:val="0"/>
        <w:spacing w:before="0"/>
        <w:rPr>
          <w:rFonts w:cs="Arial"/>
          <w:szCs w:val="20"/>
          <w:lang w:val="en-GB"/>
        </w:rPr>
      </w:pPr>
      <w:r w:rsidRPr="00D81566">
        <w:rPr>
          <w:rFonts w:cs="Arial"/>
          <w:b/>
          <w:szCs w:val="20"/>
          <w:lang w:val="en-GB"/>
        </w:rPr>
        <w:t>V</w:t>
      </w:r>
      <w:r>
        <w:rPr>
          <w:rFonts w:cs="Arial"/>
          <w:szCs w:val="20"/>
          <w:lang w:val="en-GB"/>
        </w:rPr>
        <w:t xml:space="preserve"> </w:t>
      </w:r>
      <w:r w:rsidRPr="00D81566">
        <w:rPr>
          <w:rFonts w:cs="Arial"/>
          <w:szCs w:val="20"/>
          <w:lang w:val="en-GB"/>
        </w:rPr>
        <w:t xml:space="preserve">= </w:t>
      </w:r>
      <w:r w:rsidR="002A2264">
        <w:rPr>
          <w:rFonts w:cs="Arial"/>
          <w:szCs w:val="20"/>
          <w:lang w:val="en-GB"/>
        </w:rPr>
        <w:t xml:space="preserve">volume of </w:t>
      </w:r>
      <w:r w:rsidRPr="00D81566">
        <w:rPr>
          <w:rFonts w:cs="Arial"/>
          <w:szCs w:val="20"/>
          <w:lang w:val="en-GB"/>
        </w:rPr>
        <w:t xml:space="preserve">sample </w:t>
      </w:r>
      <w:r w:rsidR="004E6E53" w:rsidRPr="004E6E53">
        <w:rPr>
          <w:rFonts w:cs="Arial"/>
          <w:szCs w:val="20"/>
          <w:lang w:val="en-GB"/>
        </w:rPr>
        <w:t>used in the reaction well (</w:t>
      </w:r>
      <w:r w:rsidR="00CE29BA">
        <w:rPr>
          <w:rFonts w:cs="Arial"/>
          <w:szCs w:val="20"/>
          <w:lang w:val="en-GB"/>
        </w:rPr>
        <w:t>mL</w:t>
      </w:r>
      <w:r w:rsidR="004E6E53" w:rsidRPr="004E6E53">
        <w:rPr>
          <w:rFonts w:cs="Arial"/>
          <w:szCs w:val="20"/>
          <w:lang w:val="en-GB"/>
        </w:rPr>
        <w:t>)</w:t>
      </w:r>
    </w:p>
    <w:p w14:paraId="38A727AA" w14:textId="77777777" w:rsidR="004E6E53" w:rsidRDefault="004E6E53" w:rsidP="00023E6B">
      <w:pPr>
        <w:autoSpaceDE w:val="0"/>
        <w:autoSpaceDN w:val="0"/>
        <w:adjustRightInd w:val="0"/>
        <w:spacing w:before="0"/>
        <w:rPr>
          <w:rFonts w:cs="Arial"/>
          <w:szCs w:val="20"/>
          <w:lang w:val="en-GB"/>
        </w:rPr>
      </w:pPr>
    </w:p>
    <w:p w14:paraId="38A727AB" w14:textId="77777777" w:rsidR="004E6E53" w:rsidRPr="004E6E53" w:rsidRDefault="004E6E53" w:rsidP="004E6E53">
      <w:pPr>
        <w:autoSpaceDE w:val="0"/>
        <w:autoSpaceDN w:val="0"/>
        <w:adjustRightInd w:val="0"/>
        <w:spacing w:before="0"/>
        <w:rPr>
          <w:rFonts w:cs="Arial"/>
          <w:szCs w:val="20"/>
          <w:lang w:val="en-GB"/>
        </w:rPr>
      </w:pPr>
      <w:r w:rsidRPr="004E6E53">
        <w:rPr>
          <w:rFonts w:cs="Arial"/>
          <w:szCs w:val="20"/>
          <w:lang w:val="en-GB"/>
        </w:rPr>
        <w:t xml:space="preserve">G3P in samples can also be expressed in nmol/mg of protein. </w:t>
      </w:r>
    </w:p>
    <w:p w14:paraId="38A727AC" w14:textId="77777777" w:rsidR="004E6E53" w:rsidRDefault="004E6E53" w:rsidP="004E6E53">
      <w:pPr>
        <w:autoSpaceDE w:val="0"/>
        <w:autoSpaceDN w:val="0"/>
        <w:adjustRightInd w:val="0"/>
        <w:spacing w:before="0"/>
        <w:rPr>
          <w:rFonts w:cs="Arial"/>
          <w:szCs w:val="20"/>
          <w:lang w:val="en-GB"/>
        </w:rPr>
      </w:pPr>
      <w:r w:rsidRPr="004E6E53">
        <w:rPr>
          <w:rFonts w:cs="Arial"/>
          <w:szCs w:val="20"/>
          <w:lang w:val="en-GB"/>
        </w:rPr>
        <w:t>Glycerol-3-Phosphate molecular weight: 172.074 g/mol</w:t>
      </w:r>
    </w:p>
    <w:p w14:paraId="38A727AD" w14:textId="77777777" w:rsidR="00D81566" w:rsidRPr="00CE5CB3" w:rsidRDefault="00D81566" w:rsidP="00023E6B">
      <w:pPr>
        <w:autoSpaceDE w:val="0"/>
        <w:autoSpaceDN w:val="0"/>
        <w:adjustRightInd w:val="0"/>
        <w:spacing w:before="0"/>
        <w:rPr>
          <w:rFonts w:cs="Arial"/>
          <w:szCs w:val="20"/>
          <w:lang w:val="en-GB"/>
        </w:rPr>
      </w:pPr>
    </w:p>
    <w:p w14:paraId="38A727AE" w14:textId="77777777" w:rsidR="005A523C" w:rsidRDefault="005A523C" w:rsidP="00D81566">
      <w:pPr>
        <w:autoSpaceDE w:val="0"/>
        <w:autoSpaceDN w:val="0"/>
        <w:adjustRightInd w:val="0"/>
        <w:spacing w:before="0"/>
        <w:jc w:val="center"/>
        <w:rPr>
          <w:rFonts w:cs="Arial"/>
          <w:szCs w:val="20"/>
        </w:rPr>
      </w:pPr>
    </w:p>
    <w:p w14:paraId="38A727AF" w14:textId="77777777" w:rsidR="008A0916" w:rsidRDefault="00790775" w:rsidP="00D81566">
      <w:pPr>
        <w:autoSpaceDE w:val="0"/>
        <w:autoSpaceDN w:val="0"/>
        <w:adjustRightInd w:val="0"/>
        <w:spacing w:before="0"/>
        <w:jc w:val="center"/>
        <w:rPr>
          <w:rFonts w:cs="Arial"/>
          <w:szCs w:val="20"/>
        </w:rPr>
      </w:pPr>
      <w:r>
        <w:rPr>
          <w:rFonts w:cs="Arial"/>
          <w:noProof/>
          <w:szCs w:val="20"/>
          <w:lang w:val="en-GB" w:eastAsia="en-GB"/>
        </w:rPr>
        <w:lastRenderedPageBreak/>
        <w:drawing>
          <wp:inline distT="0" distB="0" distL="0" distR="0" wp14:anchorId="38A7286C" wp14:editId="38A7286D">
            <wp:extent cx="3145636" cy="2762864"/>
            <wp:effectExtent l="19050" t="0" r="0" b="0"/>
            <wp:docPr id="6" name="Picture 5" descr="ab17409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174094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913" cy="276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727B0" w14:textId="77777777" w:rsidR="00790775" w:rsidRDefault="00790775" w:rsidP="00790775">
      <w:pPr>
        <w:autoSpaceDE w:val="0"/>
        <w:autoSpaceDN w:val="0"/>
        <w:adjustRightInd w:val="0"/>
        <w:spacing w:before="0"/>
        <w:jc w:val="center"/>
        <w:rPr>
          <w:rFonts w:cs="Arial"/>
          <w:szCs w:val="20"/>
        </w:rPr>
      </w:pPr>
      <w:r>
        <w:rPr>
          <w:rFonts w:cs="Arial"/>
          <w:noProof/>
          <w:szCs w:val="20"/>
          <w:lang w:val="en-GB" w:eastAsia="en-GB"/>
        </w:rPr>
        <w:lastRenderedPageBreak/>
        <w:drawing>
          <wp:inline distT="0" distB="0" distL="0" distR="0" wp14:anchorId="38A7286E" wp14:editId="38A7286F">
            <wp:extent cx="3120210" cy="2967930"/>
            <wp:effectExtent l="19050" t="0" r="3990" b="0"/>
            <wp:docPr id="7" name="Picture 6" descr="ab17409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174094_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694" cy="296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727B1" w14:textId="77777777" w:rsidR="008A0916" w:rsidRDefault="008A0916" w:rsidP="00A04347">
      <w:pPr>
        <w:autoSpaceDE w:val="0"/>
        <w:autoSpaceDN w:val="0"/>
        <w:adjustRightInd w:val="0"/>
        <w:spacing w:before="0"/>
        <w:rPr>
          <w:rFonts w:cs="Arial"/>
          <w:szCs w:val="20"/>
        </w:rPr>
      </w:pPr>
    </w:p>
    <w:p w14:paraId="38A727B2" w14:textId="77777777" w:rsidR="00D85A54" w:rsidRDefault="009178FB" w:rsidP="00790775">
      <w:pPr>
        <w:autoSpaceDE w:val="0"/>
        <w:autoSpaceDN w:val="0"/>
        <w:adjustRightInd w:val="0"/>
        <w:spacing w:before="0"/>
        <w:rPr>
          <w:rFonts w:cs="Arial"/>
          <w:szCs w:val="20"/>
          <w:lang w:val="en-GB"/>
        </w:rPr>
      </w:pPr>
      <w:r>
        <w:rPr>
          <w:rFonts w:cs="Arial"/>
          <w:b/>
          <w:bCs/>
          <w:szCs w:val="20"/>
          <w:lang w:val="en-GB"/>
        </w:rPr>
        <w:t>Figure</w:t>
      </w:r>
      <w:r w:rsidR="005A523C" w:rsidRPr="005A523C">
        <w:rPr>
          <w:rFonts w:cs="Arial"/>
          <w:b/>
          <w:bCs/>
          <w:szCs w:val="20"/>
          <w:lang w:val="en-GB"/>
        </w:rPr>
        <w:t xml:space="preserve"> </w:t>
      </w:r>
      <w:r w:rsidR="00E95F99">
        <w:rPr>
          <w:rFonts w:cs="Arial"/>
          <w:b/>
          <w:bCs/>
          <w:szCs w:val="20"/>
          <w:lang w:val="en-GB"/>
        </w:rPr>
        <w:t>2</w:t>
      </w:r>
      <w:r w:rsidR="00D81566" w:rsidRPr="00D81566">
        <w:rPr>
          <w:rFonts w:cs="Arial"/>
          <w:b/>
          <w:bCs/>
          <w:szCs w:val="20"/>
          <w:lang w:val="en-GB"/>
        </w:rPr>
        <w:t xml:space="preserve">: </w:t>
      </w:r>
      <w:r w:rsidR="005A523C" w:rsidRPr="005A523C">
        <w:rPr>
          <w:rFonts w:cs="Arial"/>
          <w:b/>
          <w:bCs/>
          <w:szCs w:val="20"/>
          <w:lang w:val="en-GB"/>
        </w:rPr>
        <w:t xml:space="preserve">(a) </w:t>
      </w:r>
      <w:r w:rsidR="00790775" w:rsidRPr="00790775">
        <w:rPr>
          <w:rFonts w:cs="Arial"/>
          <w:szCs w:val="20"/>
          <w:lang w:val="en-GB"/>
        </w:rPr>
        <w:t>G3P Standard Curve</w:t>
      </w:r>
      <w:r w:rsidR="00954358" w:rsidRPr="00954358">
        <w:rPr>
          <w:rFonts w:cs="Arial"/>
          <w:szCs w:val="20"/>
          <w:lang w:val="en-GB"/>
        </w:rPr>
        <w:t xml:space="preserve">. </w:t>
      </w:r>
      <w:r w:rsidR="005A523C" w:rsidRPr="005A523C">
        <w:rPr>
          <w:rFonts w:cs="Arial"/>
          <w:b/>
          <w:bCs/>
          <w:szCs w:val="20"/>
          <w:lang w:val="en-GB"/>
        </w:rPr>
        <w:t>(b</w:t>
      </w:r>
      <w:r w:rsidR="00954358">
        <w:rPr>
          <w:rFonts w:cs="Arial"/>
          <w:b/>
          <w:bCs/>
          <w:szCs w:val="20"/>
          <w:lang w:val="en-GB"/>
        </w:rPr>
        <w:t xml:space="preserve">) </w:t>
      </w:r>
      <w:r w:rsidR="00790775" w:rsidRPr="00790775">
        <w:rPr>
          <w:rFonts w:cs="Arial"/>
          <w:bCs/>
          <w:szCs w:val="20"/>
          <w:lang w:val="en-GB"/>
        </w:rPr>
        <w:t>Measurement of G3P in rat liver (100 µg), 3T3-L1 (4</w:t>
      </w:r>
      <w:r w:rsidR="00CE29BA">
        <w:rPr>
          <w:rFonts w:cs="Arial"/>
          <w:bCs/>
          <w:szCs w:val="20"/>
          <w:lang w:val="en-GB"/>
        </w:rPr>
        <w:t>0 µg) and Hela (50 µg) lysate</w:t>
      </w:r>
      <w:r w:rsidR="002A2264">
        <w:rPr>
          <w:rFonts w:cs="Arial"/>
          <w:bCs/>
          <w:szCs w:val="20"/>
          <w:lang w:val="en-GB"/>
        </w:rPr>
        <w:t xml:space="preserve">. </w:t>
      </w:r>
      <w:r w:rsidR="00790775" w:rsidRPr="00790775">
        <w:rPr>
          <w:rFonts w:cs="Arial"/>
          <w:bCs/>
          <w:szCs w:val="20"/>
          <w:lang w:val="en-GB"/>
        </w:rPr>
        <w:t>Assays were performed following the kit protocol.</w:t>
      </w:r>
    </w:p>
    <w:p w14:paraId="38A727B3" w14:textId="77777777" w:rsidR="00D85A54" w:rsidRDefault="00D85A54" w:rsidP="005A523C">
      <w:pPr>
        <w:autoSpaceDE w:val="0"/>
        <w:autoSpaceDN w:val="0"/>
        <w:adjustRightInd w:val="0"/>
        <w:spacing w:before="0"/>
        <w:rPr>
          <w:rFonts w:cs="Arial"/>
          <w:szCs w:val="20"/>
          <w:lang w:val="en-GB"/>
        </w:rPr>
      </w:pPr>
    </w:p>
    <w:p w14:paraId="38A727B4" w14:textId="77777777" w:rsidR="00D85A54" w:rsidRPr="005A523C" w:rsidRDefault="00D85A54" w:rsidP="005A523C">
      <w:pPr>
        <w:autoSpaceDE w:val="0"/>
        <w:autoSpaceDN w:val="0"/>
        <w:adjustRightInd w:val="0"/>
        <w:spacing w:before="0"/>
        <w:rPr>
          <w:rFonts w:cs="Arial"/>
          <w:szCs w:val="20"/>
          <w:lang w:val="en-GB"/>
        </w:rPr>
      </w:pPr>
    </w:p>
    <w:p w14:paraId="38A727B5" w14:textId="77777777" w:rsidR="00F258E0" w:rsidRDefault="00F258E0">
      <w:pPr>
        <w:spacing w:before="0" w:line="240" w:lineRule="auto"/>
        <w:jc w:val="left"/>
        <w:rPr>
          <w:rFonts w:eastAsia="Times New Roman"/>
          <w:b/>
          <w:bCs/>
          <w:sz w:val="28"/>
          <w:szCs w:val="28"/>
        </w:rPr>
      </w:pPr>
      <w:bookmarkStart w:id="26" w:name="_Toc318703577"/>
      <w:r>
        <w:br w:type="page"/>
      </w:r>
    </w:p>
    <w:p w14:paraId="38A727B6" w14:textId="77777777" w:rsidR="009C1E8B" w:rsidRDefault="009C1E8B" w:rsidP="00A04347">
      <w:pPr>
        <w:pStyle w:val="Heading1"/>
        <w:spacing w:before="0"/>
        <w:ind w:left="502" w:hanging="502"/>
      </w:pPr>
      <w:bookmarkStart w:id="27" w:name="_Toc363404498"/>
      <w:r>
        <w:lastRenderedPageBreak/>
        <w:t>Troubleshooting</w:t>
      </w:r>
      <w:bookmarkEnd w:id="20"/>
      <w:bookmarkEnd w:id="21"/>
      <w:bookmarkEnd w:id="25"/>
      <w:bookmarkEnd w:id="26"/>
      <w:bookmarkEnd w:id="27"/>
    </w:p>
    <w:p w14:paraId="38A727B7" w14:textId="77777777" w:rsidR="00954358" w:rsidRPr="00954358" w:rsidRDefault="00954358" w:rsidP="00954358"/>
    <w:tbl>
      <w:tblPr>
        <w:tblW w:w="654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97"/>
        <w:gridCol w:w="2126"/>
        <w:gridCol w:w="3119"/>
      </w:tblGrid>
      <w:tr w:rsidR="00A04347" w:rsidRPr="00F27755" w14:paraId="38A727BB" w14:textId="77777777" w:rsidTr="00DE1EFA">
        <w:trPr>
          <w:trHeight w:val="30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7B8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>Problem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B9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>Reason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BA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 xml:space="preserve"> Solution</w:t>
            </w:r>
          </w:p>
        </w:tc>
      </w:tr>
      <w:tr w:rsidR="00A04347" w:rsidRPr="00F27755" w14:paraId="38A727BF" w14:textId="77777777" w:rsidTr="00DE1EFA"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27BC" w14:textId="77777777" w:rsidR="00A04347" w:rsidRPr="00AF7CBE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AF7CBE">
              <w:rPr>
                <w:rFonts w:eastAsia="Times New Roman" w:cs="Arial"/>
                <w:color w:val="000000"/>
                <w:szCs w:val="20"/>
                <w:lang w:val="en-GB" w:eastAsia="en-GB"/>
              </w:rPr>
              <w:t>Assay not working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BD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Assay buffer at wrong temp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erature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BE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Assay buffer must not be chilled - needs to be at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RT</w:t>
            </w:r>
          </w:p>
        </w:tc>
      </w:tr>
      <w:tr w:rsidR="00A04347" w:rsidRPr="00F27755" w14:paraId="38A727C3" w14:textId="77777777" w:rsidTr="00DE1EFA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27C0" w14:textId="77777777" w:rsidR="00A04347" w:rsidRPr="00AF7CBE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C1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Protocol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step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missed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C2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Re-read and follow the protocol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exactly</w:t>
            </w:r>
          </w:p>
        </w:tc>
      </w:tr>
      <w:tr w:rsidR="00A04347" w:rsidRPr="00F27755" w14:paraId="38A727C7" w14:textId="77777777" w:rsidTr="00DE1EFA"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27C4" w14:textId="77777777" w:rsidR="00A04347" w:rsidRPr="00AF7CBE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C5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Plate read at incorrect wavelength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C6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Ensure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you are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using appropriate reader and filter settings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(refer to datasheet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)</w:t>
            </w:r>
          </w:p>
        </w:tc>
      </w:tr>
      <w:tr w:rsidR="00A04347" w:rsidRPr="00F27755" w14:paraId="38A727CB" w14:textId="77777777" w:rsidTr="00DE1EFA">
        <w:trPr>
          <w:trHeight w:val="1035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27C8" w14:textId="77777777" w:rsidR="00A04347" w:rsidRPr="00AF7CBE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C9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nsuitable microtiter plate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for assay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CA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Fluorescence: Black plates (clear bottoms)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;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br/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Luminescence: White plates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;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br/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Colorimetry: Clear plates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.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br/>
              <w:t>If critical, datasheet will indicate whether to use flat- or U-shaped wells</w:t>
            </w:r>
          </w:p>
        </w:tc>
      </w:tr>
      <w:tr w:rsidR="00A04347" w:rsidRPr="00F27755" w14:paraId="38A727CF" w14:textId="77777777" w:rsidTr="00DE1EFA"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27CC" w14:textId="77777777" w:rsidR="00A04347" w:rsidRPr="00AF7CBE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AF7CBE">
              <w:rPr>
                <w:rFonts w:eastAsia="Times New Roman" w:cs="Arial"/>
                <w:color w:val="000000"/>
                <w:szCs w:val="20"/>
                <w:lang w:val="en-GB" w:eastAsia="en-GB"/>
              </w:rPr>
              <w:t>Unexpected results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CD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Measured at wrong wavelength 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CE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Use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appropriate reader and filter settings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described in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datasheet</w:t>
            </w:r>
          </w:p>
        </w:tc>
      </w:tr>
      <w:tr w:rsidR="00A04347" w:rsidRPr="00F27755" w14:paraId="38A727D3" w14:textId="77777777" w:rsidTr="00DE1EFA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27D0" w14:textId="77777777" w:rsidR="00A04347" w:rsidRPr="00AF7CBE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D1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 contain impeding substances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D2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Troubleshoot </w:t>
            </w:r>
            <w:proofErr w:type="gramStart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and also</w:t>
            </w:r>
            <w:proofErr w:type="gramEnd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consider deproteinizing samples</w:t>
            </w:r>
          </w:p>
        </w:tc>
      </w:tr>
      <w:tr w:rsidR="00A04347" w:rsidRPr="00F27755" w14:paraId="38A727D7" w14:textId="77777777" w:rsidTr="00DE1EFA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27D4" w14:textId="77777777" w:rsidR="00A04347" w:rsidRPr="002003DC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D5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nsuitable sample type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D6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Use r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ecommended </w:t>
            </w:r>
            <w:proofErr w:type="gramStart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</w:t>
            </w:r>
            <w:proofErr w:type="gramEnd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types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as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listed on the datasheet</w:t>
            </w:r>
          </w:p>
        </w:tc>
      </w:tr>
      <w:tr w:rsidR="00A04347" w:rsidRPr="00F27755" w14:paraId="38A727DB" w14:textId="77777777" w:rsidTr="00DE1EFA"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27D8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D9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 readings are outside linear range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DA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Co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ncentrate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/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dilute samples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to be in linear range</w:t>
            </w:r>
          </w:p>
        </w:tc>
      </w:tr>
    </w:tbl>
    <w:p w14:paraId="38A727DC" w14:textId="77777777" w:rsidR="00A04347" w:rsidRDefault="00A04347" w:rsidP="00A04347"/>
    <w:p w14:paraId="38A727DD" w14:textId="77777777" w:rsidR="00A04347" w:rsidRDefault="00A04347" w:rsidP="00A04347"/>
    <w:p w14:paraId="38A727DE" w14:textId="77777777" w:rsidR="00A04347" w:rsidRDefault="00A04347" w:rsidP="00A04347"/>
    <w:tbl>
      <w:tblPr>
        <w:tblW w:w="654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97"/>
        <w:gridCol w:w="2126"/>
        <w:gridCol w:w="3119"/>
      </w:tblGrid>
      <w:tr w:rsidR="00A04347" w:rsidRPr="002003DC" w14:paraId="38A727E2" w14:textId="77777777" w:rsidTr="00DE1EFA">
        <w:trPr>
          <w:trHeight w:val="30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7DF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lastRenderedPageBreak/>
              <w:t>Problem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E0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>Reason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E1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 xml:space="preserve"> Solution</w:t>
            </w:r>
          </w:p>
        </w:tc>
      </w:tr>
      <w:tr w:rsidR="00A04347" w:rsidRPr="00F27755" w14:paraId="38A727E6" w14:textId="77777777" w:rsidTr="00DE1EFA">
        <w:tblPrEx>
          <w:tblCellMar>
            <w:bottom w:w="0" w:type="dxa"/>
          </w:tblCellMar>
        </w:tblPrEx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27E3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 with inconsistent readings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E4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U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nsuitable sample type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E5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Refer to datasheet for details about incompatible samples</w:t>
            </w:r>
          </w:p>
        </w:tc>
      </w:tr>
      <w:tr w:rsidR="00A04347" w:rsidRPr="00F27755" w14:paraId="38A727EA" w14:textId="77777777" w:rsidTr="00DE1EFA">
        <w:tblPrEx>
          <w:tblCellMar>
            <w:bottom w:w="0" w:type="dxa"/>
          </w:tblCellMar>
        </w:tblPrEx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7E7" w14:textId="77777777" w:rsidR="00A04347" w:rsidRPr="002003DC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E8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Samples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prepared in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the wrong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buffer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E9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Use the ass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ay buffer provided (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or refer to datasheet for instructions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)</w:t>
            </w:r>
          </w:p>
        </w:tc>
      </w:tr>
      <w:tr w:rsidR="00A04347" w:rsidRPr="00F27755" w14:paraId="38A727EE" w14:textId="77777777" w:rsidTr="00DE1EFA">
        <w:tblPrEx>
          <w:tblCellMar>
            <w:bottom w:w="0" w:type="dxa"/>
          </w:tblCellMar>
        </w:tblPrEx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7EB" w14:textId="77777777" w:rsidR="00A04347" w:rsidRPr="002003DC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EC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not deproteinized (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if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indicated on datasheet)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ED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Use the </w:t>
            </w:r>
            <w:r w:rsidRPr="002056E4">
              <w:rPr>
                <w:rFonts w:eastAsia="Times New Roman" w:cs="Arial"/>
                <w:b/>
                <w:bCs/>
                <w:i/>
                <w:color w:val="000000"/>
                <w:szCs w:val="20"/>
                <w:lang w:val="en-GB" w:eastAsia="en-GB"/>
              </w:rPr>
              <w:t>10kDa spin column (ab93349)</w:t>
            </w:r>
          </w:p>
        </w:tc>
      </w:tr>
      <w:tr w:rsidR="00A04347" w:rsidRPr="00F27755" w14:paraId="38A727F2" w14:textId="77777777" w:rsidTr="00DE1EFA">
        <w:tblPrEx>
          <w:tblCellMar>
            <w:bottom w:w="0" w:type="dxa"/>
          </w:tblCellMar>
        </w:tblPrEx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7EF" w14:textId="77777777" w:rsidR="00A04347" w:rsidRPr="002003DC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F0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Cell/ tissue samples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not sufficiently homogenized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F1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Increase sonication time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/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number of strokes with the Dounce homogenizer</w:t>
            </w:r>
          </w:p>
        </w:tc>
      </w:tr>
      <w:tr w:rsidR="00A04347" w:rsidRPr="00F27755" w14:paraId="38A727F6" w14:textId="77777777" w:rsidTr="00DE1EFA">
        <w:tblPrEx>
          <w:tblCellMar>
            <w:bottom w:w="0" w:type="dxa"/>
          </w:tblCellMar>
        </w:tblPrEx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7F3" w14:textId="77777777" w:rsidR="00A04347" w:rsidRPr="002003DC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F4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Too many freeze-thaw cycles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F5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Aliquot samples to reduce the number of freeze-thaw cycles</w:t>
            </w:r>
          </w:p>
        </w:tc>
      </w:tr>
      <w:tr w:rsidR="00A04347" w:rsidRPr="00F27755" w14:paraId="38A727FA" w14:textId="77777777" w:rsidTr="00DE1EFA">
        <w:tblPrEx>
          <w:tblCellMar>
            <w:bottom w:w="0" w:type="dxa"/>
          </w:tblCellMar>
        </w:tblPrEx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7F7" w14:textId="77777777" w:rsidR="00A04347" w:rsidRPr="002003DC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F8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 contain impeding substances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F9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Troubleshoot </w:t>
            </w:r>
            <w:proofErr w:type="gramStart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and also</w:t>
            </w:r>
            <w:proofErr w:type="gramEnd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consider deproteinizing samples</w:t>
            </w:r>
          </w:p>
        </w:tc>
      </w:tr>
      <w:tr w:rsidR="00A04347" w:rsidRPr="00F27755" w14:paraId="38A727FE" w14:textId="77777777" w:rsidTr="00DE1EFA">
        <w:tblPrEx>
          <w:tblCellMar>
            <w:bottom w:w="0" w:type="dxa"/>
          </w:tblCellMar>
        </w:tblPrEx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7FB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FC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Samples are too old or incorrectly stored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FD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Use freshly made samples and store at recommended temperature until use</w:t>
            </w:r>
          </w:p>
        </w:tc>
      </w:tr>
      <w:tr w:rsidR="00A04347" w:rsidRPr="00F27755" w14:paraId="38A72802" w14:textId="77777777" w:rsidTr="00DE1EFA">
        <w:tblPrEx>
          <w:tblCellMar>
            <w:bottom w:w="0" w:type="dxa"/>
          </w:tblCellMar>
        </w:tblPrEx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27FF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Lower/ Higher readings in samples and standards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00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Not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fully thawed kit components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01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Wait for components to thaw completely and gently mix prior use</w:t>
            </w:r>
          </w:p>
        </w:tc>
      </w:tr>
      <w:tr w:rsidR="00A04347" w:rsidRPr="00F27755" w14:paraId="38A72806" w14:textId="77777777" w:rsidTr="00DE1EFA">
        <w:tblPrEx>
          <w:tblCellMar>
            <w:bottom w:w="0" w:type="dxa"/>
          </w:tblCellMar>
        </w:tblPrEx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2803" w14:textId="77777777" w:rsidR="00A04347" w:rsidRPr="002003DC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04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O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ut-of-date kit or incorrectly stored reagents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05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Always check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expiry date and store kit components as recommended on the datasheet</w:t>
            </w:r>
          </w:p>
        </w:tc>
      </w:tr>
      <w:tr w:rsidR="00A04347" w:rsidRPr="00F27755" w14:paraId="38A7280A" w14:textId="77777777" w:rsidTr="00DE1EFA">
        <w:tblPrEx>
          <w:tblCellMar>
            <w:bottom w:w="0" w:type="dxa"/>
          </w:tblCellMar>
        </w:tblPrEx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2807" w14:textId="77777777" w:rsidR="00A04347" w:rsidRPr="002003DC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08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R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eagents sit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ting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for extended periods on ice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09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Try to prepare a fresh reaction mix prior to each use</w:t>
            </w:r>
          </w:p>
        </w:tc>
      </w:tr>
      <w:tr w:rsidR="00A04347" w:rsidRPr="00F27755" w14:paraId="38A7280E" w14:textId="77777777" w:rsidTr="00DE1EFA">
        <w:tblPrEx>
          <w:tblCellMar>
            <w:bottom w:w="0" w:type="dxa"/>
          </w:tblCellMar>
        </w:tblPrEx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280B" w14:textId="77777777" w:rsidR="00A04347" w:rsidRPr="002003DC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0C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Incorrect incubation time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/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temperature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0D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Refer to datasheet for recommended incubation time and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/ or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temperature</w:t>
            </w:r>
          </w:p>
        </w:tc>
      </w:tr>
      <w:tr w:rsidR="00A04347" w:rsidRPr="00F27755" w14:paraId="38A72812" w14:textId="77777777" w:rsidTr="00DE1EFA">
        <w:tblPrEx>
          <w:tblCellMar>
            <w:bottom w:w="0" w:type="dxa"/>
          </w:tblCellMar>
        </w:tblPrEx>
        <w:trPr>
          <w:trHeight w:val="780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280F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10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Incorrect amounts used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11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Check pipette is calibrated correctly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(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always use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s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mallest volu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me pipette that can pipette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entire volume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)</w:t>
            </w:r>
          </w:p>
        </w:tc>
      </w:tr>
      <w:tr w:rsidR="00A04347" w:rsidRPr="00F27755" w14:paraId="38A72816" w14:textId="77777777" w:rsidTr="00DE1EFA">
        <w:tblPrEx>
          <w:tblCellMar>
            <w:bottom w:w="0" w:type="dxa"/>
          </w:tblCellMar>
        </w:tblPrEx>
        <w:trPr>
          <w:trHeight w:val="296"/>
        </w:trPr>
        <w:tc>
          <w:tcPr>
            <w:tcW w:w="12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13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lastRenderedPageBreak/>
              <w:t>Problem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14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>Reason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15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b/>
                <w:bCs/>
                <w:color w:val="000000"/>
                <w:szCs w:val="20"/>
                <w:lang w:val="en-GB" w:eastAsia="en-GB"/>
              </w:rPr>
              <w:t xml:space="preserve"> Solution</w:t>
            </w:r>
          </w:p>
        </w:tc>
      </w:tr>
      <w:tr w:rsidR="00A04347" w:rsidRPr="00F27755" w14:paraId="38A7281A" w14:textId="77777777" w:rsidTr="00DE1EFA">
        <w:tblPrEx>
          <w:tblCellMar>
            <w:bottom w:w="0" w:type="dxa"/>
          </w:tblCellMar>
        </w:tblPrEx>
        <w:trPr>
          <w:trHeight w:val="525"/>
        </w:trPr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2817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Standard curve is not linear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18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Not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fully thawed kit components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19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Wait for components to thaw com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pletely and gently mix prior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use</w:t>
            </w:r>
          </w:p>
        </w:tc>
      </w:tr>
      <w:tr w:rsidR="00A04347" w:rsidRPr="00F27755" w14:paraId="38A7281E" w14:textId="77777777" w:rsidTr="00DE1EFA">
        <w:tblPrEx>
          <w:tblCellMar>
            <w:bottom w:w="0" w:type="dxa"/>
          </w:tblCellMar>
        </w:tblPrEx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81B" w14:textId="77777777" w:rsidR="00A04347" w:rsidRPr="002003DC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1C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Pipetting errors when setting up the standard curve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1D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Try not to pipette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too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small volumes</w:t>
            </w:r>
          </w:p>
        </w:tc>
      </w:tr>
      <w:tr w:rsidR="00A04347" w:rsidRPr="00F27755" w14:paraId="38A72822" w14:textId="77777777" w:rsidTr="00DE1EFA">
        <w:tblPrEx>
          <w:tblCellMar>
            <w:bottom w:w="0" w:type="dxa"/>
          </w:tblCellMar>
        </w:tblPrEx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81F" w14:textId="77777777" w:rsidR="00A04347" w:rsidRPr="002003DC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20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Incorrect pipetting when preparing the reaction mix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21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Always prepare a master mix</w:t>
            </w:r>
          </w:p>
        </w:tc>
      </w:tr>
      <w:tr w:rsidR="00A04347" w:rsidRPr="00F27755" w14:paraId="38A72826" w14:textId="77777777" w:rsidTr="00DE1EFA">
        <w:tblPrEx>
          <w:tblCellMar>
            <w:bottom w:w="0" w:type="dxa"/>
          </w:tblCellMar>
        </w:tblPrEx>
        <w:trPr>
          <w:trHeight w:val="78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823" w14:textId="77777777" w:rsidR="00A04347" w:rsidRPr="002003DC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24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Air bubbles in wells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25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Air bubbles will interfere with readings; try to avoid </w:t>
            </w:r>
            <w:proofErr w:type="gramStart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producing  air</w:t>
            </w:r>
            <w:proofErr w:type="gramEnd"/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bubbles and always remove bubbles prior to reading plates</w:t>
            </w:r>
          </w:p>
        </w:tc>
      </w:tr>
      <w:tr w:rsidR="00A04347" w:rsidRPr="00F27755" w14:paraId="38A7282A" w14:textId="77777777" w:rsidTr="00DE1EFA">
        <w:tblPrEx>
          <w:tblCellMar>
            <w:bottom w:w="0" w:type="dxa"/>
          </w:tblCellMar>
        </w:tblPrEx>
        <w:trPr>
          <w:trHeight w:val="525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827" w14:textId="77777777" w:rsidR="00A04347" w:rsidRPr="002003DC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28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Concentration of 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standard stock 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incorrect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29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Recheck datasheet for recommended concentrations of standard stocks</w:t>
            </w:r>
          </w:p>
        </w:tc>
      </w:tr>
      <w:tr w:rsidR="00A04347" w:rsidRPr="00F27755" w14:paraId="38A7282E" w14:textId="77777777" w:rsidTr="00DE1EFA">
        <w:tblPrEx>
          <w:tblCellMar>
            <w:bottom w:w="0" w:type="dxa"/>
          </w:tblCellMar>
        </w:tblPrEx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82B" w14:textId="77777777" w:rsidR="00A04347" w:rsidRPr="002003DC" w:rsidRDefault="00A04347" w:rsidP="00DE1EFA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2C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Errors in standard curve calculations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2D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Refer to datasheet and re-check the calculations</w:t>
            </w:r>
          </w:p>
        </w:tc>
      </w:tr>
      <w:tr w:rsidR="00A04347" w:rsidRPr="00F27755" w14:paraId="38A72832" w14:textId="77777777" w:rsidTr="00DE1EFA">
        <w:tblPrEx>
          <w:tblCellMar>
            <w:bottom w:w="0" w:type="dxa"/>
          </w:tblCellMar>
        </w:tblPrEx>
        <w:trPr>
          <w:trHeight w:val="300"/>
        </w:trPr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82F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30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</w:t>
            </w:r>
            <w:r>
              <w:rPr>
                <w:rFonts w:eastAsia="Times New Roman" w:cs="Arial"/>
                <w:color w:val="000000"/>
                <w:szCs w:val="20"/>
                <w:lang w:val="en-GB" w:eastAsia="en-GB"/>
              </w:rPr>
              <w:t>e of</w:t>
            </w: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 xml:space="preserve"> other reagents than those provided with the kit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831" w14:textId="77777777" w:rsidR="00A04347" w:rsidRPr="002003DC" w:rsidRDefault="00A04347" w:rsidP="00DE1EFA">
            <w:pPr>
              <w:spacing w:before="0" w:line="240" w:lineRule="auto"/>
              <w:jc w:val="left"/>
              <w:rPr>
                <w:rFonts w:eastAsia="Times New Roman" w:cs="Arial"/>
                <w:color w:val="000000"/>
                <w:szCs w:val="20"/>
                <w:lang w:val="en-GB" w:eastAsia="en-GB"/>
              </w:rPr>
            </w:pPr>
            <w:r w:rsidRPr="002003DC">
              <w:rPr>
                <w:rFonts w:eastAsia="Times New Roman" w:cs="Arial"/>
                <w:color w:val="000000"/>
                <w:szCs w:val="20"/>
                <w:lang w:val="en-GB" w:eastAsia="en-GB"/>
              </w:rPr>
              <w:t>Use fresh components from the same kit</w:t>
            </w:r>
          </w:p>
        </w:tc>
      </w:tr>
    </w:tbl>
    <w:p w14:paraId="38A72833" w14:textId="77777777" w:rsidR="00A04347" w:rsidRPr="00527A16" w:rsidRDefault="00A04347" w:rsidP="00A04347"/>
    <w:p w14:paraId="38A72834" w14:textId="77777777" w:rsidR="00A04347" w:rsidRPr="00CE5CB3" w:rsidRDefault="00A04347" w:rsidP="00CE5CB3">
      <w:pPr>
        <w:spacing w:before="120" w:line="276" w:lineRule="auto"/>
        <w:rPr>
          <w:b/>
        </w:rPr>
      </w:pPr>
      <w:r>
        <w:rPr>
          <w:b/>
        </w:rPr>
        <w:t>For further technical questions p</w:t>
      </w:r>
      <w:r w:rsidRPr="00457A34">
        <w:rPr>
          <w:b/>
        </w:rPr>
        <w:t>lease do not hesitate to contact us by email (</w:t>
      </w:r>
      <w:hyperlink r:id="rId11" w:history="1">
        <w:r w:rsidRPr="00457A34">
          <w:rPr>
            <w:rStyle w:val="Hyperlink"/>
            <w:b/>
          </w:rPr>
          <w:t>technical@abcam.com</w:t>
        </w:r>
      </w:hyperlink>
      <w:r w:rsidRPr="00457A34">
        <w:rPr>
          <w:b/>
        </w:rPr>
        <w:t>) or phone (select “</w:t>
      </w:r>
      <w:r w:rsidRPr="00A4373F">
        <w:rPr>
          <w:b/>
          <w:i/>
        </w:rPr>
        <w:t>contact us</w:t>
      </w:r>
      <w:r w:rsidRPr="00457A34">
        <w:rPr>
          <w:b/>
        </w:rPr>
        <w:t xml:space="preserve">” on </w:t>
      </w:r>
      <w:hyperlink r:id="rId12" w:history="1">
        <w:r w:rsidRPr="00457A34">
          <w:rPr>
            <w:rStyle w:val="Hyperlink"/>
            <w:b/>
          </w:rPr>
          <w:t>www.abcam.com</w:t>
        </w:r>
      </w:hyperlink>
      <w:r w:rsidRPr="00457A34">
        <w:rPr>
          <w:b/>
        </w:rPr>
        <w:t xml:space="preserve"> for t</w:t>
      </w:r>
      <w:r>
        <w:rPr>
          <w:b/>
        </w:rPr>
        <w:t>he phone number for your region).</w:t>
      </w:r>
    </w:p>
    <w:p w14:paraId="38A72835" w14:textId="77777777" w:rsidR="006904DD" w:rsidRDefault="00472745">
      <w:pPr>
        <w:spacing w:before="0" w:line="240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38A72836" w14:textId="77777777" w:rsidR="006904DD" w:rsidRDefault="006904DD">
      <w:pPr>
        <w:spacing w:before="0" w:line="240" w:lineRule="auto"/>
        <w:jc w:val="left"/>
        <w:rPr>
          <w:lang w:val="en-GB"/>
        </w:rPr>
      </w:pPr>
      <w:r>
        <w:rPr>
          <w:lang w:val="en-GB"/>
        </w:rPr>
        <w:lastRenderedPageBreak/>
        <w:br w:type="page"/>
      </w:r>
    </w:p>
    <w:p w14:paraId="38A72837" w14:textId="77777777" w:rsidR="00B91CCF" w:rsidRDefault="00B91CCF">
      <w:pPr>
        <w:spacing w:before="0" w:line="240" w:lineRule="auto"/>
        <w:jc w:val="left"/>
        <w:rPr>
          <w:lang w:val="en-GB"/>
        </w:rPr>
      </w:pPr>
    </w:p>
    <w:p w14:paraId="38A72838" w14:textId="77777777" w:rsidR="00B91CCF" w:rsidRDefault="00B91CCF" w:rsidP="00B91CCF">
      <w:pPr>
        <w:spacing w:before="0" w:line="240" w:lineRule="auto"/>
        <w:jc w:val="left"/>
        <w:rPr>
          <w:b/>
          <w:sz w:val="24"/>
        </w:rPr>
      </w:pPr>
    </w:p>
    <w:p w14:paraId="38A72839" w14:textId="77777777" w:rsidR="00B91CCF" w:rsidRDefault="00B91CCF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67BE92A0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03889BD2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4D5CCD7B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4D3910CD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2527DDDF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5655F832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3FA5AD35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6631AB82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416AEDAC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5621A790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266BAA26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2D6951CE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4E85B324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0F1F5A4E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3DF490C9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7CE0BDBF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225814EA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7E21B706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3F2E4F9F" w14:textId="77777777" w:rsidR="00036EA6" w:rsidRDefault="00036EA6" w:rsidP="00B91CCF">
      <w:pPr>
        <w:spacing w:before="0" w:line="240" w:lineRule="auto"/>
        <w:ind w:left="284"/>
        <w:jc w:val="left"/>
        <w:rPr>
          <w:b/>
          <w:sz w:val="24"/>
        </w:rPr>
      </w:pPr>
    </w:p>
    <w:p w14:paraId="38A72857" w14:textId="77777777" w:rsidR="00B91CCF" w:rsidRPr="00B643FF" w:rsidRDefault="00B91CCF" w:rsidP="00B91CCF">
      <w:pPr>
        <w:spacing w:before="0" w:line="240" w:lineRule="auto"/>
        <w:jc w:val="left"/>
        <w:rPr>
          <w:sz w:val="16"/>
          <w:lang w:val="es-ES"/>
        </w:rPr>
      </w:pPr>
    </w:p>
    <w:p w14:paraId="598C48A0" w14:textId="77777777" w:rsidR="00036EA6" w:rsidRDefault="00036EA6" w:rsidP="00036EA6">
      <w:pPr>
        <w:spacing w:before="0" w:line="240" w:lineRule="auto"/>
        <w:jc w:val="left"/>
        <w:rPr>
          <w:rFonts w:cs="Arial"/>
          <w:b/>
          <w:bCs/>
          <w:sz w:val="24"/>
          <w:szCs w:val="32"/>
          <w:lang w:val="en-GB"/>
        </w:rPr>
      </w:pPr>
      <w:r w:rsidRPr="00036EA6">
        <w:rPr>
          <w:rFonts w:cs="Arial"/>
          <w:b/>
          <w:bCs/>
          <w:lang w:val="en-GB"/>
        </w:rPr>
        <w:t>Technical Support</w:t>
      </w:r>
    </w:p>
    <w:p w14:paraId="0319E1D6" w14:textId="77777777" w:rsidR="00036EA6" w:rsidRPr="00036EA6" w:rsidRDefault="00036EA6" w:rsidP="00036EA6">
      <w:pPr>
        <w:spacing w:before="0" w:line="240" w:lineRule="auto"/>
        <w:jc w:val="left"/>
        <w:rPr>
          <w:rFonts w:cs="Arial"/>
          <w:b/>
          <w:sz w:val="24"/>
          <w:szCs w:val="32"/>
          <w:lang w:val="en-GB"/>
        </w:rPr>
      </w:pPr>
    </w:p>
    <w:p w14:paraId="75CAFA76" w14:textId="77777777" w:rsidR="00036EA6" w:rsidRDefault="00036EA6" w:rsidP="00036EA6">
      <w:pPr>
        <w:spacing w:before="0" w:line="240" w:lineRule="auto"/>
        <w:jc w:val="left"/>
        <w:rPr>
          <w:rFonts w:cs="Arial"/>
          <w:bCs/>
          <w:lang w:val="en-GB"/>
        </w:rPr>
      </w:pPr>
      <w:r w:rsidRPr="00036EA6">
        <w:rPr>
          <w:rFonts w:cs="Arial"/>
          <w:bCs/>
          <w:lang w:val="en-GB"/>
        </w:rPr>
        <w:t>Copyright © 2023 Abcam. All Rights Reserved. The Abcam logo is a registered trademark. All information / detail is correct at time of going to print.</w:t>
      </w:r>
    </w:p>
    <w:p w14:paraId="4BB209AA" w14:textId="77777777" w:rsidR="00036EA6" w:rsidRPr="00036EA6" w:rsidRDefault="00036EA6" w:rsidP="00036EA6">
      <w:pPr>
        <w:spacing w:before="0" w:line="240" w:lineRule="auto"/>
        <w:jc w:val="left"/>
        <w:rPr>
          <w:rFonts w:cs="Arial"/>
          <w:bCs/>
          <w:lang w:val="en-GB"/>
        </w:rPr>
      </w:pPr>
    </w:p>
    <w:p w14:paraId="412307F3" w14:textId="77777777" w:rsidR="00036EA6" w:rsidRDefault="00036EA6" w:rsidP="00036EA6">
      <w:pPr>
        <w:spacing w:before="0" w:line="240" w:lineRule="auto"/>
        <w:jc w:val="left"/>
        <w:rPr>
          <w:rFonts w:cs="Arial"/>
          <w:bCs/>
          <w:lang w:val="en-GB"/>
        </w:rPr>
      </w:pPr>
      <w:r w:rsidRPr="00036EA6">
        <w:rPr>
          <w:rFonts w:cs="Arial"/>
          <w:bCs/>
          <w:lang w:val="en-GB"/>
        </w:rPr>
        <w:t xml:space="preserve">For all technical or commercial enquiries please go to: </w:t>
      </w:r>
    </w:p>
    <w:p w14:paraId="36CA9528" w14:textId="77777777" w:rsidR="00036EA6" w:rsidRDefault="00036EA6" w:rsidP="00036EA6">
      <w:pPr>
        <w:spacing w:before="0" w:line="240" w:lineRule="auto"/>
        <w:jc w:val="left"/>
        <w:rPr>
          <w:rFonts w:cs="Arial"/>
          <w:bCs/>
          <w:lang w:val="en-GB"/>
        </w:rPr>
      </w:pPr>
    </w:p>
    <w:p w14:paraId="06F786FE" w14:textId="0829A81D" w:rsidR="00036EA6" w:rsidRPr="00036EA6" w:rsidRDefault="005E2EF2" w:rsidP="00036EA6">
      <w:pPr>
        <w:spacing w:before="0" w:line="240" w:lineRule="auto"/>
        <w:jc w:val="left"/>
        <w:rPr>
          <w:rFonts w:cs="Arial"/>
          <w:bCs/>
          <w:lang w:val="en-GB"/>
        </w:rPr>
      </w:pPr>
      <w:hyperlink r:id="rId13" w:tgtFrame="_blank" w:tooltip="http://www.abcam.com/contactus" w:history="1">
        <w:r w:rsidR="00036EA6" w:rsidRPr="00036EA6">
          <w:rPr>
            <w:rStyle w:val="Hyperlink"/>
            <w:rFonts w:cs="Arial"/>
            <w:bCs/>
            <w:lang w:val="en-GB"/>
          </w:rPr>
          <w:t>www.abcam.com/contactus</w:t>
        </w:r>
      </w:hyperlink>
    </w:p>
    <w:p w14:paraId="61027724" w14:textId="77777777" w:rsidR="00036EA6" w:rsidRPr="00036EA6" w:rsidRDefault="005E2EF2" w:rsidP="00036EA6">
      <w:pPr>
        <w:spacing w:before="0" w:line="240" w:lineRule="auto"/>
        <w:jc w:val="left"/>
        <w:rPr>
          <w:rFonts w:cs="Arial"/>
          <w:bCs/>
          <w:lang w:val="en-GB"/>
        </w:rPr>
      </w:pPr>
      <w:hyperlink r:id="rId14" w:tgtFrame="_blank" w:tooltip="http://www.abcam.cn/contactus" w:history="1">
        <w:r w:rsidR="00036EA6" w:rsidRPr="00036EA6">
          <w:rPr>
            <w:rStyle w:val="Hyperlink"/>
            <w:rFonts w:cs="Arial"/>
            <w:bCs/>
            <w:lang w:val="en-GB"/>
          </w:rPr>
          <w:t>www.abcam.cn/contactus</w:t>
        </w:r>
      </w:hyperlink>
      <w:r w:rsidR="00036EA6" w:rsidRPr="00036EA6">
        <w:rPr>
          <w:rFonts w:cs="Arial"/>
          <w:bCs/>
          <w:lang w:val="en-GB"/>
        </w:rPr>
        <w:t xml:space="preserve"> (China)</w:t>
      </w:r>
    </w:p>
    <w:p w14:paraId="38A72863" w14:textId="639FBB01" w:rsidR="00DC1372" w:rsidRPr="00036EA6" w:rsidRDefault="005E2EF2" w:rsidP="00B91CCF">
      <w:pPr>
        <w:spacing w:before="0" w:line="240" w:lineRule="auto"/>
        <w:jc w:val="left"/>
        <w:rPr>
          <w:rFonts w:cs="Arial"/>
          <w:bCs/>
          <w:lang w:val="en-GB"/>
        </w:rPr>
      </w:pPr>
      <w:hyperlink r:id="rId15" w:tgtFrame="_blank" w:tooltip="https://www.abcam.co.jp/contactus" w:history="1">
        <w:r w:rsidR="00036EA6" w:rsidRPr="00036EA6">
          <w:rPr>
            <w:rStyle w:val="Hyperlink"/>
            <w:rFonts w:cs="Arial"/>
            <w:bCs/>
            <w:lang w:val="en-GB"/>
          </w:rPr>
          <w:t>www.abcam.co.jp/contactus</w:t>
        </w:r>
      </w:hyperlink>
      <w:r w:rsidR="00036EA6" w:rsidRPr="00036EA6">
        <w:rPr>
          <w:rFonts w:cs="Arial"/>
          <w:bCs/>
          <w:lang w:val="en-GB"/>
        </w:rPr>
        <w:t xml:space="preserve"> (Japan)</w:t>
      </w:r>
      <w:r w:rsidR="00B91CCF" w:rsidRPr="00B91CCF">
        <w:rPr>
          <w:b/>
          <w:noProof/>
          <w:sz w:val="16"/>
          <w:lang w:val="en-GB" w:eastAsia="en-GB"/>
        </w:rPr>
        <w:drawing>
          <wp:anchor distT="0" distB="0" distL="114300" distR="114300" simplePos="0" relativeHeight="251671040" behindDoc="1" locked="0" layoutInCell="1" allowOverlap="1" wp14:anchorId="38A72870" wp14:editId="38A72871">
            <wp:simplePos x="0" y="0"/>
            <wp:positionH relativeFrom="column">
              <wp:posOffset>2260733</wp:posOffset>
            </wp:positionH>
            <wp:positionV relativeFrom="page">
              <wp:posOffset>0</wp:posOffset>
            </wp:positionV>
            <wp:extent cx="2188077" cy="1967023"/>
            <wp:effectExtent l="19050" t="0" r="4445" b="0"/>
            <wp:wrapTight wrapText="bothSides">
              <wp:wrapPolygon edited="0">
                <wp:start x="-188" y="0"/>
                <wp:lineTo x="-188" y="21349"/>
                <wp:lineTo x="21644" y="21349"/>
                <wp:lineTo x="21644" y="0"/>
                <wp:lineTo x="-188" y="0"/>
              </wp:wrapPolygon>
            </wp:wrapTight>
            <wp:docPr id="3" name="Picture 16" descr="Abcam_Logo_35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bcam_Logo_35m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9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C1372" w:rsidRPr="00036EA6" w:rsidSect="00DC1372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7920" w:h="12240"/>
      <w:pgMar w:top="1418" w:right="907" w:bottom="1418" w:left="907" w:header="708" w:footer="737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2877" w14:textId="77777777" w:rsidR="00F2182D" w:rsidRDefault="00F2182D" w:rsidP="00DC1372">
      <w:r>
        <w:separator/>
      </w:r>
    </w:p>
  </w:endnote>
  <w:endnote w:type="continuationSeparator" w:id="0">
    <w:p w14:paraId="38A72878" w14:textId="77777777" w:rsidR="00F2182D" w:rsidRDefault="00F2182D" w:rsidP="00DC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altName w:val="MS Mincho"/>
    <w:panose1 w:val="00000000000000000000"/>
    <w:charset w:val="80"/>
    <w:family w:val="roman"/>
    <w:notTrueType/>
    <w:pitch w:val="default"/>
    <w:sig w:usb0="00000000" w:usb1="00000000" w:usb2="01000407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287B" w14:textId="77777777" w:rsidR="00F2182D" w:rsidRDefault="00F15371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18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182D">
      <w:rPr>
        <w:rStyle w:val="PageNumber"/>
        <w:noProof/>
      </w:rPr>
      <w:t>27</w:t>
    </w:r>
    <w:r>
      <w:rPr>
        <w:rStyle w:val="PageNumber"/>
      </w:rPr>
      <w:fldChar w:fldCharType="end"/>
    </w:r>
  </w:p>
  <w:p w14:paraId="38A7287C" w14:textId="77777777" w:rsidR="00F2182D" w:rsidRDefault="00F2182D" w:rsidP="00DC13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287D" w14:textId="77777777" w:rsidR="00F2182D" w:rsidRPr="0001222D" w:rsidRDefault="00F15371" w:rsidP="00DC1372">
    <w:pPr>
      <w:pStyle w:val="Footer"/>
      <w:framePr w:wrap="around" w:vAnchor="text" w:hAnchor="margin" w:xAlign="right" w:y="1"/>
      <w:rPr>
        <w:rStyle w:val="PageNumber"/>
      </w:rPr>
    </w:pPr>
    <w:r w:rsidRPr="0001222D">
      <w:rPr>
        <w:rStyle w:val="PageNumber"/>
      </w:rPr>
      <w:fldChar w:fldCharType="begin"/>
    </w:r>
    <w:r w:rsidR="00F2182D" w:rsidRPr="0001222D">
      <w:rPr>
        <w:rStyle w:val="PageNumber"/>
      </w:rPr>
      <w:instrText>PAGE</w:instrText>
    </w:r>
    <w:r w:rsidRPr="0001222D">
      <w:rPr>
        <w:rStyle w:val="PageNumber"/>
      </w:rPr>
      <w:fldChar w:fldCharType="separate"/>
    </w:r>
    <w:r w:rsidR="001A53CA">
      <w:rPr>
        <w:rStyle w:val="PageNumber"/>
        <w:noProof/>
      </w:rPr>
      <w:t>13</w:t>
    </w:r>
    <w:r w:rsidRPr="0001222D">
      <w:rPr>
        <w:rStyle w:val="PageNumber"/>
      </w:rPr>
      <w:fldChar w:fldCharType="end"/>
    </w:r>
  </w:p>
  <w:p w14:paraId="38A7287E" w14:textId="77777777" w:rsidR="00F2182D" w:rsidRDefault="00F2182D" w:rsidP="00DC1372">
    <w:pPr>
      <w:pStyle w:val="Footer"/>
      <w:ind w:right="360"/>
      <w:jc w:val="center"/>
    </w:pPr>
  </w:p>
  <w:p w14:paraId="38A7287F" w14:textId="77777777" w:rsidR="00F2182D" w:rsidRDefault="00F2182D" w:rsidP="00DC137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2880" w14:textId="3C6BC5D9" w:rsidR="00F2182D" w:rsidRDefault="00F2182D">
    <w:pPr>
      <w:pStyle w:val="Footer"/>
    </w:pPr>
    <w:r>
      <w:t xml:space="preserve">Version </w:t>
    </w:r>
    <w:r w:rsidR="00090B1C">
      <w:t>3</w:t>
    </w:r>
    <w:r w:rsidR="0061299A">
      <w:t>a,</w:t>
    </w:r>
    <w:r>
      <w:t xml:space="preserve"> Last Updated</w:t>
    </w:r>
    <w:r w:rsidR="0061299A">
      <w:t xml:space="preserve"> </w:t>
    </w:r>
    <w:r w:rsidR="0061299A">
      <w:fldChar w:fldCharType="begin"/>
    </w:r>
    <w:r w:rsidR="0061299A">
      <w:instrText xml:space="preserve"> DATE \@ "d MMMM yyyy" </w:instrText>
    </w:r>
    <w:r w:rsidR="0061299A">
      <w:fldChar w:fldCharType="separate"/>
    </w:r>
    <w:r w:rsidR="005E2EF2">
      <w:rPr>
        <w:noProof/>
      </w:rPr>
      <w:t>21 August 2023</w:t>
    </w:r>
    <w:r w:rsidR="006129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2875" w14:textId="77777777" w:rsidR="00F2182D" w:rsidRDefault="00F2182D" w:rsidP="00DC1372">
      <w:r>
        <w:separator/>
      </w:r>
    </w:p>
  </w:footnote>
  <w:footnote w:type="continuationSeparator" w:id="0">
    <w:p w14:paraId="38A72876" w14:textId="77777777" w:rsidR="00F2182D" w:rsidRDefault="00F2182D" w:rsidP="00DC1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2879" w14:textId="77777777" w:rsidR="00F2182D" w:rsidRDefault="005E2EF2">
    <w:pPr>
      <w:pStyle w:val="Header"/>
    </w:pPr>
    <w:r>
      <w:rPr>
        <w:noProof/>
      </w:rPr>
      <w:pict w14:anchorId="38A72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left:0;text-align:left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287A" w14:textId="77777777" w:rsidR="00F2182D" w:rsidRPr="00885DC3" w:rsidRDefault="00F2182D" w:rsidP="00DC1372">
    <w:pPr>
      <w:pStyle w:val="Header"/>
      <w:tabs>
        <w:tab w:val="clear" w:pos="4320"/>
        <w:tab w:val="clear" w:pos="8640"/>
        <w:tab w:val="left" w:pos="0"/>
      </w:tabs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66512"/>
    <w:multiLevelType w:val="multilevel"/>
    <w:tmpl w:val="EBA0E47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1C46C1"/>
    <w:multiLevelType w:val="hybridMultilevel"/>
    <w:tmpl w:val="205264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687F33"/>
    <w:multiLevelType w:val="hybridMultilevel"/>
    <w:tmpl w:val="CF86FA3C"/>
    <w:lvl w:ilvl="0" w:tplc="2F6252E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976C82"/>
    <w:multiLevelType w:val="hybridMultilevel"/>
    <w:tmpl w:val="19E26A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63744"/>
    <w:multiLevelType w:val="hybridMultilevel"/>
    <w:tmpl w:val="A412D064"/>
    <w:lvl w:ilvl="0" w:tplc="078CE354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04311D"/>
    <w:multiLevelType w:val="hybridMultilevel"/>
    <w:tmpl w:val="1158C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94577B7"/>
    <w:multiLevelType w:val="hybridMultilevel"/>
    <w:tmpl w:val="0D74999E"/>
    <w:lvl w:ilvl="0" w:tplc="BD1ED6B6">
      <w:start w:val="1"/>
      <w:numFmt w:val="lowerLetter"/>
      <w:lvlText w:val="%1)"/>
      <w:lvlJc w:val="left"/>
      <w:pPr>
        <w:ind w:left="1361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81" w:hanging="360"/>
      </w:pPr>
    </w:lvl>
    <w:lvl w:ilvl="2" w:tplc="0809001B" w:tentative="1">
      <w:start w:val="1"/>
      <w:numFmt w:val="lowerRoman"/>
      <w:lvlText w:val="%3."/>
      <w:lvlJc w:val="right"/>
      <w:pPr>
        <w:ind w:left="2801" w:hanging="180"/>
      </w:pPr>
    </w:lvl>
    <w:lvl w:ilvl="3" w:tplc="0809000F" w:tentative="1">
      <w:start w:val="1"/>
      <w:numFmt w:val="decimal"/>
      <w:lvlText w:val="%4."/>
      <w:lvlJc w:val="left"/>
      <w:pPr>
        <w:ind w:left="3521" w:hanging="360"/>
      </w:pPr>
    </w:lvl>
    <w:lvl w:ilvl="4" w:tplc="08090019" w:tentative="1">
      <w:start w:val="1"/>
      <w:numFmt w:val="lowerLetter"/>
      <w:lvlText w:val="%5."/>
      <w:lvlJc w:val="left"/>
      <w:pPr>
        <w:ind w:left="4241" w:hanging="360"/>
      </w:pPr>
    </w:lvl>
    <w:lvl w:ilvl="5" w:tplc="0809001B" w:tentative="1">
      <w:start w:val="1"/>
      <w:numFmt w:val="lowerRoman"/>
      <w:lvlText w:val="%6."/>
      <w:lvlJc w:val="right"/>
      <w:pPr>
        <w:ind w:left="4961" w:hanging="180"/>
      </w:pPr>
    </w:lvl>
    <w:lvl w:ilvl="6" w:tplc="0809000F" w:tentative="1">
      <w:start w:val="1"/>
      <w:numFmt w:val="decimal"/>
      <w:lvlText w:val="%7."/>
      <w:lvlJc w:val="left"/>
      <w:pPr>
        <w:ind w:left="5681" w:hanging="360"/>
      </w:pPr>
    </w:lvl>
    <w:lvl w:ilvl="7" w:tplc="08090019" w:tentative="1">
      <w:start w:val="1"/>
      <w:numFmt w:val="lowerLetter"/>
      <w:lvlText w:val="%8."/>
      <w:lvlJc w:val="left"/>
      <w:pPr>
        <w:ind w:left="6401" w:hanging="360"/>
      </w:pPr>
    </w:lvl>
    <w:lvl w:ilvl="8" w:tplc="080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9" w15:restartNumberingAfterBreak="0">
    <w:nsid w:val="2AD3159D"/>
    <w:multiLevelType w:val="hybridMultilevel"/>
    <w:tmpl w:val="DF766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76D80"/>
    <w:multiLevelType w:val="hybridMultilevel"/>
    <w:tmpl w:val="53D8F3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F64AF"/>
    <w:multiLevelType w:val="hybridMultilevel"/>
    <w:tmpl w:val="D926133E"/>
    <w:lvl w:ilvl="0" w:tplc="BD1ED6B6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464C0C38"/>
    <w:multiLevelType w:val="hybridMultilevel"/>
    <w:tmpl w:val="ED4A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A6AAD"/>
    <w:multiLevelType w:val="hybridMultilevel"/>
    <w:tmpl w:val="BEF8BE40"/>
    <w:lvl w:ilvl="0" w:tplc="47F28224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0043D"/>
    <w:multiLevelType w:val="hybridMultilevel"/>
    <w:tmpl w:val="B2C2420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959CF"/>
    <w:multiLevelType w:val="hybridMultilevel"/>
    <w:tmpl w:val="109C6EC6"/>
    <w:lvl w:ilvl="0" w:tplc="2D50D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43D8E"/>
    <w:multiLevelType w:val="hybridMultilevel"/>
    <w:tmpl w:val="CF86FA3C"/>
    <w:lvl w:ilvl="0" w:tplc="2F6252E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C7121D3"/>
    <w:multiLevelType w:val="hybridMultilevel"/>
    <w:tmpl w:val="C61E1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31BC1"/>
    <w:multiLevelType w:val="hybridMultilevel"/>
    <w:tmpl w:val="BEF8BE40"/>
    <w:lvl w:ilvl="0" w:tplc="47F28224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E6CD2"/>
    <w:multiLevelType w:val="hybridMultilevel"/>
    <w:tmpl w:val="E1F037DA"/>
    <w:lvl w:ilvl="0" w:tplc="CDDE3C3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B102179"/>
    <w:multiLevelType w:val="hybridMultilevel"/>
    <w:tmpl w:val="970C2128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6D3713E6"/>
    <w:multiLevelType w:val="hybridMultilevel"/>
    <w:tmpl w:val="35F6963E"/>
    <w:lvl w:ilvl="0" w:tplc="8E32A88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015E50"/>
    <w:multiLevelType w:val="hybridMultilevel"/>
    <w:tmpl w:val="984AB2DE"/>
    <w:lvl w:ilvl="0" w:tplc="7C3689A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E31FE4"/>
    <w:multiLevelType w:val="hybridMultilevel"/>
    <w:tmpl w:val="3D845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F526B"/>
    <w:multiLevelType w:val="hybridMultilevel"/>
    <w:tmpl w:val="B2F87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小塚ゴシック Pro R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小塚ゴシック Pro R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小塚ゴシック Pro R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88674">
    <w:abstractNumId w:val="5"/>
  </w:num>
  <w:num w:numId="2" w16cid:durableId="999427012">
    <w:abstractNumId w:val="0"/>
  </w:num>
  <w:num w:numId="3" w16cid:durableId="564607071">
    <w:abstractNumId w:val="11"/>
  </w:num>
  <w:num w:numId="4" w16cid:durableId="622007405">
    <w:abstractNumId w:val="7"/>
  </w:num>
  <w:num w:numId="5" w16cid:durableId="1608082362">
    <w:abstractNumId w:val="24"/>
  </w:num>
  <w:num w:numId="6" w16cid:durableId="1016273361">
    <w:abstractNumId w:val="7"/>
    <w:lvlOverride w:ilvl="0">
      <w:startOverride w:val="1"/>
    </w:lvlOverride>
  </w:num>
  <w:num w:numId="7" w16cid:durableId="321012056">
    <w:abstractNumId w:val="7"/>
    <w:lvlOverride w:ilvl="0">
      <w:startOverride w:val="1"/>
    </w:lvlOverride>
  </w:num>
  <w:num w:numId="8" w16cid:durableId="465709354">
    <w:abstractNumId w:val="20"/>
  </w:num>
  <w:num w:numId="9" w16cid:durableId="266930083">
    <w:abstractNumId w:val="9"/>
  </w:num>
  <w:num w:numId="10" w16cid:durableId="990134431">
    <w:abstractNumId w:val="2"/>
  </w:num>
  <w:num w:numId="11" w16cid:durableId="701706464">
    <w:abstractNumId w:val="25"/>
  </w:num>
  <w:num w:numId="12" w16cid:durableId="899445142">
    <w:abstractNumId w:val="4"/>
  </w:num>
  <w:num w:numId="13" w16cid:durableId="2034920851">
    <w:abstractNumId w:val="0"/>
  </w:num>
  <w:num w:numId="14" w16cid:durableId="1876773124">
    <w:abstractNumId w:val="22"/>
  </w:num>
  <w:num w:numId="15" w16cid:durableId="835220520">
    <w:abstractNumId w:val="0"/>
  </w:num>
  <w:num w:numId="16" w16cid:durableId="2093310820">
    <w:abstractNumId w:val="0"/>
  </w:num>
  <w:num w:numId="17" w16cid:durableId="1069569973">
    <w:abstractNumId w:val="0"/>
  </w:num>
  <w:num w:numId="18" w16cid:durableId="520316559">
    <w:abstractNumId w:val="0"/>
  </w:num>
  <w:num w:numId="19" w16cid:durableId="1656254740">
    <w:abstractNumId w:val="21"/>
  </w:num>
  <w:num w:numId="20" w16cid:durableId="1151172243">
    <w:abstractNumId w:val="15"/>
  </w:num>
  <w:num w:numId="21" w16cid:durableId="507790422">
    <w:abstractNumId w:val="16"/>
  </w:num>
  <w:num w:numId="22" w16cid:durableId="1937862244">
    <w:abstractNumId w:val="23"/>
  </w:num>
  <w:num w:numId="23" w16cid:durableId="2053653621">
    <w:abstractNumId w:val="5"/>
  </w:num>
  <w:num w:numId="24" w16cid:durableId="1560702698">
    <w:abstractNumId w:val="5"/>
  </w:num>
  <w:num w:numId="25" w16cid:durableId="216093014">
    <w:abstractNumId w:val="5"/>
  </w:num>
  <w:num w:numId="26" w16cid:durableId="1325090069">
    <w:abstractNumId w:val="5"/>
  </w:num>
  <w:num w:numId="27" w16cid:durableId="740181755">
    <w:abstractNumId w:val="5"/>
  </w:num>
  <w:num w:numId="28" w16cid:durableId="1910074053">
    <w:abstractNumId w:val="6"/>
  </w:num>
  <w:num w:numId="29" w16cid:durableId="998384346">
    <w:abstractNumId w:val="10"/>
  </w:num>
  <w:num w:numId="30" w16cid:durableId="149105871">
    <w:abstractNumId w:val="3"/>
  </w:num>
  <w:num w:numId="31" w16cid:durableId="387344968">
    <w:abstractNumId w:val="18"/>
  </w:num>
  <w:num w:numId="32" w16cid:durableId="234365187">
    <w:abstractNumId w:val="13"/>
  </w:num>
  <w:num w:numId="33" w16cid:durableId="865407467">
    <w:abstractNumId w:val="5"/>
  </w:num>
  <w:num w:numId="34" w16cid:durableId="1096632671">
    <w:abstractNumId w:val="5"/>
  </w:num>
  <w:num w:numId="35" w16cid:durableId="736517257">
    <w:abstractNumId w:val="5"/>
  </w:num>
  <w:num w:numId="36" w16cid:durableId="125858676">
    <w:abstractNumId w:val="1"/>
  </w:num>
  <w:num w:numId="37" w16cid:durableId="823007692">
    <w:abstractNumId w:val="8"/>
  </w:num>
  <w:num w:numId="38" w16cid:durableId="507257687">
    <w:abstractNumId w:val="17"/>
  </w:num>
  <w:num w:numId="39" w16cid:durableId="279999681">
    <w:abstractNumId w:val="14"/>
  </w:num>
  <w:num w:numId="40" w16cid:durableId="1577207262">
    <w:abstractNumId w:val="19"/>
  </w:num>
  <w:num w:numId="41" w16cid:durableId="8642536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E0"/>
    <w:rsid w:val="00023E6B"/>
    <w:rsid w:val="00024E02"/>
    <w:rsid w:val="0003527E"/>
    <w:rsid w:val="00036A61"/>
    <w:rsid w:val="00036EA6"/>
    <w:rsid w:val="000519C2"/>
    <w:rsid w:val="000519FA"/>
    <w:rsid w:val="00090B1C"/>
    <w:rsid w:val="000A3896"/>
    <w:rsid w:val="000B3F8D"/>
    <w:rsid w:val="000B52CA"/>
    <w:rsid w:val="000C104B"/>
    <w:rsid w:val="000C1244"/>
    <w:rsid w:val="000C669F"/>
    <w:rsid w:val="000C6F6B"/>
    <w:rsid w:val="000D20C1"/>
    <w:rsid w:val="000D4E5A"/>
    <w:rsid w:val="000D5F99"/>
    <w:rsid w:val="000D6C9F"/>
    <w:rsid w:val="000D766B"/>
    <w:rsid w:val="000F2781"/>
    <w:rsid w:val="00103D57"/>
    <w:rsid w:val="001326E7"/>
    <w:rsid w:val="00146054"/>
    <w:rsid w:val="0015443A"/>
    <w:rsid w:val="00163246"/>
    <w:rsid w:val="001A53CA"/>
    <w:rsid w:val="001C5D1C"/>
    <w:rsid w:val="001C6209"/>
    <w:rsid w:val="001C6CF5"/>
    <w:rsid w:val="001E0FCF"/>
    <w:rsid w:val="001E1414"/>
    <w:rsid w:val="001E1C4E"/>
    <w:rsid w:val="002073A6"/>
    <w:rsid w:val="00220404"/>
    <w:rsid w:val="00231C71"/>
    <w:rsid w:val="0024759B"/>
    <w:rsid w:val="002667D3"/>
    <w:rsid w:val="00280407"/>
    <w:rsid w:val="00280E03"/>
    <w:rsid w:val="0028432F"/>
    <w:rsid w:val="0029034E"/>
    <w:rsid w:val="002A2264"/>
    <w:rsid w:val="002B5E4C"/>
    <w:rsid w:val="002C45F9"/>
    <w:rsid w:val="002D28E9"/>
    <w:rsid w:val="00341AEA"/>
    <w:rsid w:val="00373E7C"/>
    <w:rsid w:val="0038759E"/>
    <w:rsid w:val="00393958"/>
    <w:rsid w:val="003B587F"/>
    <w:rsid w:val="003C1D02"/>
    <w:rsid w:val="003D16E7"/>
    <w:rsid w:val="003F05AE"/>
    <w:rsid w:val="00411175"/>
    <w:rsid w:val="00417FCE"/>
    <w:rsid w:val="004247B9"/>
    <w:rsid w:val="00436E40"/>
    <w:rsid w:val="004426CE"/>
    <w:rsid w:val="00445BED"/>
    <w:rsid w:val="00455662"/>
    <w:rsid w:val="004724CD"/>
    <w:rsid w:val="00472745"/>
    <w:rsid w:val="00482CB4"/>
    <w:rsid w:val="00495F55"/>
    <w:rsid w:val="004C0B76"/>
    <w:rsid w:val="004D41B8"/>
    <w:rsid w:val="004E30DE"/>
    <w:rsid w:val="004E6E53"/>
    <w:rsid w:val="00503C3E"/>
    <w:rsid w:val="00532D6D"/>
    <w:rsid w:val="005377B7"/>
    <w:rsid w:val="00542454"/>
    <w:rsid w:val="005443E8"/>
    <w:rsid w:val="00552C02"/>
    <w:rsid w:val="00561DB9"/>
    <w:rsid w:val="005838A1"/>
    <w:rsid w:val="00585F79"/>
    <w:rsid w:val="005A27D3"/>
    <w:rsid w:val="005A523C"/>
    <w:rsid w:val="005B4251"/>
    <w:rsid w:val="005C65DF"/>
    <w:rsid w:val="005C7DD2"/>
    <w:rsid w:val="005D5667"/>
    <w:rsid w:val="005E2EF2"/>
    <w:rsid w:val="0060672E"/>
    <w:rsid w:val="0061299A"/>
    <w:rsid w:val="00635D1A"/>
    <w:rsid w:val="00635D38"/>
    <w:rsid w:val="00645C99"/>
    <w:rsid w:val="0064683A"/>
    <w:rsid w:val="00661167"/>
    <w:rsid w:val="006648B2"/>
    <w:rsid w:val="006904DD"/>
    <w:rsid w:val="006A4395"/>
    <w:rsid w:val="0070142F"/>
    <w:rsid w:val="00706C7D"/>
    <w:rsid w:val="007325F3"/>
    <w:rsid w:val="00736187"/>
    <w:rsid w:val="007630BC"/>
    <w:rsid w:val="00764C38"/>
    <w:rsid w:val="0077065B"/>
    <w:rsid w:val="007825DF"/>
    <w:rsid w:val="00782F32"/>
    <w:rsid w:val="00790775"/>
    <w:rsid w:val="007B32E7"/>
    <w:rsid w:val="007D0E68"/>
    <w:rsid w:val="007D1D2E"/>
    <w:rsid w:val="007E5747"/>
    <w:rsid w:val="007E6BD8"/>
    <w:rsid w:val="007F2573"/>
    <w:rsid w:val="00805F73"/>
    <w:rsid w:val="008471BE"/>
    <w:rsid w:val="00857E42"/>
    <w:rsid w:val="008927D2"/>
    <w:rsid w:val="008A0916"/>
    <w:rsid w:val="008B2920"/>
    <w:rsid w:val="008C226E"/>
    <w:rsid w:val="008F132A"/>
    <w:rsid w:val="00901E8F"/>
    <w:rsid w:val="009178FB"/>
    <w:rsid w:val="00920CA4"/>
    <w:rsid w:val="0094350E"/>
    <w:rsid w:val="00954358"/>
    <w:rsid w:val="009636A4"/>
    <w:rsid w:val="00966ABE"/>
    <w:rsid w:val="00971D31"/>
    <w:rsid w:val="009A29E9"/>
    <w:rsid w:val="009A373F"/>
    <w:rsid w:val="009C1E8B"/>
    <w:rsid w:val="009C516D"/>
    <w:rsid w:val="009C64B7"/>
    <w:rsid w:val="009E28BB"/>
    <w:rsid w:val="00A0126A"/>
    <w:rsid w:val="00A04347"/>
    <w:rsid w:val="00A23B7A"/>
    <w:rsid w:val="00A32193"/>
    <w:rsid w:val="00A33F91"/>
    <w:rsid w:val="00A51415"/>
    <w:rsid w:val="00A61EE0"/>
    <w:rsid w:val="00A835F2"/>
    <w:rsid w:val="00A8599D"/>
    <w:rsid w:val="00A93842"/>
    <w:rsid w:val="00A94C88"/>
    <w:rsid w:val="00AA1876"/>
    <w:rsid w:val="00AC317B"/>
    <w:rsid w:val="00AC6B42"/>
    <w:rsid w:val="00AF0F20"/>
    <w:rsid w:val="00B15EFF"/>
    <w:rsid w:val="00B23BC1"/>
    <w:rsid w:val="00B26D5E"/>
    <w:rsid w:val="00B60C91"/>
    <w:rsid w:val="00B8255E"/>
    <w:rsid w:val="00B91CCF"/>
    <w:rsid w:val="00BC59B4"/>
    <w:rsid w:val="00BD0808"/>
    <w:rsid w:val="00BD0914"/>
    <w:rsid w:val="00BD3F29"/>
    <w:rsid w:val="00BD7501"/>
    <w:rsid w:val="00BE58DB"/>
    <w:rsid w:val="00C12998"/>
    <w:rsid w:val="00C14771"/>
    <w:rsid w:val="00C21999"/>
    <w:rsid w:val="00C24D5D"/>
    <w:rsid w:val="00C33A74"/>
    <w:rsid w:val="00C51E3B"/>
    <w:rsid w:val="00C93C9C"/>
    <w:rsid w:val="00C9475B"/>
    <w:rsid w:val="00CA1DBF"/>
    <w:rsid w:val="00CC679F"/>
    <w:rsid w:val="00CE29BA"/>
    <w:rsid w:val="00CE4C72"/>
    <w:rsid w:val="00CE5CB3"/>
    <w:rsid w:val="00CF6E26"/>
    <w:rsid w:val="00D00968"/>
    <w:rsid w:val="00D2466E"/>
    <w:rsid w:val="00D268F2"/>
    <w:rsid w:val="00D36450"/>
    <w:rsid w:val="00D50132"/>
    <w:rsid w:val="00D507D6"/>
    <w:rsid w:val="00D60750"/>
    <w:rsid w:val="00D6414F"/>
    <w:rsid w:val="00D81566"/>
    <w:rsid w:val="00D85A54"/>
    <w:rsid w:val="00D877AA"/>
    <w:rsid w:val="00DC1372"/>
    <w:rsid w:val="00DC6219"/>
    <w:rsid w:val="00DD5F77"/>
    <w:rsid w:val="00DE1EFA"/>
    <w:rsid w:val="00DE741B"/>
    <w:rsid w:val="00DF3624"/>
    <w:rsid w:val="00DF4C22"/>
    <w:rsid w:val="00DF7F1B"/>
    <w:rsid w:val="00E4214E"/>
    <w:rsid w:val="00E44816"/>
    <w:rsid w:val="00E51527"/>
    <w:rsid w:val="00E55FC4"/>
    <w:rsid w:val="00E76A62"/>
    <w:rsid w:val="00E80001"/>
    <w:rsid w:val="00E81CD2"/>
    <w:rsid w:val="00E8302D"/>
    <w:rsid w:val="00E87BB0"/>
    <w:rsid w:val="00E937FF"/>
    <w:rsid w:val="00E95E43"/>
    <w:rsid w:val="00E95F99"/>
    <w:rsid w:val="00EC116D"/>
    <w:rsid w:val="00ED340F"/>
    <w:rsid w:val="00EF5BCD"/>
    <w:rsid w:val="00F15371"/>
    <w:rsid w:val="00F2182D"/>
    <w:rsid w:val="00F258E0"/>
    <w:rsid w:val="00F41510"/>
    <w:rsid w:val="00F67600"/>
    <w:rsid w:val="00F71B75"/>
    <w:rsid w:val="00F813CD"/>
    <w:rsid w:val="00F8655F"/>
    <w:rsid w:val="00F86C9D"/>
    <w:rsid w:val="00FA0504"/>
    <w:rsid w:val="00FF31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38A726D7"/>
  <w15:docId w15:val="{78E9ABE1-38E2-4ADF-8435-2524F422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911"/>
    <w:pPr>
      <w:spacing w:before="240" w:line="360" w:lineRule="auto"/>
      <w:jc w:val="both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35F"/>
    <w:pPr>
      <w:keepNext/>
      <w:keepLines/>
      <w:numPr>
        <w:numId w:val="1"/>
      </w:numPr>
      <w:pBdr>
        <w:bottom w:val="single" w:sz="4" w:space="1" w:color="auto"/>
      </w:pBdr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3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67235F"/>
    <w:rPr>
      <w:rFonts w:ascii="Arial" w:eastAsia="Times New Roman" w:hAnsi="Arial"/>
      <w:b/>
      <w:bCs/>
      <w:sz w:val="28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B1411"/>
    <w:pPr>
      <w:numPr>
        <w:numId w:val="0"/>
      </w:num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84375E"/>
    <w:pPr>
      <w:tabs>
        <w:tab w:val="left" w:pos="440"/>
        <w:tab w:val="right" w:pos="609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2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Arial" w:eastAsia="Times New Roman" w:hAnsi="Arial" w:cs="Times New Roman"/>
      <w:bCs/>
      <w:sz w:val="20"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4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Arial" w:hAnsi="Arial"/>
      <w:iCs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  <w:jc w:val="left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uiPriority w:val="34"/>
    <w:qFormat/>
    <w:rsid w:val="00220404"/>
    <w:pPr>
      <w:ind w:left="1440" w:hanging="360"/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36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5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bcam.com/contactu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abcam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chnical@abcam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bcam.co.jp/contactus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abcam.cn/contactu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c16c50c-ede5-4694-94e0-ad2e4059390d}" enabled="0" method="" siteId="{5c16c50c-ede5-4694-94e0-ad2e405939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Alexandra Manoylova</cp:lastModifiedBy>
  <cp:revision>2</cp:revision>
  <cp:lastPrinted>2012-06-26T08:25:00Z</cp:lastPrinted>
  <dcterms:created xsi:type="dcterms:W3CDTF">2023-08-21T15:42:00Z</dcterms:created>
  <dcterms:modified xsi:type="dcterms:W3CDTF">2023-08-21T15:42:00Z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1</vt:i4>
  </property>
  <property fmtid="{D5CDD505-2E9C-101B-9397-08002B2CF9AE}" pid="3" name="Last updated">
    <vt:filetime>2013-08-04T23:00:00Z</vt:filetime>
  </property>
</Properties>
</file>