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EDF9" w14:textId="03B0928F" w:rsidR="00F97DC7" w:rsidRDefault="00F97DC7" w:rsidP="00F97DC7">
      <w:pPr>
        <w:spacing w:after="120"/>
        <w:jc w:val="center"/>
        <w:rPr>
          <w:rFonts w:ascii="Century Gothic" w:hAnsi="Century Gothic"/>
          <w:b/>
          <w:bCs/>
          <w:color w:val="000000" w:themeColor="text1"/>
        </w:rPr>
      </w:pPr>
      <w:r w:rsidRPr="00F97DC7">
        <w:rPr>
          <w:rFonts w:ascii="Century Gothic" w:hAnsi="Century Gothic"/>
          <w:b/>
          <w:bCs/>
          <w:color w:val="000000" w:themeColor="text1"/>
        </w:rPr>
        <w:t>ab197010</w:t>
      </w:r>
      <w:r>
        <w:rPr>
          <w:rFonts w:ascii="Century Gothic" w:hAnsi="Century Gothic"/>
          <w:b/>
          <w:bCs/>
          <w:color w:val="000000" w:themeColor="text1"/>
        </w:rPr>
        <w:t xml:space="preserve"> </w:t>
      </w:r>
      <w:r w:rsidRPr="00F97DC7">
        <w:rPr>
          <w:rFonts w:ascii="Century Gothic" w:hAnsi="Century Gothic"/>
          <w:b/>
          <w:bCs/>
          <w:color w:val="000000" w:themeColor="text1"/>
        </w:rPr>
        <w:t>MTS Cell Proliferation Assay Kit (Colorimetric)</w:t>
      </w:r>
    </w:p>
    <w:p w14:paraId="0E90EFB4" w14:textId="77777777" w:rsidR="00F97DC7" w:rsidRPr="00F97DC7" w:rsidRDefault="00F97DC7" w:rsidP="00E67060">
      <w:pPr>
        <w:autoSpaceDE w:val="0"/>
        <w:autoSpaceDN w:val="0"/>
        <w:adjustRightInd w:val="0"/>
        <w:spacing w:line="240" w:lineRule="auto"/>
        <w:jc w:val="center"/>
        <w:rPr>
          <w:rFonts w:ascii="Century Gothic" w:hAnsi="Century Gothic" w:cs="Arial"/>
          <w:sz w:val="16"/>
          <w:szCs w:val="16"/>
        </w:rPr>
      </w:pPr>
      <w:bookmarkStart w:id="0" w:name="_Toc446403813"/>
      <w:bookmarkStart w:id="1" w:name="_Toc49245752"/>
      <w:r w:rsidRPr="00F97DC7">
        <w:rPr>
          <w:rFonts w:ascii="Century Gothic" w:hAnsi="Century Gothic" w:cs="Arial"/>
          <w:sz w:val="16"/>
          <w:szCs w:val="16"/>
        </w:rPr>
        <w:t>For the rapid, sensitive and accurate measurement of cell proliferation.</w:t>
      </w:r>
      <w:hyperlink r:id="rId7">
        <w:r w:rsidRPr="00F97DC7">
          <w:rPr>
            <w:rFonts w:ascii="Century Gothic" w:hAnsi="Century Gothic"/>
            <w:color w:val="0563C1" w:themeColor="hyperlink"/>
            <w:sz w:val="16"/>
            <w:szCs w:val="16"/>
            <w:u w:val="single"/>
          </w:rPr>
          <w:br/>
        </w:r>
        <w:r w:rsidRPr="00F97DC7">
          <w:rPr>
            <w:rFonts w:ascii="Century Gothic" w:hAnsi="Century Gothic"/>
            <w:color w:val="0563C1" w:themeColor="hyperlink"/>
            <w:sz w:val="16"/>
            <w:szCs w:val="16"/>
            <w:u w:val="single"/>
          </w:rPr>
          <w:br/>
          <w:t>View kit datasheet: www.abcam.com/ab197010</w:t>
        </w:r>
      </w:hyperlink>
      <w:r w:rsidRPr="00F97DC7">
        <w:rPr>
          <w:rFonts w:ascii="Century Gothic" w:hAnsi="Century Gothic"/>
          <w:sz w:val="16"/>
          <w:szCs w:val="16"/>
        </w:rPr>
        <w:br/>
        <w:t xml:space="preserve">(use </w:t>
      </w:r>
      <w:hyperlink r:id="rId8">
        <w:r w:rsidRPr="00F97DC7">
          <w:rPr>
            <w:rFonts w:ascii="Century Gothic" w:hAnsi="Century Gothic"/>
            <w:color w:val="0563C1" w:themeColor="hyperlink"/>
            <w:sz w:val="16"/>
            <w:szCs w:val="16"/>
            <w:u w:val="single"/>
          </w:rPr>
          <w:t>www.abcam.cn/ab197010</w:t>
        </w:r>
      </w:hyperlink>
      <w:r w:rsidRPr="00F97DC7">
        <w:rPr>
          <w:rFonts w:ascii="Century Gothic" w:hAnsi="Century Gothic"/>
          <w:sz w:val="16"/>
          <w:szCs w:val="16"/>
        </w:rPr>
        <w:t xml:space="preserve"> for China, or </w:t>
      </w:r>
      <w:hyperlink r:id="rId9">
        <w:r w:rsidRPr="00F97DC7">
          <w:rPr>
            <w:rFonts w:ascii="Century Gothic" w:hAnsi="Century Gothic"/>
            <w:color w:val="0563C1" w:themeColor="hyperlink"/>
            <w:sz w:val="16"/>
            <w:szCs w:val="16"/>
            <w:u w:val="single"/>
          </w:rPr>
          <w:t>www.abcam.co.jp/ab197010</w:t>
        </w:r>
      </w:hyperlink>
      <w:r w:rsidRPr="00F97DC7">
        <w:rPr>
          <w:rFonts w:ascii="Century Gothic" w:hAnsi="Century Gothic"/>
          <w:sz w:val="16"/>
          <w:szCs w:val="16"/>
        </w:rPr>
        <w:t xml:space="preserve"> for Japan)</w:t>
      </w:r>
    </w:p>
    <w:p w14:paraId="0CB9EAEF" w14:textId="5729F630" w:rsidR="0035246C" w:rsidRDefault="0035246C" w:rsidP="00B61751">
      <w:pPr>
        <w:spacing w:after="120"/>
        <w:jc w:val="center"/>
        <w:rPr>
          <w:rFonts w:ascii="Century Gothic" w:hAnsi="Century Gothic" w:cstheme="majorHAnsi"/>
          <w:sz w:val="16"/>
          <w:szCs w:val="16"/>
        </w:rPr>
      </w:pPr>
      <w:r w:rsidRPr="00F97DC7">
        <w:rPr>
          <w:rFonts w:ascii="Century Gothic" w:hAnsi="Century Gothic" w:cstheme="majorHAnsi"/>
          <w:sz w:val="16"/>
          <w:szCs w:val="16"/>
        </w:rPr>
        <w:t>This product is for research use only and is not intended</w:t>
      </w:r>
      <w:r w:rsidRPr="00A67025">
        <w:rPr>
          <w:rFonts w:ascii="Century Gothic" w:hAnsi="Century Gothic" w:cstheme="majorHAnsi"/>
          <w:sz w:val="16"/>
          <w:szCs w:val="16"/>
        </w:rPr>
        <w:t xml:space="preserve"> for diagnostic </w:t>
      </w:r>
      <w:proofErr w:type="gramStart"/>
      <w:r w:rsidRPr="00A67025">
        <w:rPr>
          <w:rFonts w:ascii="Century Gothic" w:hAnsi="Century Gothic" w:cstheme="majorHAnsi"/>
          <w:sz w:val="16"/>
          <w:szCs w:val="16"/>
        </w:rPr>
        <w:t>use</w:t>
      </w:r>
      <w:proofErr w:type="gramEnd"/>
    </w:p>
    <w:p w14:paraId="7FD668AC" w14:textId="6C4DD462" w:rsidR="00F965D3" w:rsidRPr="00F965D3" w:rsidRDefault="00F965D3" w:rsidP="00F965D3">
      <w:pPr>
        <w:pStyle w:val="1AbcamStandardtext"/>
        <w:spacing w:before="0" w:after="0"/>
        <w:rPr>
          <w:sz w:val="16"/>
          <w:szCs w:val="16"/>
        </w:rPr>
      </w:pPr>
      <w:r w:rsidRPr="00F965D3">
        <w:rPr>
          <w:b/>
          <w:bCs/>
          <w:sz w:val="16"/>
          <w:szCs w:val="16"/>
          <w:u w:val="single"/>
        </w:rPr>
        <w:t>PLEASE NOTE</w:t>
      </w:r>
      <w:r w:rsidRPr="00F965D3">
        <w:rPr>
          <w:sz w:val="16"/>
          <w:szCs w:val="16"/>
        </w:rPr>
        <w:t xml:space="preserve">: With the acquisition of </w:t>
      </w:r>
      <w:proofErr w:type="spellStart"/>
      <w:r w:rsidRPr="00F965D3">
        <w:rPr>
          <w:sz w:val="16"/>
          <w:szCs w:val="16"/>
        </w:rPr>
        <w:t>BioVision</w:t>
      </w:r>
      <w:proofErr w:type="spellEnd"/>
      <w:r w:rsidRPr="00F965D3">
        <w:rPr>
          <w:sz w:val="16"/>
          <w:szCs w:val="16"/>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00D9A965" w14:textId="77777777" w:rsidR="00F965D3" w:rsidRPr="00F965D3" w:rsidRDefault="00F965D3" w:rsidP="00F965D3">
      <w:pPr>
        <w:pStyle w:val="1AbcamStandardtext"/>
        <w:spacing w:before="0" w:after="0"/>
        <w:rPr>
          <w:color w:val="C00000"/>
          <w:sz w:val="12"/>
          <w:szCs w:val="12"/>
        </w:rPr>
      </w:pPr>
    </w:p>
    <w:p w14:paraId="5376943C" w14:textId="77777777" w:rsidR="0035246C" w:rsidRPr="00F3409C" w:rsidRDefault="0035246C" w:rsidP="0035246C">
      <w:pPr>
        <w:spacing w:after="120"/>
        <w:jc w:val="both"/>
        <w:rPr>
          <w:sz w:val="16"/>
          <w:szCs w:val="16"/>
          <w:u w:val="single"/>
        </w:rPr>
      </w:pPr>
      <w:r w:rsidRPr="00F3409C">
        <w:rPr>
          <w:rFonts w:ascii="Century Gothic" w:hAnsi="Century Gothic"/>
          <w:b/>
          <w:sz w:val="16"/>
          <w:szCs w:val="16"/>
          <w:u w:val="single"/>
        </w:rPr>
        <w:t>Precautions</w:t>
      </w:r>
      <w:bookmarkEnd w:id="0"/>
      <w:bookmarkEnd w:id="1"/>
    </w:p>
    <w:p w14:paraId="13F1D2D6" w14:textId="77777777" w:rsidR="00F97DC7" w:rsidRPr="00F97DC7" w:rsidRDefault="00F97DC7" w:rsidP="00F97DC7">
      <w:pPr>
        <w:spacing w:after="120" w:line="240" w:lineRule="auto"/>
        <w:jc w:val="both"/>
        <w:rPr>
          <w:rFonts w:ascii="Century Gothic" w:hAnsi="Century Gothic"/>
          <w:b/>
          <w:sz w:val="16"/>
          <w:szCs w:val="16"/>
        </w:rPr>
      </w:pPr>
      <w:r w:rsidRPr="00F97DC7">
        <w:rPr>
          <w:rFonts w:ascii="Century Gothic" w:hAnsi="Century Gothic"/>
          <w:b/>
          <w:sz w:val="16"/>
          <w:szCs w:val="16"/>
        </w:rPr>
        <w:t>Please read these instructions carefully prior to beginning the assay.</w:t>
      </w:r>
    </w:p>
    <w:p w14:paraId="5D722A5F" w14:textId="77777777" w:rsidR="00F97DC7" w:rsidRPr="00F97DC7" w:rsidRDefault="00F97DC7" w:rsidP="00F97DC7">
      <w:pPr>
        <w:spacing w:after="120" w:line="240" w:lineRule="auto"/>
        <w:jc w:val="both"/>
        <w:rPr>
          <w:rFonts w:ascii="Century Gothic" w:hAnsi="Century Gothic"/>
          <w:bCs/>
          <w:sz w:val="16"/>
          <w:szCs w:val="16"/>
        </w:rPr>
      </w:pPr>
      <w:r w:rsidRPr="00F97DC7">
        <w:rPr>
          <w:rFonts w:ascii="Century Gothic" w:hAnsi="Century Gothic"/>
          <w:bCs/>
          <w:sz w:val="16"/>
          <w:szCs w:val="16"/>
        </w:rPr>
        <w:t>All kit components have been formulated and quality control tested to function successfully as a kit. Modifications to the kit components or procedures may result in loss of performance.</w:t>
      </w:r>
    </w:p>
    <w:p w14:paraId="2B6A9F07" w14:textId="77777777" w:rsidR="00F97DC7" w:rsidRDefault="0035246C" w:rsidP="00F97DC7">
      <w:pPr>
        <w:spacing w:after="120" w:line="240" w:lineRule="auto"/>
        <w:jc w:val="both"/>
        <w:rPr>
          <w:rFonts w:ascii="Century Gothic" w:hAnsi="Century Gothic"/>
          <w:sz w:val="16"/>
          <w:szCs w:val="16"/>
        </w:rPr>
      </w:pPr>
      <w:r w:rsidRPr="00A67025">
        <w:rPr>
          <w:rFonts w:ascii="Century Gothic" w:hAnsi="Century Gothic"/>
          <w:b/>
          <w:sz w:val="16"/>
          <w:szCs w:val="16"/>
          <w:u w:val="single"/>
        </w:rPr>
        <w:t>Storage and Stability</w:t>
      </w:r>
      <w:r w:rsidRPr="00A67025">
        <w:rPr>
          <w:rFonts w:ascii="Century Gothic" w:hAnsi="Century Gothic"/>
          <w:sz w:val="16"/>
          <w:szCs w:val="16"/>
        </w:rPr>
        <w:t>:</w:t>
      </w:r>
    </w:p>
    <w:p w14:paraId="45CB87AC" w14:textId="34639A66" w:rsidR="00F97DC7" w:rsidRPr="00F97DC7" w:rsidRDefault="00F97DC7" w:rsidP="00F97DC7">
      <w:pPr>
        <w:spacing w:after="120" w:line="240" w:lineRule="auto"/>
        <w:jc w:val="both"/>
        <w:rPr>
          <w:rFonts w:ascii="Century Gothic" w:hAnsi="Century Gothic"/>
          <w:sz w:val="16"/>
          <w:szCs w:val="16"/>
        </w:rPr>
      </w:pPr>
      <w:r w:rsidRPr="00F97DC7">
        <w:rPr>
          <w:rFonts w:ascii="Century Gothic" w:hAnsi="Century Gothic"/>
          <w:sz w:val="16"/>
          <w:szCs w:val="16"/>
        </w:rPr>
        <w:t>Store kit at -20°C in the dark immediately upon receipt. Briefly centrifuge small vials prior to opening. All kit components are supplied as ready to be used. Keep on ice while in use.</w:t>
      </w:r>
    </w:p>
    <w:p w14:paraId="4BE41C83" w14:textId="77777777" w:rsidR="00F97DC7" w:rsidRDefault="00F97DC7" w:rsidP="00F97DC7">
      <w:pPr>
        <w:spacing w:after="120" w:line="240" w:lineRule="auto"/>
        <w:jc w:val="both"/>
        <w:rPr>
          <w:rFonts w:ascii="Century Gothic" w:hAnsi="Century Gothic"/>
          <w:sz w:val="16"/>
          <w:szCs w:val="16"/>
        </w:rPr>
      </w:pPr>
      <w:r w:rsidRPr="00F97DC7">
        <w:rPr>
          <w:rFonts w:ascii="Century Gothic" w:hAnsi="Century Gothic"/>
          <w:sz w:val="16"/>
          <w:szCs w:val="16"/>
        </w:rPr>
        <w:t xml:space="preserve">Refer to list of materials supplied for storage conditions of individual components. </w:t>
      </w:r>
    </w:p>
    <w:p w14:paraId="5DC2228F" w14:textId="3B65CFDD" w:rsidR="0035246C" w:rsidRPr="00A67025" w:rsidRDefault="0035246C" w:rsidP="00F97DC7">
      <w:pPr>
        <w:spacing w:after="120" w:line="240" w:lineRule="auto"/>
        <w:jc w:val="both"/>
        <w:rPr>
          <w:rFonts w:ascii="Century Gothic" w:hAnsi="Century Gothic"/>
          <w:b/>
          <w:sz w:val="16"/>
          <w:szCs w:val="16"/>
          <w:u w:val="single"/>
        </w:rPr>
      </w:pPr>
      <w:r w:rsidRPr="00A67025">
        <w:rPr>
          <w:rFonts w:ascii="Century Gothic" w:hAnsi="Century Gothic"/>
          <w:b/>
          <w:sz w:val="16"/>
          <w:szCs w:val="16"/>
          <w:u w:val="single"/>
        </w:rPr>
        <w:t>Materials Supplied:</w:t>
      </w:r>
    </w:p>
    <w:tbl>
      <w:tblPr>
        <w:tblW w:w="6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7"/>
        <w:gridCol w:w="3066"/>
      </w:tblGrid>
      <w:tr w:rsidR="00F97DC7" w:rsidRPr="002A066A" w14:paraId="07AC563A" w14:textId="77777777" w:rsidTr="00F965D3">
        <w:trPr>
          <w:trHeight w:val="315"/>
          <w:jc w:val="center"/>
        </w:trPr>
        <w:tc>
          <w:tcPr>
            <w:tcW w:w="3917" w:type="dxa"/>
            <w:vAlign w:val="center"/>
          </w:tcPr>
          <w:p w14:paraId="7BB4B87D" w14:textId="77777777" w:rsidR="00F97DC7" w:rsidRPr="00F97DC7" w:rsidRDefault="00F97DC7" w:rsidP="00A67025">
            <w:pPr>
              <w:autoSpaceDE w:val="0"/>
              <w:autoSpaceDN w:val="0"/>
              <w:adjustRightInd w:val="0"/>
              <w:spacing w:after="0"/>
              <w:jc w:val="center"/>
              <w:rPr>
                <w:rFonts w:ascii="Century Gothic" w:hAnsi="Century Gothic" w:cs="Arial"/>
                <w:b/>
                <w:bCs/>
                <w:color w:val="000000"/>
                <w:sz w:val="16"/>
                <w:szCs w:val="16"/>
              </w:rPr>
            </w:pPr>
            <w:r w:rsidRPr="00F97DC7">
              <w:rPr>
                <w:rFonts w:cs="Arial"/>
                <w:b/>
                <w:bCs/>
                <w:color w:val="000000"/>
                <w:sz w:val="16"/>
                <w:szCs w:val="16"/>
              </w:rPr>
              <w:t>Item</w:t>
            </w:r>
          </w:p>
        </w:tc>
        <w:tc>
          <w:tcPr>
            <w:tcW w:w="3066" w:type="dxa"/>
            <w:vAlign w:val="center"/>
          </w:tcPr>
          <w:p w14:paraId="5F169855" w14:textId="770935CF" w:rsidR="00F97DC7" w:rsidRPr="00A67025" w:rsidRDefault="00F97DC7" w:rsidP="00A67025">
            <w:pPr>
              <w:autoSpaceDE w:val="0"/>
              <w:autoSpaceDN w:val="0"/>
              <w:adjustRightInd w:val="0"/>
              <w:spacing w:after="0"/>
              <w:jc w:val="center"/>
              <w:rPr>
                <w:rFonts w:ascii="Century Gothic" w:hAnsi="Century Gothic" w:cs="Arial"/>
                <w:b/>
                <w:bCs/>
                <w:color w:val="000000"/>
                <w:sz w:val="16"/>
                <w:szCs w:val="16"/>
              </w:rPr>
            </w:pPr>
            <w:r>
              <w:rPr>
                <w:rFonts w:cs="Arial"/>
                <w:b/>
                <w:bCs/>
                <w:color w:val="000000"/>
                <w:sz w:val="16"/>
                <w:szCs w:val="16"/>
              </w:rPr>
              <w:t>100 Tests</w:t>
            </w:r>
          </w:p>
        </w:tc>
      </w:tr>
      <w:tr w:rsidR="00F97DC7" w:rsidRPr="002A066A" w14:paraId="4192B125" w14:textId="77777777" w:rsidTr="00F965D3">
        <w:trPr>
          <w:trHeight w:val="428"/>
          <w:jc w:val="center"/>
        </w:trPr>
        <w:tc>
          <w:tcPr>
            <w:tcW w:w="3917" w:type="dxa"/>
            <w:shd w:val="clear" w:color="auto" w:fill="auto"/>
            <w:vAlign w:val="center"/>
          </w:tcPr>
          <w:p w14:paraId="7974A906" w14:textId="566E66EE" w:rsidR="00F97DC7" w:rsidRPr="00F97DC7" w:rsidRDefault="00F965D3" w:rsidP="00F97DC7">
            <w:pPr>
              <w:autoSpaceDE w:val="0"/>
              <w:autoSpaceDN w:val="0"/>
              <w:adjustRightInd w:val="0"/>
              <w:spacing w:after="0"/>
              <w:jc w:val="center"/>
              <w:rPr>
                <w:rFonts w:ascii="Century Gothic" w:hAnsi="Century Gothic" w:cs="Arial"/>
                <w:color w:val="000000" w:themeColor="text1"/>
                <w:sz w:val="16"/>
                <w:szCs w:val="16"/>
              </w:rPr>
            </w:pPr>
            <w:r w:rsidRPr="00F965D3">
              <w:rPr>
                <w:rFonts w:ascii="Century Gothic" w:eastAsia="Times New Roman" w:hAnsi="Century Gothic" w:cs="Arial"/>
                <w:color w:val="000000" w:themeColor="text1"/>
                <w:sz w:val="16"/>
                <w:szCs w:val="16"/>
              </w:rPr>
              <w:t>MTS Reagent Solution I</w:t>
            </w:r>
            <w:r>
              <w:rPr>
                <w:rFonts w:ascii="Century Gothic" w:eastAsia="Times New Roman" w:hAnsi="Century Gothic" w:cs="Arial"/>
                <w:color w:val="000000" w:themeColor="text1"/>
                <w:sz w:val="16"/>
                <w:szCs w:val="16"/>
              </w:rPr>
              <w:t>/</w:t>
            </w:r>
            <w:r w:rsidR="00A70191">
              <w:rPr>
                <w:rFonts w:ascii="Century Gothic" w:eastAsia="Times New Roman" w:hAnsi="Century Gothic" w:cs="Arial"/>
                <w:color w:val="000000" w:themeColor="text1"/>
                <w:sz w:val="16"/>
                <w:szCs w:val="16"/>
              </w:rPr>
              <w:t xml:space="preserve"> </w:t>
            </w:r>
            <w:r w:rsidR="00F97DC7" w:rsidRPr="00F97DC7">
              <w:rPr>
                <w:rFonts w:ascii="Century Gothic" w:eastAsia="Times New Roman" w:hAnsi="Century Gothic" w:cs="Arial"/>
                <w:color w:val="000000" w:themeColor="text1"/>
                <w:sz w:val="16"/>
                <w:szCs w:val="16"/>
              </w:rPr>
              <w:t>250 tests</w:t>
            </w:r>
          </w:p>
        </w:tc>
        <w:tc>
          <w:tcPr>
            <w:tcW w:w="3066" w:type="dxa"/>
            <w:shd w:val="clear" w:color="auto" w:fill="auto"/>
          </w:tcPr>
          <w:p w14:paraId="0B853682" w14:textId="0ABB4236" w:rsidR="00F97DC7" w:rsidRPr="00F97DC7" w:rsidRDefault="00F97DC7" w:rsidP="00F97DC7">
            <w:pPr>
              <w:autoSpaceDE w:val="0"/>
              <w:autoSpaceDN w:val="0"/>
              <w:adjustRightInd w:val="0"/>
              <w:spacing w:after="0"/>
              <w:jc w:val="center"/>
              <w:rPr>
                <w:rFonts w:ascii="Century Gothic" w:hAnsi="Century Gothic" w:cs="Arial"/>
                <w:color w:val="000000" w:themeColor="text1"/>
                <w:sz w:val="16"/>
                <w:szCs w:val="16"/>
              </w:rPr>
            </w:pPr>
            <w:r w:rsidRPr="00F97DC7">
              <w:rPr>
                <w:rFonts w:ascii="Century Gothic" w:eastAsia="Times New Roman" w:hAnsi="Century Gothic" w:cs="Arial"/>
                <w:color w:val="000000" w:themeColor="text1"/>
                <w:sz w:val="16"/>
                <w:szCs w:val="16"/>
              </w:rPr>
              <w:t>5 mL</w:t>
            </w:r>
          </w:p>
        </w:tc>
      </w:tr>
      <w:tr w:rsidR="00F97DC7" w:rsidRPr="002A066A" w14:paraId="5E82BB8B" w14:textId="77777777" w:rsidTr="00F965D3">
        <w:trPr>
          <w:trHeight w:val="125"/>
          <w:jc w:val="center"/>
        </w:trPr>
        <w:tc>
          <w:tcPr>
            <w:tcW w:w="3917" w:type="dxa"/>
            <w:shd w:val="clear" w:color="auto" w:fill="auto"/>
            <w:vAlign w:val="center"/>
          </w:tcPr>
          <w:p w14:paraId="33A2BAD3" w14:textId="6C0B057C" w:rsidR="00F97DC7" w:rsidRPr="00F97DC7" w:rsidRDefault="00F965D3" w:rsidP="00F97DC7">
            <w:pPr>
              <w:autoSpaceDE w:val="0"/>
              <w:autoSpaceDN w:val="0"/>
              <w:adjustRightInd w:val="0"/>
              <w:spacing w:after="0"/>
              <w:jc w:val="center"/>
              <w:rPr>
                <w:rFonts w:ascii="Century Gothic" w:hAnsi="Century Gothic" w:cs="Arial"/>
                <w:color w:val="000000" w:themeColor="text1"/>
                <w:sz w:val="16"/>
                <w:szCs w:val="16"/>
              </w:rPr>
            </w:pPr>
            <w:r w:rsidRPr="00F965D3">
              <w:rPr>
                <w:rFonts w:ascii="Century Gothic" w:eastAsia="Times New Roman" w:hAnsi="Century Gothic" w:cs="Arial"/>
                <w:color w:val="000000" w:themeColor="text1"/>
                <w:sz w:val="16"/>
                <w:szCs w:val="16"/>
              </w:rPr>
              <w:t>MTS Reagent Solution II</w:t>
            </w:r>
            <w:r>
              <w:rPr>
                <w:rFonts w:ascii="Century Gothic" w:eastAsia="Times New Roman" w:hAnsi="Century Gothic" w:cs="Arial"/>
                <w:color w:val="000000" w:themeColor="text1"/>
                <w:sz w:val="16"/>
                <w:szCs w:val="16"/>
              </w:rPr>
              <w:t>/</w:t>
            </w:r>
            <w:r w:rsidR="00A70191" w:rsidRPr="00F97DC7">
              <w:rPr>
                <w:rFonts w:ascii="Century Gothic" w:eastAsia="Times New Roman" w:hAnsi="Century Gothic" w:cs="Arial"/>
                <w:color w:val="000000" w:themeColor="text1"/>
                <w:sz w:val="16"/>
                <w:szCs w:val="16"/>
              </w:rPr>
              <w:t xml:space="preserve"> </w:t>
            </w:r>
            <w:r w:rsidR="00F97DC7" w:rsidRPr="00F97DC7">
              <w:rPr>
                <w:rFonts w:ascii="Century Gothic" w:eastAsia="Times New Roman" w:hAnsi="Century Gothic" w:cs="Arial"/>
                <w:color w:val="000000" w:themeColor="text1"/>
                <w:sz w:val="16"/>
                <w:szCs w:val="16"/>
              </w:rPr>
              <w:t>500 tests</w:t>
            </w:r>
          </w:p>
        </w:tc>
        <w:tc>
          <w:tcPr>
            <w:tcW w:w="3066" w:type="dxa"/>
            <w:shd w:val="clear" w:color="auto" w:fill="auto"/>
          </w:tcPr>
          <w:p w14:paraId="04E5F717" w14:textId="752D1C9C" w:rsidR="00F97DC7" w:rsidRPr="00F97DC7" w:rsidRDefault="00F97DC7" w:rsidP="00F97DC7">
            <w:pPr>
              <w:autoSpaceDE w:val="0"/>
              <w:autoSpaceDN w:val="0"/>
              <w:adjustRightInd w:val="0"/>
              <w:spacing w:after="0"/>
              <w:jc w:val="center"/>
              <w:rPr>
                <w:rFonts w:ascii="Century Gothic" w:hAnsi="Century Gothic" w:cs="Arial"/>
                <w:color w:val="000000" w:themeColor="text1"/>
                <w:sz w:val="16"/>
                <w:szCs w:val="16"/>
              </w:rPr>
            </w:pPr>
            <w:r w:rsidRPr="00F97DC7">
              <w:rPr>
                <w:rFonts w:ascii="Century Gothic" w:eastAsia="Times New Roman" w:hAnsi="Century Gothic" w:cs="Arial"/>
                <w:color w:val="000000" w:themeColor="text1"/>
                <w:sz w:val="16"/>
                <w:szCs w:val="16"/>
              </w:rPr>
              <w:t>10 mL</w:t>
            </w:r>
          </w:p>
        </w:tc>
      </w:tr>
      <w:tr w:rsidR="00F97DC7" w:rsidRPr="002A066A" w14:paraId="3A4A8322" w14:textId="77777777" w:rsidTr="00F965D3">
        <w:trPr>
          <w:trHeight w:val="428"/>
          <w:jc w:val="center"/>
        </w:trPr>
        <w:tc>
          <w:tcPr>
            <w:tcW w:w="3917" w:type="dxa"/>
            <w:shd w:val="clear" w:color="auto" w:fill="auto"/>
            <w:vAlign w:val="center"/>
          </w:tcPr>
          <w:p w14:paraId="24362F4F" w14:textId="1FD57DAD" w:rsidR="00F97DC7" w:rsidRPr="00F97DC7" w:rsidRDefault="00F965D3" w:rsidP="00F97DC7">
            <w:pPr>
              <w:autoSpaceDE w:val="0"/>
              <w:autoSpaceDN w:val="0"/>
              <w:adjustRightInd w:val="0"/>
              <w:spacing w:after="0"/>
              <w:jc w:val="center"/>
              <w:rPr>
                <w:rFonts w:ascii="Century Gothic" w:hAnsi="Century Gothic" w:cs="Arial"/>
                <w:color w:val="000000" w:themeColor="text1"/>
                <w:sz w:val="16"/>
                <w:szCs w:val="16"/>
              </w:rPr>
            </w:pPr>
            <w:r w:rsidRPr="00F965D3">
              <w:rPr>
                <w:rFonts w:ascii="Century Gothic" w:eastAsia="Times New Roman" w:hAnsi="Century Gothic" w:cs="Arial"/>
                <w:color w:val="000000" w:themeColor="text1"/>
                <w:sz w:val="16"/>
                <w:szCs w:val="16"/>
              </w:rPr>
              <w:t>MTS Reagent Solution III</w:t>
            </w:r>
            <w:r>
              <w:rPr>
                <w:rFonts w:ascii="Century Gothic" w:eastAsia="Times New Roman" w:hAnsi="Century Gothic" w:cs="Arial"/>
                <w:color w:val="000000" w:themeColor="text1"/>
                <w:sz w:val="16"/>
                <w:szCs w:val="16"/>
              </w:rPr>
              <w:t>/</w:t>
            </w:r>
            <w:r w:rsidR="00A70191" w:rsidRPr="00F97DC7">
              <w:rPr>
                <w:rFonts w:ascii="Century Gothic" w:eastAsia="Times New Roman" w:hAnsi="Century Gothic" w:cs="Arial"/>
                <w:color w:val="000000" w:themeColor="text1"/>
                <w:sz w:val="16"/>
                <w:szCs w:val="16"/>
              </w:rPr>
              <w:t xml:space="preserve"> </w:t>
            </w:r>
            <w:r w:rsidR="00F97DC7" w:rsidRPr="00F97DC7">
              <w:rPr>
                <w:rFonts w:ascii="Century Gothic" w:eastAsia="Times New Roman" w:hAnsi="Century Gothic" w:cs="Arial"/>
                <w:color w:val="000000" w:themeColor="text1"/>
                <w:sz w:val="16"/>
                <w:szCs w:val="16"/>
              </w:rPr>
              <w:t>2500 tests</w:t>
            </w:r>
          </w:p>
        </w:tc>
        <w:tc>
          <w:tcPr>
            <w:tcW w:w="3066" w:type="dxa"/>
            <w:shd w:val="clear" w:color="auto" w:fill="auto"/>
          </w:tcPr>
          <w:p w14:paraId="4DC1A365" w14:textId="0C696568" w:rsidR="00F97DC7" w:rsidRPr="00F97DC7" w:rsidRDefault="00F97DC7" w:rsidP="00F97DC7">
            <w:pPr>
              <w:autoSpaceDE w:val="0"/>
              <w:autoSpaceDN w:val="0"/>
              <w:adjustRightInd w:val="0"/>
              <w:spacing w:after="0"/>
              <w:jc w:val="center"/>
              <w:rPr>
                <w:rFonts w:ascii="Century Gothic" w:hAnsi="Century Gothic" w:cs="Arial"/>
                <w:color w:val="000000" w:themeColor="text1"/>
                <w:sz w:val="16"/>
                <w:szCs w:val="16"/>
              </w:rPr>
            </w:pPr>
            <w:r w:rsidRPr="00F97DC7">
              <w:rPr>
                <w:rFonts w:ascii="Century Gothic" w:eastAsia="Times New Roman" w:hAnsi="Century Gothic" w:cs="Arial"/>
                <w:color w:val="000000" w:themeColor="text1"/>
                <w:sz w:val="16"/>
                <w:szCs w:val="16"/>
              </w:rPr>
              <w:t>50 mL</w:t>
            </w:r>
          </w:p>
        </w:tc>
      </w:tr>
      <w:tr w:rsidR="00F97DC7" w:rsidRPr="002A066A" w14:paraId="7F8B3E75" w14:textId="77777777" w:rsidTr="00F965D3">
        <w:trPr>
          <w:trHeight w:val="125"/>
          <w:jc w:val="center"/>
        </w:trPr>
        <w:tc>
          <w:tcPr>
            <w:tcW w:w="3917" w:type="dxa"/>
            <w:shd w:val="clear" w:color="auto" w:fill="auto"/>
            <w:vAlign w:val="center"/>
          </w:tcPr>
          <w:p w14:paraId="5795764F" w14:textId="75691488" w:rsidR="00F97DC7" w:rsidRPr="00F97DC7" w:rsidRDefault="00F965D3" w:rsidP="00F97DC7">
            <w:pPr>
              <w:autoSpaceDE w:val="0"/>
              <w:autoSpaceDN w:val="0"/>
              <w:adjustRightInd w:val="0"/>
              <w:spacing w:after="0"/>
              <w:jc w:val="center"/>
              <w:rPr>
                <w:rFonts w:ascii="Century Gothic" w:hAnsi="Century Gothic" w:cs="Arial"/>
                <w:color w:val="000000" w:themeColor="text1"/>
                <w:sz w:val="16"/>
                <w:szCs w:val="16"/>
              </w:rPr>
            </w:pPr>
            <w:r w:rsidRPr="00F965D3">
              <w:rPr>
                <w:rFonts w:ascii="Century Gothic" w:eastAsia="Times New Roman" w:hAnsi="Century Gothic" w:cs="Arial"/>
                <w:color w:val="000000" w:themeColor="text1"/>
                <w:sz w:val="16"/>
                <w:szCs w:val="16"/>
              </w:rPr>
              <w:t>MTS Reagent Solution IV</w:t>
            </w:r>
            <w:r>
              <w:rPr>
                <w:rFonts w:ascii="Century Gothic" w:eastAsia="Times New Roman" w:hAnsi="Century Gothic" w:cs="Arial"/>
                <w:color w:val="000000" w:themeColor="text1"/>
                <w:sz w:val="16"/>
                <w:szCs w:val="16"/>
              </w:rPr>
              <w:t>/</w:t>
            </w:r>
            <w:r w:rsidR="00A70191" w:rsidRPr="00F97DC7">
              <w:rPr>
                <w:rFonts w:ascii="Century Gothic" w:eastAsia="Times New Roman" w:hAnsi="Century Gothic" w:cs="Arial"/>
                <w:color w:val="000000" w:themeColor="text1"/>
                <w:sz w:val="16"/>
                <w:szCs w:val="16"/>
              </w:rPr>
              <w:t xml:space="preserve"> </w:t>
            </w:r>
            <w:r w:rsidR="00F97DC7" w:rsidRPr="00F97DC7">
              <w:rPr>
                <w:rFonts w:ascii="Century Gothic" w:eastAsia="Times New Roman" w:hAnsi="Century Gothic" w:cs="Arial"/>
                <w:color w:val="000000" w:themeColor="text1"/>
                <w:sz w:val="16"/>
                <w:szCs w:val="16"/>
              </w:rPr>
              <w:t>5000 tests</w:t>
            </w:r>
          </w:p>
        </w:tc>
        <w:tc>
          <w:tcPr>
            <w:tcW w:w="3066" w:type="dxa"/>
            <w:shd w:val="clear" w:color="auto" w:fill="auto"/>
          </w:tcPr>
          <w:p w14:paraId="1BE88F11" w14:textId="1053A9DA" w:rsidR="00F97DC7" w:rsidRPr="00F97DC7" w:rsidRDefault="00F97DC7" w:rsidP="00F97DC7">
            <w:pPr>
              <w:autoSpaceDE w:val="0"/>
              <w:autoSpaceDN w:val="0"/>
              <w:adjustRightInd w:val="0"/>
              <w:spacing w:after="0"/>
              <w:jc w:val="center"/>
              <w:rPr>
                <w:rFonts w:ascii="Century Gothic" w:hAnsi="Century Gothic" w:cs="Arial"/>
                <w:color w:val="000000" w:themeColor="text1"/>
                <w:sz w:val="16"/>
                <w:szCs w:val="16"/>
              </w:rPr>
            </w:pPr>
            <w:r w:rsidRPr="00F97DC7">
              <w:rPr>
                <w:rFonts w:ascii="Century Gothic" w:eastAsia="Times New Roman" w:hAnsi="Century Gothic" w:cs="Arial"/>
                <w:color w:val="000000" w:themeColor="text1"/>
                <w:sz w:val="16"/>
                <w:szCs w:val="16"/>
              </w:rPr>
              <w:t>100 mL</w:t>
            </w:r>
          </w:p>
        </w:tc>
      </w:tr>
      <w:tr w:rsidR="00F97DC7" w:rsidRPr="00660705" w14:paraId="6F017215" w14:textId="77777777" w:rsidTr="00F965D3">
        <w:trPr>
          <w:trHeight w:val="125"/>
          <w:jc w:val="center"/>
        </w:trPr>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278A6178" w14:textId="39939B9A" w:rsidR="00F97DC7" w:rsidRPr="00F97DC7" w:rsidRDefault="00F965D3" w:rsidP="00F97DC7">
            <w:pPr>
              <w:autoSpaceDE w:val="0"/>
              <w:autoSpaceDN w:val="0"/>
              <w:adjustRightInd w:val="0"/>
              <w:spacing w:after="0"/>
              <w:jc w:val="center"/>
              <w:rPr>
                <w:rFonts w:ascii="Century Gothic" w:hAnsi="Century Gothic" w:cs="Arial"/>
                <w:color w:val="000000" w:themeColor="text1"/>
                <w:sz w:val="16"/>
                <w:szCs w:val="16"/>
              </w:rPr>
            </w:pPr>
            <w:r w:rsidRPr="00F965D3">
              <w:rPr>
                <w:rFonts w:ascii="Century Gothic" w:eastAsia="Times New Roman" w:hAnsi="Century Gothic" w:cs="Arial"/>
                <w:color w:val="000000" w:themeColor="text1"/>
                <w:sz w:val="16"/>
                <w:szCs w:val="16"/>
              </w:rPr>
              <w:t>MTS Reagent Solution V</w:t>
            </w:r>
            <w:r>
              <w:rPr>
                <w:rFonts w:ascii="Century Gothic" w:eastAsia="Times New Roman" w:hAnsi="Century Gothic" w:cs="Arial"/>
                <w:color w:val="000000" w:themeColor="text1"/>
                <w:sz w:val="16"/>
                <w:szCs w:val="16"/>
              </w:rPr>
              <w:t>/</w:t>
            </w:r>
            <w:r w:rsidR="00A70191" w:rsidRPr="00F97DC7">
              <w:rPr>
                <w:rFonts w:ascii="Century Gothic" w:eastAsia="Times New Roman" w:hAnsi="Century Gothic" w:cs="Arial"/>
                <w:color w:val="000000" w:themeColor="text1"/>
                <w:sz w:val="16"/>
                <w:szCs w:val="16"/>
              </w:rPr>
              <w:t xml:space="preserve"> </w:t>
            </w:r>
            <w:r w:rsidR="00F97DC7" w:rsidRPr="00F97DC7">
              <w:rPr>
                <w:rFonts w:ascii="Century Gothic" w:eastAsia="Times New Roman" w:hAnsi="Century Gothic" w:cs="Arial"/>
                <w:color w:val="000000" w:themeColor="text1"/>
                <w:sz w:val="16"/>
                <w:szCs w:val="16"/>
              </w:rPr>
              <w:t>10000 tests</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02CA06BF" w14:textId="61F95B71" w:rsidR="00F97DC7" w:rsidRPr="00F97DC7" w:rsidRDefault="00F97DC7" w:rsidP="00F97DC7">
            <w:pPr>
              <w:autoSpaceDE w:val="0"/>
              <w:autoSpaceDN w:val="0"/>
              <w:adjustRightInd w:val="0"/>
              <w:spacing w:after="0"/>
              <w:jc w:val="center"/>
              <w:rPr>
                <w:rFonts w:ascii="Century Gothic" w:hAnsi="Century Gothic" w:cs="Arial"/>
                <w:color w:val="000000" w:themeColor="text1"/>
                <w:sz w:val="16"/>
                <w:szCs w:val="16"/>
              </w:rPr>
            </w:pPr>
            <w:r w:rsidRPr="00F97DC7">
              <w:rPr>
                <w:rFonts w:ascii="Century Gothic" w:eastAsia="Times New Roman" w:hAnsi="Century Gothic" w:cs="Arial"/>
                <w:color w:val="000000" w:themeColor="text1"/>
                <w:sz w:val="16"/>
                <w:szCs w:val="16"/>
              </w:rPr>
              <w:t>200 mL</w:t>
            </w:r>
          </w:p>
        </w:tc>
      </w:tr>
    </w:tbl>
    <w:p w14:paraId="245C4D28" w14:textId="32C634EC" w:rsidR="00660705" w:rsidRPr="00F97DC7" w:rsidRDefault="00F97DC7" w:rsidP="00F97DC7">
      <w:pPr>
        <w:spacing w:before="60" w:after="60" w:line="276" w:lineRule="auto"/>
        <w:rPr>
          <w:rFonts w:ascii="Century Gothic" w:hAnsi="Century Gothic"/>
          <w:sz w:val="16"/>
          <w:szCs w:val="16"/>
        </w:rPr>
      </w:pPr>
      <w:r w:rsidRPr="004F0CAC">
        <w:rPr>
          <w:rFonts w:ascii="Century Gothic" w:hAnsi="Century Gothic"/>
          <w:sz w:val="16"/>
          <w:szCs w:val="16"/>
        </w:rPr>
        <w:t>For frequent use, kit can be stored at 4</w:t>
      </w:r>
      <w:r w:rsidRPr="004F0CAC">
        <w:rPr>
          <w:rFonts w:ascii="Century Gothic" w:hAnsi="Century Gothic" w:cs="Arial"/>
          <w:sz w:val="16"/>
          <w:szCs w:val="16"/>
        </w:rPr>
        <w:t>˚</w:t>
      </w:r>
      <w:r w:rsidRPr="004F0CAC">
        <w:rPr>
          <w:rFonts w:ascii="Century Gothic" w:hAnsi="Century Gothic"/>
          <w:sz w:val="16"/>
          <w:szCs w:val="16"/>
        </w:rPr>
        <w:t>C for up to 6 weeks protected from light.</w:t>
      </w:r>
    </w:p>
    <w:p w14:paraId="363682E3" w14:textId="3EAD95E5" w:rsidR="0035246C" w:rsidRPr="00A67025" w:rsidRDefault="0035246C" w:rsidP="0035246C">
      <w:pPr>
        <w:spacing w:after="120"/>
        <w:jc w:val="both"/>
        <w:rPr>
          <w:rFonts w:ascii="Century Gothic" w:hAnsi="Century Gothic"/>
          <w:b/>
          <w:sz w:val="16"/>
          <w:szCs w:val="16"/>
          <w:u w:val="single"/>
        </w:rPr>
      </w:pPr>
      <w:r w:rsidRPr="00A67025">
        <w:rPr>
          <w:rFonts w:ascii="Century Gothic" w:hAnsi="Century Gothic"/>
          <w:b/>
          <w:sz w:val="16"/>
          <w:szCs w:val="16"/>
          <w:u w:val="single"/>
        </w:rPr>
        <w:t>Materials Required, Not Supplied</w:t>
      </w:r>
    </w:p>
    <w:p w14:paraId="6C4D14E9" w14:textId="77777777" w:rsidR="005C5D80" w:rsidRPr="005C5D80" w:rsidRDefault="005C5D80" w:rsidP="005C5D80">
      <w:pPr>
        <w:spacing w:after="120" w:line="240" w:lineRule="auto"/>
        <w:jc w:val="both"/>
        <w:rPr>
          <w:rFonts w:ascii="Century Gothic" w:hAnsi="Century Gothic"/>
          <w:bCs/>
          <w:sz w:val="16"/>
          <w:szCs w:val="16"/>
        </w:rPr>
      </w:pPr>
      <w:r w:rsidRPr="005C5D80">
        <w:rPr>
          <w:rFonts w:ascii="Century Gothic" w:hAnsi="Century Gothic"/>
          <w:bCs/>
          <w:sz w:val="16"/>
          <w:szCs w:val="16"/>
        </w:rPr>
        <w:t>These materials are not included in the kit, but will be required to successfully perform this assay:</w:t>
      </w:r>
    </w:p>
    <w:p w14:paraId="439DA851"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Multi-well spectrophotometer (ELISA reader)</w:t>
      </w:r>
    </w:p>
    <w:p w14:paraId="124F033F"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 xml:space="preserve">Colorimetric microplate reader – equipped with filter for OD 490 </w:t>
      </w:r>
      <w:proofErr w:type="gramStart"/>
      <w:r w:rsidRPr="00F97DC7">
        <w:rPr>
          <w:rFonts w:ascii="Century Gothic" w:hAnsi="Century Gothic" w:cs="Arial"/>
          <w:sz w:val="16"/>
          <w:szCs w:val="16"/>
        </w:rPr>
        <w:t>nm</w:t>
      </w:r>
      <w:proofErr w:type="gramEnd"/>
      <w:r w:rsidRPr="00F97DC7">
        <w:rPr>
          <w:rFonts w:ascii="Century Gothic" w:hAnsi="Century Gothic" w:cs="Arial"/>
          <w:sz w:val="16"/>
          <w:szCs w:val="16"/>
        </w:rPr>
        <w:t xml:space="preserve"> </w:t>
      </w:r>
    </w:p>
    <w:p w14:paraId="7C3C36DD"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96 well plate: clear, flat bottom plates for colorimetric assay</w:t>
      </w:r>
    </w:p>
    <w:p w14:paraId="2D11B838"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Pipettes and pipette tips – preferably a multichannel pipette</w:t>
      </w:r>
    </w:p>
    <w:p w14:paraId="1BD5009B"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Plate shaker</w:t>
      </w:r>
    </w:p>
    <w:p w14:paraId="5584FFFE"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SDS</w:t>
      </w:r>
    </w:p>
    <w:p w14:paraId="56CAA49A" w14:textId="23AF9C39" w:rsidR="00660705" w:rsidRDefault="00660705" w:rsidP="0035246C">
      <w:pPr>
        <w:spacing w:after="120"/>
        <w:jc w:val="both"/>
        <w:rPr>
          <w:rFonts w:ascii="Century Gothic" w:hAnsi="Century Gothic"/>
          <w:b/>
          <w:sz w:val="16"/>
          <w:szCs w:val="16"/>
          <w:u w:val="single"/>
        </w:rPr>
      </w:pPr>
      <w:r>
        <w:rPr>
          <w:rFonts w:ascii="Century Gothic" w:hAnsi="Century Gothic"/>
          <w:b/>
          <w:sz w:val="16"/>
          <w:szCs w:val="16"/>
          <w:u w:val="single"/>
        </w:rPr>
        <w:t>Limitations</w:t>
      </w:r>
    </w:p>
    <w:p w14:paraId="2DD2BD76"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4F0CAC">
        <w:rPr>
          <w:rFonts w:ascii="Century Gothic" w:hAnsi="Century Gothic"/>
          <w:sz w:val="16"/>
          <w:szCs w:val="16"/>
        </w:rPr>
        <w:t xml:space="preserve">Assay kit intended </w:t>
      </w:r>
      <w:r w:rsidRPr="00F97DC7">
        <w:rPr>
          <w:rFonts w:ascii="Century Gothic" w:hAnsi="Century Gothic" w:cs="Arial"/>
          <w:sz w:val="16"/>
          <w:szCs w:val="16"/>
        </w:rPr>
        <w:t>for research use only. Not for use in diagnostic procedures</w:t>
      </w:r>
    </w:p>
    <w:p w14:paraId="08BB365B"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 xml:space="preserve">Do not use kit or components if it has exceeded the expiration date on the kit </w:t>
      </w:r>
      <w:proofErr w:type="gramStart"/>
      <w:r w:rsidRPr="00F97DC7">
        <w:rPr>
          <w:rFonts w:ascii="Century Gothic" w:hAnsi="Century Gothic" w:cs="Arial"/>
          <w:sz w:val="16"/>
          <w:szCs w:val="16"/>
        </w:rPr>
        <w:t>labels</w:t>
      </w:r>
      <w:proofErr w:type="gramEnd"/>
    </w:p>
    <w:p w14:paraId="1120F669" w14:textId="0BFD0588" w:rsidR="00F97DC7" w:rsidRDefault="00F97DC7" w:rsidP="00F97DC7">
      <w:pPr>
        <w:pStyle w:val="ListParagraph"/>
        <w:numPr>
          <w:ilvl w:val="0"/>
          <w:numId w:val="27"/>
        </w:numPr>
        <w:spacing w:after="120"/>
        <w:jc w:val="both"/>
        <w:rPr>
          <w:rFonts w:ascii="Century Gothic" w:hAnsi="Century Gothic"/>
          <w:sz w:val="16"/>
          <w:szCs w:val="16"/>
        </w:rPr>
      </w:pPr>
      <w:r w:rsidRPr="00F97DC7">
        <w:rPr>
          <w:rFonts w:ascii="Century Gothic" w:hAnsi="Century Gothic" w:cs="Arial"/>
          <w:sz w:val="16"/>
          <w:szCs w:val="16"/>
        </w:rPr>
        <w:t>Do not mix or substitute reagents or materials from other kit lots or vendors. Kits are QC tested as a set of components</w:t>
      </w:r>
      <w:r w:rsidRPr="004F0CAC">
        <w:rPr>
          <w:rFonts w:ascii="Century Gothic" w:hAnsi="Century Gothic"/>
          <w:sz w:val="16"/>
          <w:szCs w:val="16"/>
        </w:rPr>
        <w:t xml:space="preserve"> and performance cannot be guaranteed if utilized separately or substituted.</w:t>
      </w:r>
    </w:p>
    <w:p w14:paraId="04C9E7FC" w14:textId="56115D45" w:rsidR="00B36C5D" w:rsidRPr="004F0CAC" w:rsidRDefault="00B36C5D" w:rsidP="00F97DC7">
      <w:pPr>
        <w:pStyle w:val="ListParagraph"/>
        <w:numPr>
          <w:ilvl w:val="0"/>
          <w:numId w:val="27"/>
        </w:numPr>
        <w:spacing w:after="120"/>
        <w:jc w:val="both"/>
        <w:rPr>
          <w:rFonts w:ascii="Century Gothic" w:hAnsi="Century Gothic"/>
          <w:sz w:val="16"/>
          <w:szCs w:val="16"/>
        </w:rPr>
      </w:pPr>
      <w:r>
        <w:rPr>
          <w:rFonts w:ascii="Century Gothic" w:hAnsi="Century Gothic"/>
          <w:sz w:val="16"/>
          <w:szCs w:val="16"/>
        </w:rPr>
        <w:t>Do not use cell culture media that contains phenol red. This will result in high background and poor linearity.</w:t>
      </w:r>
    </w:p>
    <w:p w14:paraId="0386124A" w14:textId="77777777" w:rsidR="00F97DC7" w:rsidRDefault="00F97DC7" w:rsidP="0035246C">
      <w:pPr>
        <w:spacing w:after="120"/>
        <w:jc w:val="both"/>
        <w:rPr>
          <w:rFonts w:ascii="Century Gothic" w:hAnsi="Century Gothic"/>
          <w:b/>
          <w:sz w:val="16"/>
          <w:szCs w:val="16"/>
          <w:u w:val="single"/>
        </w:rPr>
      </w:pPr>
    </w:p>
    <w:p w14:paraId="230908E8" w14:textId="161A218E" w:rsidR="00660705" w:rsidRDefault="00660705" w:rsidP="0035246C">
      <w:pPr>
        <w:spacing w:after="120"/>
        <w:jc w:val="both"/>
        <w:rPr>
          <w:rFonts w:ascii="Century Gothic" w:hAnsi="Century Gothic"/>
          <w:b/>
          <w:sz w:val="16"/>
          <w:szCs w:val="16"/>
          <w:u w:val="single"/>
        </w:rPr>
      </w:pPr>
      <w:r>
        <w:rPr>
          <w:rFonts w:ascii="Century Gothic" w:hAnsi="Century Gothic"/>
          <w:b/>
          <w:sz w:val="16"/>
          <w:szCs w:val="16"/>
          <w:u w:val="single"/>
        </w:rPr>
        <w:t>Technical Hints</w:t>
      </w:r>
    </w:p>
    <w:p w14:paraId="210B8608"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5221AB89"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Keep enzymes and heat labile components and samples on ice during the assay.</w:t>
      </w:r>
    </w:p>
    <w:p w14:paraId="70BE7D4F"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Make sure all buffers and developing solutions are at room temperature before starting the experiment.</w:t>
      </w:r>
    </w:p>
    <w:p w14:paraId="56DA3808"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Avoid cross contamination of samples or reagents by changing tips between sample, standard and reagent additions.</w:t>
      </w:r>
    </w:p>
    <w:p w14:paraId="0CA48053"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Avoid foaming or bubbles when mixing or reconstituting components.</w:t>
      </w:r>
    </w:p>
    <w:p w14:paraId="1DDB9578"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Ensure plates are properly sealed or covered during incubation steps.</w:t>
      </w:r>
    </w:p>
    <w:p w14:paraId="0C01E19B"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Make sure you have the appropriate type of plate for the detection method of choice.</w:t>
      </w:r>
    </w:p>
    <w:p w14:paraId="3F38B5F3" w14:textId="77777777" w:rsidR="00F97DC7" w:rsidRPr="00F97DC7" w:rsidRDefault="00F97DC7" w:rsidP="00F97DC7">
      <w:pPr>
        <w:pStyle w:val="ListParagraph"/>
        <w:numPr>
          <w:ilvl w:val="0"/>
          <w:numId w:val="27"/>
        </w:numPr>
        <w:spacing w:after="120"/>
        <w:jc w:val="both"/>
        <w:rPr>
          <w:rFonts w:ascii="Century Gothic" w:hAnsi="Century Gothic" w:cs="Arial"/>
          <w:sz w:val="16"/>
          <w:szCs w:val="16"/>
        </w:rPr>
      </w:pPr>
      <w:r w:rsidRPr="00F97DC7">
        <w:rPr>
          <w:rFonts w:ascii="Century Gothic" w:hAnsi="Century Gothic" w:cs="Arial"/>
          <w:sz w:val="16"/>
          <w:szCs w:val="16"/>
        </w:rPr>
        <w:t>Make sure the heat block/water bath and microplate reader are switched on before starting the experiment.</w:t>
      </w:r>
    </w:p>
    <w:p w14:paraId="2701B0F2" w14:textId="77777777" w:rsidR="00660705" w:rsidRPr="00660705" w:rsidRDefault="00660705" w:rsidP="00660705">
      <w:pPr>
        <w:pStyle w:val="ListParagraph"/>
        <w:spacing w:after="0" w:line="276" w:lineRule="auto"/>
        <w:ind w:left="567"/>
        <w:contextualSpacing w:val="0"/>
        <w:jc w:val="both"/>
        <w:rPr>
          <w:rFonts w:ascii="Century Gothic" w:hAnsi="Century Gothic"/>
          <w:b/>
          <w:bCs/>
          <w:sz w:val="16"/>
          <w:szCs w:val="16"/>
        </w:rPr>
      </w:pPr>
    </w:p>
    <w:p w14:paraId="4CF42A06" w14:textId="35AB89A9" w:rsidR="0035246C" w:rsidRDefault="00660705" w:rsidP="0035246C">
      <w:pPr>
        <w:spacing w:after="120"/>
        <w:jc w:val="both"/>
        <w:rPr>
          <w:rFonts w:ascii="Century Gothic" w:hAnsi="Century Gothic"/>
          <w:b/>
          <w:sz w:val="16"/>
          <w:szCs w:val="16"/>
          <w:u w:val="single"/>
        </w:rPr>
      </w:pPr>
      <w:r>
        <w:rPr>
          <w:rFonts w:ascii="Century Gothic" w:hAnsi="Century Gothic"/>
          <w:b/>
          <w:sz w:val="16"/>
          <w:szCs w:val="16"/>
          <w:u w:val="single"/>
        </w:rPr>
        <w:t>Reagent Preparation</w:t>
      </w:r>
    </w:p>
    <w:p w14:paraId="7B91B584" w14:textId="77777777" w:rsidR="00F97DC7" w:rsidRPr="00F97DC7" w:rsidRDefault="00F97DC7" w:rsidP="00F97DC7">
      <w:pPr>
        <w:spacing w:before="60" w:after="60" w:line="276" w:lineRule="auto"/>
        <w:jc w:val="both"/>
        <w:rPr>
          <w:rFonts w:ascii="Century Gothic" w:hAnsi="Century Gothic"/>
          <w:sz w:val="16"/>
          <w:szCs w:val="16"/>
        </w:rPr>
      </w:pPr>
      <w:r w:rsidRPr="00F97DC7">
        <w:rPr>
          <w:rFonts w:ascii="Century Gothic" w:hAnsi="Century Gothic"/>
          <w:sz w:val="16"/>
          <w:szCs w:val="16"/>
        </w:rPr>
        <w:t>Briefly centrifuge small vials at low speed prior to opening.</w:t>
      </w:r>
    </w:p>
    <w:p w14:paraId="733E3D1C" w14:textId="4582BCE7" w:rsidR="00F97DC7" w:rsidRPr="00F97DC7" w:rsidRDefault="00F965D3" w:rsidP="00F97DC7">
      <w:pPr>
        <w:tabs>
          <w:tab w:val="left" w:pos="900"/>
        </w:tabs>
        <w:spacing w:before="60" w:after="60" w:line="276" w:lineRule="auto"/>
        <w:jc w:val="both"/>
        <w:rPr>
          <w:rFonts w:ascii="Century Gothic" w:hAnsi="Century Gothic" w:cs="Arial"/>
          <w:sz w:val="16"/>
          <w:szCs w:val="16"/>
        </w:rPr>
      </w:pPr>
      <w:r>
        <w:rPr>
          <w:rFonts w:ascii="Century Gothic" w:hAnsi="Century Gothic" w:cs="Arial"/>
          <w:b/>
          <w:bCs/>
          <w:sz w:val="16"/>
          <w:szCs w:val="16"/>
        </w:rPr>
        <w:t>MTS Reagent Solution I-V/</w:t>
      </w:r>
      <w:r w:rsidR="00F97DC7" w:rsidRPr="00F97DC7">
        <w:rPr>
          <w:rFonts w:ascii="Century Gothic" w:hAnsi="Century Gothic" w:cs="Arial"/>
          <w:b/>
          <w:bCs/>
          <w:sz w:val="16"/>
          <w:szCs w:val="16"/>
        </w:rPr>
        <w:t>MTS Reagent:</w:t>
      </w:r>
      <w:r w:rsidR="00F97DC7">
        <w:rPr>
          <w:rFonts w:ascii="Century Gothic" w:hAnsi="Century Gothic" w:cs="Arial"/>
          <w:sz w:val="16"/>
          <w:szCs w:val="16"/>
        </w:rPr>
        <w:t xml:space="preserve"> </w:t>
      </w:r>
      <w:r w:rsidR="00F97DC7" w:rsidRPr="00F97DC7">
        <w:rPr>
          <w:rFonts w:ascii="Century Gothic" w:hAnsi="Century Gothic" w:cs="Arial"/>
          <w:sz w:val="16"/>
          <w:szCs w:val="16"/>
        </w:rPr>
        <w:t xml:space="preserve">Ready to use as supplied. Equilibrate to room temperature before use. Store at </w:t>
      </w:r>
      <w:r w:rsidR="00F97DC7" w:rsidRPr="00F97DC7">
        <w:rPr>
          <w:rFonts w:ascii="Century Gothic" w:hAnsi="Century Gothic" w:cs="Arial"/>
          <w:sz w:val="16"/>
          <w:szCs w:val="16"/>
        </w:rPr>
        <w:noBreakHyphen/>
        <w:t>20°C.</w:t>
      </w:r>
    </w:p>
    <w:p w14:paraId="79F90BFF" w14:textId="77777777" w:rsidR="00F97DC7" w:rsidRDefault="00660705" w:rsidP="00F97DC7">
      <w:pPr>
        <w:spacing w:after="120"/>
        <w:rPr>
          <w:rFonts w:ascii="Century Gothic" w:hAnsi="Century Gothic"/>
          <w:b/>
          <w:bCs/>
          <w:sz w:val="16"/>
          <w:szCs w:val="16"/>
        </w:rPr>
      </w:pPr>
      <w:r>
        <w:rPr>
          <w:rFonts w:ascii="Century Gothic" w:eastAsia="Times New Roman" w:hAnsi="Century Gothic"/>
          <w:b/>
          <w:bCs/>
          <w:sz w:val="16"/>
          <w:szCs w:val="16"/>
          <w:u w:val="single"/>
        </w:rPr>
        <w:t>Assay Procedur</w:t>
      </w:r>
      <w:r w:rsidR="00F97DC7">
        <w:rPr>
          <w:rFonts w:ascii="Century Gothic" w:eastAsia="Times New Roman" w:hAnsi="Century Gothic"/>
          <w:b/>
          <w:bCs/>
          <w:sz w:val="16"/>
          <w:szCs w:val="16"/>
          <w:u w:val="single"/>
        </w:rPr>
        <w:t>e and detection</w:t>
      </w:r>
    </w:p>
    <w:p w14:paraId="6CA7BA05" w14:textId="63E8EDD6" w:rsidR="00F97DC7" w:rsidRPr="00F97DC7" w:rsidRDefault="00F97DC7" w:rsidP="00F97DC7">
      <w:pPr>
        <w:spacing w:after="120"/>
        <w:rPr>
          <w:rFonts w:ascii="Century Gothic" w:hAnsi="Century Gothic"/>
          <w:b/>
          <w:bCs/>
          <w:sz w:val="16"/>
          <w:szCs w:val="16"/>
        </w:rPr>
      </w:pPr>
      <w:r w:rsidRPr="00F97DC7">
        <w:rPr>
          <w:rFonts w:ascii="Century Gothic" w:hAnsi="Century Gothic"/>
          <w:b/>
          <w:sz w:val="16"/>
          <w:szCs w:val="16"/>
        </w:rPr>
        <w:t>Equilibrate all materials and prepared reagents to room temperature prior to use.</w:t>
      </w:r>
    </w:p>
    <w:p w14:paraId="62B4E564" w14:textId="3AC40E18" w:rsidR="00F97DC7" w:rsidRPr="00F97DC7" w:rsidRDefault="00F97DC7" w:rsidP="00F97DC7">
      <w:pPr>
        <w:tabs>
          <w:tab w:val="left" w:pos="90"/>
          <w:tab w:val="left" w:pos="360"/>
        </w:tabs>
        <w:spacing w:before="60" w:after="60" w:line="276" w:lineRule="auto"/>
        <w:jc w:val="both"/>
        <w:rPr>
          <w:rFonts w:ascii="Century Gothic" w:hAnsi="Century Gothic"/>
          <w:b/>
          <w:sz w:val="16"/>
          <w:szCs w:val="16"/>
        </w:rPr>
      </w:pPr>
      <w:r>
        <w:rPr>
          <w:rFonts w:ascii="Century Gothic" w:hAnsi="Century Gothic"/>
          <w:b/>
          <w:sz w:val="16"/>
          <w:szCs w:val="16"/>
        </w:rPr>
        <w:t>I</w:t>
      </w:r>
      <w:r w:rsidRPr="00F97DC7">
        <w:rPr>
          <w:rFonts w:ascii="Century Gothic" w:hAnsi="Century Gothic"/>
          <w:b/>
          <w:sz w:val="16"/>
          <w:szCs w:val="16"/>
        </w:rPr>
        <w:t>t is recommended to assay all controls and samples in duplicate.</w:t>
      </w:r>
    </w:p>
    <w:p w14:paraId="50D1140E" w14:textId="77777777" w:rsidR="00F97DC7" w:rsidRPr="00F97DC7" w:rsidRDefault="00F97DC7" w:rsidP="00F97DC7">
      <w:pPr>
        <w:pStyle w:val="ListParagraph"/>
        <w:numPr>
          <w:ilvl w:val="0"/>
          <w:numId w:val="28"/>
        </w:numPr>
        <w:spacing w:after="120"/>
        <w:jc w:val="both"/>
        <w:rPr>
          <w:rFonts w:ascii="Century Gothic" w:hAnsi="Century Gothic" w:cs="Arial"/>
          <w:sz w:val="16"/>
          <w:szCs w:val="16"/>
        </w:rPr>
      </w:pPr>
      <w:r w:rsidRPr="00F97DC7">
        <w:rPr>
          <w:rFonts w:ascii="Century Gothic" w:hAnsi="Century Gothic" w:cs="Arial"/>
          <w:sz w:val="16"/>
          <w:szCs w:val="16"/>
        </w:rPr>
        <w:t>Culture cells (5 – 100 x 103/well) in a 96-well microtiter plate in a final volume of 200 µL/well. Cells can be cultured in the absence or presence of additional factors for viability/proliferation testing.</w:t>
      </w:r>
    </w:p>
    <w:p w14:paraId="7FFB380C" w14:textId="77777777" w:rsidR="00F97DC7" w:rsidRPr="00F97DC7" w:rsidRDefault="00F97DC7" w:rsidP="00F97DC7">
      <w:pPr>
        <w:pStyle w:val="ListParagraph"/>
        <w:numPr>
          <w:ilvl w:val="0"/>
          <w:numId w:val="28"/>
        </w:numPr>
        <w:spacing w:after="120"/>
        <w:jc w:val="both"/>
        <w:rPr>
          <w:rFonts w:ascii="Century Gothic" w:hAnsi="Century Gothic" w:cs="Arial"/>
          <w:sz w:val="16"/>
          <w:szCs w:val="16"/>
        </w:rPr>
      </w:pPr>
      <w:r w:rsidRPr="00F97DC7">
        <w:rPr>
          <w:rFonts w:ascii="Century Gothic" w:hAnsi="Century Gothic" w:cs="Arial"/>
          <w:sz w:val="16"/>
          <w:szCs w:val="16"/>
        </w:rPr>
        <w:t>If cells are cultured in different volume of culture medium, adjust the amount of MTS Reagent accordingly.</w:t>
      </w:r>
    </w:p>
    <w:p w14:paraId="63A211D4" w14:textId="77777777" w:rsidR="00F97DC7" w:rsidRPr="00F97DC7" w:rsidRDefault="00F97DC7" w:rsidP="00F97DC7">
      <w:pPr>
        <w:pStyle w:val="ListParagraph"/>
        <w:numPr>
          <w:ilvl w:val="0"/>
          <w:numId w:val="28"/>
        </w:numPr>
        <w:spacing w:after="120"/>
        <w:jc w:val="both"/>
        <w:rPr>
          <w:rFonts w:ascii="Century Gothic" w:hAnsi="Century Gothic" w:cs="Arial"/>
          <w:sz w:val="16"/>
          <w:szCs w:val="16"/>
        </w:rPr>
      </w:pPr>
      <w:r w:rsidRPr="00F97DC7">
        <w:rPr>
          <w:rFonts w:ascii="Century Gothic" w:hAnsi="Century Gothic" w:cs="Arial"/>
          <w:sz w:val="16"/>
          <w:szCs w:val="16"/>
        </w:rPr>
        <w:t>Incubate cells for 20 – 48 hours. The appropriate incubation time will depend on the individual cell type and cell concentrations used. Therefore, it is recommended to determine the optimal incubation time for a particular experiment.</w:t>
      </w:r>
    </w:p>
    <w:p w14:paraId="5B92DA64" w14:textId="77777777" w:rsidR="00F97DC7" w:rsidRPr="00F97DC7" w:rsidRDefault="00F97DC7" w:rsidP="00F97DC7">
      <w:pPr>
        <w:pStyle w:val="ListParagraph"/>
        <w:numPr>
          <w:ilvl w:val="0"/>
          <w:numId w:val="28"/>
        </w:numPr>
        <w:spacing w:after="120"/>
        <w:jc w:val="both"/>
        <w:rPr>
          <w:rFonts w:ascii="Century Gothic" w:hAnsi="Century Gothic" w:cs="Arial"/>
          <w:sz w:val="16"/>
          <w:szCs w:val="16"/>
        </w:rPr>
      </w:pPr>
      <w:r w:rsidRPr="00F97DC7">
        <w:rPr>
          <w:rFonts w:ascii="Century Gothic" w:hAnsi="Century Gothic" w:cs="Arial"/>
          <w:sz w:val="16"/>
          <w:szCs w:val="16"/>
        </w:rPr>
        <w:t>Add 20 µL/well MTS Reagent into each well and incubate for 0.5 – 4 hours at 37°C in standard culture conditions.</w:t>
      </w:r>
    </w:p>
    <w:p w14:paraId="2BD10925" w14:textId="77777777" w:rsidR="00F97DC7" w:rsidRPr="004F0CAC" w:rsidRDefault="00F97DC7" w:rsidP="00F97DC7">
      <w:pPr>
        <w:pStyle w:val="ListParagraph"/>
        <w:numPr>
          <w:ilvl w:val="0"/>
          <w:numId w:val="28"/>
        </w:numPr>
        <w:spacing w:after="120"/>
        <w:jc w:val="both"/>
        <w:rPr>
          <w:rFonts w:ascii="Century Gothic" w:hAnsi="Century Gothic"/>
          <w:bCs/>
          <w:color w:val="000000"/>
          <w:sz w:val="16"/>
          <w:szCs w:val="16"/>
        </w:rPr>
      </w:pPr>
      <w:r w:rsidRPr="00F97DC7">
        <w:rPr>
          <w:rFonts w:ascii="Century Gothic" w:hAnsi="Century Gothic" w:cs="Arial"/>
          <w:sz w:val="16"/>
          <w:szCs w:val="16"/>
        </w:rPr>
        <w:t>Shake the plate briefly on a shaker and measure absorbance of treated and untreated cells</w:t>
      </w:r>
      <w:r w:rsidRPr="004F0CAC">
        <w:rPr>
          <w:rFonts w:ascii="Century Gothic" w:hAnsi="Century Gothic"/>
          <w:bCs/>
          <w:color w:val="000000"/>
          <w:sz w:val="16"/>
          <w:szCs w:val="16"/>
        </w:rPr>
        <w:t xml:space="preserve"> using a plate reader at OD=490 nm.</w:t>
      </w:r>
    </w:p>
    <w:p w14:paraId="6E27067C" w14:textId="4395C7A7" w:rsidR="00F97DC7" w:rsidRDefault="00F97DC7" w:rsidP="00F97DC7">
      <w:pPr>
        <w:tabs>
          <w:tab w:val="left" w:pos="900"/>
        </w:tabs>
        <w:spacing w:before="60" w:after="60" w:line="276" w:lineRule="auto"/>
        <w:rPr>
          <w:rFonts w:ascii="Century Gothic" w:hAnsi="Century Gothic"/>
          <w:bCs/>
          <w:i/>
          <w:color w:val="000000"/>
          <w:sz w:val="16"/>
          <w:szCs w:val="16"/>
        </w:rPr>
      </w:pPr>
      <w:r w:rsidRPr="00F97DC7">
        <w:rPr>
          <w:rFonts w:ascii="Century Gothic" w:hAnsi="Century Gothic"/>
          <w:b/>
          <w:bCs/>
          <w:i/>
          <w:color w:val="000000"/>
          <w:sz w:val="16"/>
          <w:szCs w:val="16"/>
        </w:rPr>
        <w:t>NOTE</w:t>
      </w:r>
      <w:r w:rsidRPr="00F97DC7">
        <w:rPr>
          <w:rFonts w:ascii="Century Gothic" w:hAnsi="Century Gothic"/>
          <w:bCs/>
          <w:i/>
          <w:color w:val="000000"/>
          <w:sz w:val="16"/>
          <w:szCs w:val="16"/>
        </w:rPr>
        <w:t xml:space="preserve">: To measure the absorbance </w:t>
      </w:r>
      <w:proofErr w:type="gramStart"/>
      <w:r w:rsidRPr="00F97DC7">
        <w:rPr>
          <w:rFonts w:ascii="Century Gothic" w:hAnsi="Century Gothic"/>
          <w:bCs/>
          <w:i/>
          <w:color w:val="000000"/>
          <w:sz w:val="16"/>
          <w:szCs w:val="16"/>
        </w:rPr>
        <w:t>at a later time</w:t>
      </w:r>
      <w:proofErr w:type="gramEnd"/>
      <w:r w:rsidRPr="00F97DC7">
        <w:rPr>
          <w:rFonts w:ascii="Century Gothic" w:hAnsi="Century Gothic"/>
          <w:bCs/>
          <w:i/>
          <w:color w:val="000000"/>
          <w:sz w:val="16"/>
          <w:szCs w:val="16"/>
        </w:rPr>
        <w:t>, add 10 µL of 10% SDS to each well to stop the reaction. Store SDS-treated plates protected from light in a humidified chamber at room temperature for up to 18 hours.</w:t>
      </w:r>
    </w:p>
    <w:p w14:paraId="0C0D7BF7" w14:textId="77777777" w:rsidR="00F97DC7" w:rsidRPr="00F97DC7" w:rsidRDefault="00F97DC7" w:rsidP="00F97DC7">
      <w:pPr>
        <w:tabs>
          <w:tab w:val="left" w:pos="900"/>
        </w:tabs>
        <w:spacing w:before="60" w:after="60" w:line="276" w:lineRule="auto"/>
        <w:rPr>
          <w:rFonts w:ascii="Century Gothic" w:hAnsi="Century Gothic"/>
          <w:bCs/>
          <w:i/>
          <w:color w:val="000000"/>
          <w:sz w:val="16"/>
          <w:szCs w:val="16"/>
        </w:rPr>
      </w:pPr>
    </w:p>
    <w:p w14:paraId="456D2DA3" w14:textId="586B6D68" w:rsidR="00660705" w:rsidRDefault="00660705" w:rsidP="00135D4A">
      <w:pPr>
        <w:keepNext/>
        <w:keepLines/>
        <w:suppressAutoHyphens/>
        <w:spacing w:after="120"/>
        <w:outlineLvl w:val="0"/>
        <w:rPr>
          <w:rFonts w:ascii="Century Gothic" w:eastAsia="Times New Roman" w:hAnsi="Century Gothic"/>
          <w:b/>
          <w:bCs/>
          <w:sz w:val="16"/>
          <w:szCs w:val="16"/>
          <w:u w:val="single"/>
        </w:rPr>
      </w:pPr>
      <w:r>
        <w:rPr>
          <w:rFonts w:ascii="Century Gothic" w:eastAsia="Times New Roman" w:hAnsi="Century Gothic"/>
          <w:b/>
          <w:bCs/>
          <w:sz w:val="16"/>
          <w:szCs w:val="16"/>
          <w:u w:val="single"/>
        </w:rPr>
        <w:t>Troubleshooting</w:t>
      </w: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34"/>
        <w:gridCol w:w="1965"/>
        <w:gridCol w:w="2936"/>
      </w:tblGrid>
      <w:tr w:rsidR="00F97DC7" w:rsidRPr="004F0CAC" w14:paraId="5A95C580" w14:textId="77777777" w:rsidTr="00F677A5">
        <w:trPr>
          <w:trHeight w:val="288"/>
          <w:jc w:val="center"/>
        </w:trPr>
        <w:tc>
          <w:tcPr>
            <w:tcW w:w="1317" w:type="dxa"/>
            <w:shd w:val="clear" w:color="auto" w:fill="auto"/>
            <w:noWrap/>
            <w:vAlign w:val="center"/>
            <w:hideMark/>
          </w:tcPr>
          <w:p w14:paraId="2992F9A5" w14:textId="77777777" w:rsidR="00F97DC7" w:rsidRPr="004F0CAC" w:rsidRDefault="00F97DC7" w:rsidP="00F677A5">
            <w:pPr>
              <w:spacing w:line="240" w:lineRule="auto"/>
              <w:jc w:val="center"/>
              <w:rPr>
                <w:rFonts w:ascii="Century Gothic" w:eastAsia="Times New Roman" w:hAnsi="Century Gothic" w:cs="Arial"/>
                <w:b/>
                <w:bCs/>
                <w:color w:val="000000"/>
                <w:sz w:val="16"/>
                <w:szCs w:val="16"/>
              </w:rPr>
            </w:pPr>
            <w:r w:rsidRPr="004F0CAC">
              <w:rPr>
                <w:rFonts w:ascii="Century Gothic" w:eastAsia="Times New Roman" w:hAnsi="Century Gothic" w:cs="Arial"/>
                <w:b/>
                <w:bCs/>
                <w:color w:val="000000"/>
                <w:sz w:val="16"/>
                <w:szCs w:val="16"/>
              </w:rPr>
              <w:t>Problem</w:t>
            </w:r>
          </w:p>
        </w:tc>
        <w:tc>
          <w:tcPr>
            <w:tcW w:w="1969" w:type="dxa"/>
            <w:shd w:val="clear" w:color="auto" w:fill="auto"/>
            <w:vAlign w:val="center"/>
            <w:hideMark/>
          </w:tcPr>
          <w:p w14:paraId="067FEB1D" w14:textId="77777777" w:rsidR="00F97DC7" w:rsidRPr="004F0CAC" w:rsidRDefault="00F97DC7" w:rsidP="00F677A5">
            <w:pPr>
              <w:spacing w:line="240" w:lineRule="auto"/>
              <w:jc w:val="center"/>
              <w:rPr>
                <w:rFonts w:ascii="Century Gothic" w:eastAsia="Times New Roman" w:hAnsi="Century Gothic" w:cs="Arial"/>
                <w:b/>
                <w:bCs/>
                <w:color w:val="000000"/>
                <w:sz w:val="16"/>
                <w:szCs w:val="16"/>
              </w:rPr>
            </w:pPr>
            <w:r w:rsidRPr="004F0CAC">
              <w:rPr>
                <w:rFonts w:ascii="Century Gothic" w:eastAsia="Times New Roman" w:hAnsi="Century Gothic" w:cs="Arial"/>
                <w:b/>
                <w:bCs/>
                <w:color w:val="000000"/>
                <w:sz w:val="16"/>
                <w:szCs w:val="16"/>
              </w:rPr>
              <w:t>Cause</w:t>
            </w:r>
          </w:p>
        </w:tc>
        <w:tc>
          <w:tcPr>
            <w:tcW w:w="2949" w:type="dxa"/>
            <w:shd w:val="clear" w:color="auto" w:fill="auto"/>
            <w:vAlign w:val="center"/>
            <w:hideMark/>
          </w:tcPr>
          <w:p w14:paraId="746B7C8B" w14:textId="77777777" w:rsidR="00F97DC7" w:rsidRPr="004F0CAC" w:rsidRDefault="00F97DC7" w:rsidP="00F677A5">
            <w:pPr>
              <w:spacing w:line="240" w:lineRule="auto"/>
              <w:jc w:val="center"/>
              <w:rPr>
                <w:rFonts w:ascii="Century Gothic" w:eastAsia="Times New Roman" w:hAnsi="Century Gothic" w:cs="Arial"/>
                <w:b/>
                <w:bCs/>
                <w:color w:val="000000"/>
                <w:sz w:val="16"/>
                <w:szCs w:val="16"/>
              </w:rPr>
            </w:pPr>
            <w:r w:rsidRPr="004F0CAC">
              <w:rPr>
                <w:rFonts w:ascii="Century Gothic" w:eastAsia="Times New Roman" w:hAnsi="Century Gothic" w:cs="Arial"/>
                <w:b/>
                <w:bCs/>
                <w:color w:val="000000"/>
                <w:sz w:val="16"/>
                <w:szCs w:val="16"/>
              </w:rPr>
              <w:t>Solution</w:t>
            </w:r>
          </w:p>
        </w:tc>
      </w:tr>
      <w:tr w:rsidR="00F97DC7" w:rsidRPr="004F0CAC" w14:paraId="33E762E4" w14:textId="77777777" w:rsidTr="00F677A5">
        <w:trPr>
          <w:trHeight w:val="489"/>
          <w:jc w:val="center"/>
        </w:trPr>
        <w:tc>
          <w:tcPr>
            <w:tcW w:w="1317" w:type="dxa"/>
            <w:vMerge w:val="restart"/>
            <w:shd w:val="clear" w:color="auto" w:fill="auto"/>
            <w:vAlign w:val="center"/>
            <w:hideMark/>
          </w:tcPr>
          <w:p w14:paraId="3EC693A5" w14:textId="77777777" w:rsidR="00F97DC7" w:rsidRPr="004F0CAC" w:rsidRDefault="00F97DC7" w:rsidP="00F677A5">
            <w:pP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Assay not working</w:t>
            </w:r>
          </w:p>
        </w:tc>
        <w:tc>
          <w:tcPr>
            <w:tcW w:w="1969" w:type="dxa"/>
            <w:shd w:val="clear" w:color="auto" w:fill="auto"/>
            <w:vAlign w:val="center"/>
            <w:hideMark/>
          </w:tcPr>
          <w:p w14:paraId="631AFA1B"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Use of ice-cold buffer</w:t>
            </w:r>
          </w:p>
        </w:tc>
        <w:tc>
          <w:tcPr>
            <w:tcW w:w="2949" w:type="dxa"/>
            <w:shd w:val="clear" w:color="auto" w:fill="auto"/>
            <w:vAlign w:val="center"/>
            <w:hideMark/>
          </w:tcPr>
          <w:p w14:paraId="1CF9BD7F"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Buffers must be at room temperature</w:t>
            </w:r>
          </w:p>
        </w:tc>
      </w:tr>
      <w:tr w:rsidR="00F97DC7" w:rsidRPr="004F0CAC" w14:paraId="1B654464" w14:textId="77777777" w:rsidTr="00F677A5">
        <w:trPr>
          <w:trHeight w:val="567"/>
          <w:jc w:val="center"/>
        </w:trPr>
        <w:tc>
          <w:tcPr>
            <w:tcW w:w="1317" w:type="dxa"/>
            <w:vMerge/>
            <w:shd w:val="clear" w:color="auto" w:fill="auto"/>
            <w:vAlign w:val="center"/>
            <w:hideMark/>
          </w:tcPr>
          <w:p w14:paraId="4EC98FAE"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hideMark/>
          </w:tcPr>
          <w:p w14:paraId="2599F1A9"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Plate read at incorrect wavelength</w:t>
            </w:r>
          </w:p>
        </w:tc>
        <w:tc>
          <w:tcPr>
            <w:tcW w:w="2949" w:type="dxa"/>
            <w:shd w:val="clear" w:color="auto" w:fill="auto"/>
            <w:vAlign w:val="center"/>
            <w:hideMark/>
          </w:tcPr>
          <w:p w14:paraId="1DD8A601"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Check the wavelength and filter settings of instrument</w:t>
            </w:r>
          </w:p>
        </w:tc>
      </w:tr>
      <w:tr w:rsidR="00F97DC7" w:rsidRPr="004F0CAC" w14:paraId="6E974E66" w14:textId="77777777" w:rsidTr="00F677A5">
        <w:trPr>
          <w:trHeight w:val="567"/>
          <w:jc w:val="center"/>
        </w:trPr>
        <w:tc>
          <w:tcPr>
            <w:tcW w:w="1317" w:type="dxa"/>
            <w:vMerge/>
            <w:vAlign w:val="center"/>
            <w:hideMark/>
          </w:tcPr>
          <w:p w14:paraId="16FD6382"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hideMark/>
          </w:tcPr>
          <w:p w14:paraId="11DF2807"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Use of a different 96-well plate</w:t>
            </w:r>
          </w:p>
        </w:tc>
        <w:tc>
          <w:tcPr>
            <w:tcW w:w="2949" w:type="dxa"/>
            <w:shd w:val="clear" w:color="auto" w:fill="auto"/>
            <w:vAlign w:val="center"/>
            <w:hideMark/>
          </w:tcPr>
          <w:p w14:paraId="390F580E"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Colorimetric: Clear plates</w:t>
            </w:r>
          </w:p>
          <w:p w14:paraId="1CB1DDD1"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Fluorometric: black wells/clear bottom plate</w:t>
            </w:r>
          </w:p>
        </w:tc>
      </w:tr>
      <w:tr w:rsidR="00F97DC7" w:rsidRPr="004F0CAC" w14:paraId="4F539592" w14:textId="77777777" w:rsidTr="00F677A5">
        <w:trPr>
          <w:trHeight w:val="567"/>
          <w:jc w:val="center"/>
        </w:trPr>
        <w:tc>
          <w:tcPr>
            <w:tcW w:w="1317" w:type="dxa"/>
            <w:vMerge w:val="restart"/>
            <w:shd w:val="clear" w:color="auto" w:fill="auto"/>
            <w:vAlign w:val="center"/>
            <w:hideMark/>
          </w:tcPr>
          <w:p w14:paraId="3DA79717" w14:textId="77777777" w:rsidR="00F97DC7" w:rsidRPr="004F0CAC" w:rsidRDefault="00F97DC7" w:rsidP="00F677A5">
            <w:pPr>
              <w:spacing w:line="240" w:lineRule="auto"/>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Sample with erratic readings</w:t>
            </w:r>
          </w:p>
        </w:tc>
        <w:tc>
          <w:tcPr>
            <w:tcW w:w="1969" w:type="dxa"/>
            <w:shd w:val="clear" w:color="auto" w:fill="auto"/>
            <w:vAlign w:val="center"/>
            <w:hideMark/>
          </w:tcPr>
          <w:p w14:paraId="615C26E5"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Cells/tissue samples not homogenized completely</w:t>
            </w:r>
          </w:p>
        </w:tc>
        <w:tc>
          <w:tcPr>
            <w:tcW w:w="2949" w:type="dxa"/>
            <w:shd w:val="clear" w:color="auto" w:fill="auto"/>
            <w:vAlign w:val="center"/>
            <w:hideMark/>
          </w:tcPr>
          <w:p w14:paraId="274CFB5B"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Use Dounce homogenizer, increase number of strokes</w:t>
            </w:r>
          </w:p>
        </w:tc>
      </w:tr>
      <w:tr w:rsidR="00F97DC7" w:rsidRPr="004F0CAC" w14:paraId="56527B82" w14:textId="77777777" w:rsidTr="00F677A5">
        <w:trPr>
          <w:trHeight w:val="567"/>
          <w:jc w:val="center"/>
        </w:trPr>
        <w:tc>
          <w:tcPr>
            <w:tcW w:w="1317" w:type="dxa"/>
            <w:vMerge/>
            <w:shd w:val="clear" w:color="auto" w:fill="auto"/>
            <w:vAlign w:val="center"/>
            <w:hideMark/>
          </w:tcPr>
          <w:p w14:paraId="549DCEC4"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hideMark/>
          </w:tcPr>
          <w:p w14:paraId="45120F0B"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Samples used after multiple free/ thaw cycles</w:t>
            </w:r>
          </w:p>
        </w:tc>
        <w:tc>
          <w:tcPr>
            <w:tcW w:w="2949" w:type="dxa"/>
            <w:shd w:val="clear" w:color="auto" w:fill="auto"/>
            <w:vAlign w:val="center"/>
            <w:hideMark/>
          </w:tcPr>
          <w:p w14:paraId="60D7EAAB"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Aliquot and freeze samples if needed to use multiple times</w:t>
            </w:r>
          </w:p>
        </w:tc>
      </w:tr>
      <w:tr w:rsidR="00F97DC7" w:rsidRPr="004F0CAC" w14:paraId="2B867052" w14:textId="77777777" w:rsidTr="00F677A5">
        <w:trPr>
          <w:trHeight w:val="567"/>
          <w:jc w:val="center"/>
        </w:trPr>
        <w:tc>
          <w:tcPr>
            <w:tcW w:w="1317" w:type="dxa"/>
            <w:vMerge/>
            <w:shd w:val="clear" w:color="auto" w:fill="auto"/>
            <w:vAlign w:val="center"/>
            <w:hideMark/>
          </w:tcPr>
          <w:p w14:paraId="35591ED1"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hideMark/>
          </w:tcPr>
          <w:p w14:paraId="370003AE"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Use of old or inappropriately stored samples</w:t>
            </w:r>
          </w:p>
        </w:tc>
        <w:tc>
          <w:tcPr>
            <w:tcW w:w="2949" w:type="dxa"/>
            <w:shd w:val="clear" w:color="auto" w:fill="auto"/>
            <w:vAlign w:val="center"/>
            <w:hideMark/>
          </w:tcPr>
          <w:p w14:paraId="1699F631"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Use fresh samples or store at - 80°C (after snap freeze in liquid nitrogen) till use</w:t>
            </w:r>
          </w:p>
        </w:tc>
      </w:tr>
      <w:tr w:rsidR="00F97DC7" w:rsidRPr="004F0CAC" w14:paraId="20DAE75A" w14:textId="77777777" w:rsidTr="00F677A5">
        <w:trPr>
          <w:trHeight w:val="567"/>
          <w:jc w:val="center"/>
        </w:trPr>
        <w:tc>
          <w:tcPr>
            <w:tcW w:w="1317" w:type="dxa"/>
            <w:vMerge/>
            <w:shd w:val="clear" w:color="auto" w:fill="auto"/>
            <w:vAlign w:val="center"/>
            <w:hideMark/>
          </w:tcPr>
          <w:p w14:paraId="5F8FCE4E"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hideMark/>
          </w:tcPr>
          <w:p w14:paraId="2AEA8258"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Presence of interfering substance in the sample</w:t>
            </w:r>
          </w:p>
        </w:tc>
        <w:tc>
          <w:tcPr>
            <w:tcW w:w="2949" w:type="dxa"/>
            <w:shd w:val="clear" w:color="auto" w:fill="auto"/>
            <w:vAlign w:val="center"/>
            <w:hideMark/>
          </w:tcPr>
          <w:p w14:paraId="0197350D"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Check protocol for interfering substances; deproteinize samples</w:t>
            </w:r>
          </w:p>
        </w:tc>
      </w:tr>
      <w:tr w:rsidR="00F97DC7" w:rsidRPr="004F0CAC" w14:paraId="7A6AC149" w14:textId="77777777" w:rsidTr="00F677A5">
        <w:trPr>
          <w:trHeight w:val="567"/>
          <w:jc w:val="center"/>
        </w:trPr>
        <w:tc>
          <w:tcPr>
            <w:tcW w:w="1317" w:type="dxa"/>
            <w:vMerge w:val="restart"/>
            <w:vAlign w:val="center"/>
          </w:tcPr>
          <w:p w14:paraId="08EA20F2" w14:textId="77777777" w:rsidR="00F97DC7" w:rsidRPr="004F0CAC" w:rsidRDefault="00F97DC7" w:rsidP="00F677A5">
            <w:pPr>
              <w:spacing w:line="240" w:lineRule="auto"/>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Lower/ Higher readings in samples and Standards</w:t>
            </w:r>
          </w:p>
        </w:tc>
        <w:tc>
          <w:tcPr>
            <w:tcW w:w="1969" w:type="dxa"/>
            <w:shd w:val="clear" w:color="auto" w:fill="auto"/>
            <w:vAlign w:val="center"/>
          </w:tcPr>
          <w:p w14:paraId="18FE9A34"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Improperly thawed components</w:t>
            </w:r>
          </w:p>
        </w:tc>
        <w:tc>
          <w:tcPr>
            <w:tcW w:w="2949" w:type="dxa"/>
            <w:shd w:val="clear" w:color="auto" w:fill="auto"/>
            <w:vAlign w:val="center"/>
          </w:tcPr>
          <w:p w14:paraId="7A6E7426"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Thaw all components completely and mix gently before use</w:t>
            </w:r>
          </w:p>
        </w:tc>
      </w:tr>
      <w:tr w:rsidR="00F97DC7" w:rsidRPr="004F0CAC" w14:paraId="096AF8F3" w14:textId="77777777" w:rsidTr="00F677A5">
        <w:trPr>
          <w:trHeight w:val="567"/>
          <w:jc w:val="center"/>
        </w:trPr>
        <w:tc>
          <w:tcPr>
            <w:tcW w:w="1317" w:type="dxa"/>
            <w:vMerge/>
            <w:vAlign w:val="center"/>
          </w:tcPr>
          <w:p w14:paraId="6C861044"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tcPr>
          <w:p w14:paraId="6E2AFF8E"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Allowing reagents to sit for extended times on ice</w:t>
            </w:r>
          </w:p>
        </w:tc>
        <w:tc>
          <w:tcPr>
            <w:tcW w:w="2949" w:type="dxa"/>
            <w:shd w:val="clear" w:color="auto" w:fill="auto"/>
            <w:vAlign w:val="center"/>
          </w:tcPr>
          <w:p w14:paraId="029AD85C"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Always thaw and prepare fresh reaction mix before use</w:t>
            </w:r>
          </w:p>
        </w:tc>
      </w:tr>
      <w:tr w:rsidR="00F97DC7" w:rsidRPr="004F0CAC" w14:paraId="0F8351A5" w14:textId="77777777" w:rsidTr="00F677A5">
        <w:trPr>
          <w:trHeight w:val="689"/>
          <w:jc w:val="center"/>
        </w:trPr>
        <w:tc>
          <w:tcPr>
            <w:tcW w:w="1317" w:type="dxa"/>
            <w:vMerge/>
            <w:vAlign w:val="center"/>
          </w:tcPr>
          <w:p w14:paraId="67DD263E"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tcPr>
          <w:p w14:paraId="2A11108D"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Incorrect incubation times or temperatures</w:t>
            </w:r>
          </w:p>
        </w:tc>
        <w:tc>
          <w:tcPr>
            <w:tcW w:w="2949" w:type="dxa"/>
            <w:shd w:val="clear" w:color="auto" w:fill="auto"/>
            <w:vAlign w:val="center"/>
          </w:tcPr>
          <w:p w14:paraId="6BB4BB53"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Verify correct incubation times and temperatures in protocol</w:t>
            </w:r>
          </w:p>
        </w:tc>
      </w:tr>
      <w:tr w:rsidR="00F97DC7" w:rsidRPr="004F0CAC" w14:paraId="09D8D078" w14:textId="77777777" w:rsidTr="00F677A5">
        <w:trPr>
          <w:trHeight w:val="567"/>
          <w:jc w:val="center"/>
        </w:trPr>
        <w:tc>
          <w:tcPr>
            <w:tcW w:w="1317" w:type="dxa"/>
            <w:vMerge w:val="restart"/>
            <w:vAlign w:val="center"/>
          </w:tcPr>
          <w:p w14:paraId="3BDFEF66" w14:textId="77777777" w:rsidR="00F97DC7" w:rsidRPr="004F0CAC" w:rsidRDefault="00F97DC7" w:rsidP="00F677A5">
            <w:pPr>
              <w:spacing w:line="240" w:lineRule="auto"/>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Unanticipated results</w:t>
            </w:r>
          </w:p>
        </w:tc>
        <w:tc>
          <w:tcPr>
            <w:tcW w:w="1969" w:type="dxa"/>
            <w:shd w:val="clear" w:color="auto" w:fill="auto"/>
            <w:vAlign w:val="center"/>
          </w:tcPr>
          <w:p w14:paraId="18EFE856"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Measured at incorrect wavelength</w:t>
            </w:r>
          </w:p>
        </w:tc>
        <w:tc>
          <w:tcPr>
            <w:tcW w:w="2949" w:type="dxa"/>
            <w:shd w:val="clear" w:color="auto" w:fill="auto"/>
            <w:vAlign w:val="center"/>
          </w:tcPr>
          <w:p w14:paraId="46B0DB45"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Check equipment and filter setting</w:t>
            </w:r>
          </w:p>
        </w:tc>
      </w:tr>
      <w:tr w:rsidR="00F97DC7" w:rsidRPr="004F0CAC" w14:paraId="49593FBA" w14:textId="77777777" w:rsidTr="00F677A5">
        <w:trPr>
          <w:trHeight w:val="567"/>
          <w:jc w:val="center"/>
        </w:trPr>
        <w:tc>
          <w:tcPr>
            <w:tcW w:w="1317" w:type="dxa"/>
            <w:vMerge/>
            <w:vAlign w:val="center"/>
          </w:tcPr>
          <w:p w14:paraId="5DC23C5F"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tcPr>
          <w:p w14:paraId="7F92EBDD"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Samples contain interfering substances</w:t>
            </w:r>
          </w:p>
        </w:tc>
        <w:tc>
          <w:tcPr>
            <w:tcW w:w="2949" w:type="dxa"/>
            <w:shd w:val="clear" w:color="auto" w:fill="auto"/>
            <w:vAlign w:val="center"/>
          </w:tcPr>
          <w:p w14:paraId="426F77F1"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Troubleshoot if it interferes with the kit</w:t>
            </w:r>
          </w:p>
        </w:tc>
      </w:tr>
      <w:tr w:rsidR="00F97DC7" w:rsidRPr="004F0CAC" w14:paraId="5FC54DE4" w14:textId="77777777" w:rsidTr="00F677A5">
        <w:trPr>
          <w:trHeight w:val="567"/>
          <w:jc w:val="center"/>
        </w:trPr>
        <w:tc>
          <w:tcPr>
            <w:tcW w:w="1317" w:type="dxa"/>
            <w:vMerge/>
            <w:vAlign w:val="center"/>
          </w:tcPr>
          <w:p w14:paraId="7FEEA0FA" w14:textId="77777777" w:rsidR="00F97DC7" w:rsidRPr="004F0CAC" w:rsidRDefault="00F97DC7" w:rsidP="00F677A5">
            <w:pPr>
              <w:spacing w:line="240" w:lineRule="auto"/>
              <w:rPr>
                <w:rFonts w:ascii="Century Gothic" w:eastAsia="Times New Roman" w:hAnsi="Century Gothic" w:cs="Arial"/>
                <w:color w:val="000000"/>
                <w:sz w:val="16"/>
                <w:szCs w:val="16"/>
              </w:rPr>
            </w:pPr>
          </w:p>
        </w:tc>
        <w:tc>
          <w:tcPr>
            <w:tcW w:w="1969" w:type="dxa"/>
            <w:shd w:val="clear" w:color="auto" w:fill="auto"/>
            <w:vAlign w:val="center"/>
          </w:tcPr>
          <w:p w14:paraId="00A291EF"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Sample readings above/ below the linear range</w:t>
            </w:r>
          </w:p>
        </w:tc>
        <w:tc>
          <w:tcPr>
            <w:tcW w:w="2949" w:type="dxa"/>
            <w:shd w:val="clear" w:color="auto" w:fill="auto"/>
            <w:vAlign w:val="center"/>
          </w:tcPr>
          <w:p w14:paraId="77C51BB8" w14:textId="77777777" w:rsidR="00F97DC7" w:rsidRPr="004F0CAC" w:rsidRDefault="00F97DC7" w:rsidP="00F677A5">
            <w:pPr>
              <w:spacing w:line="240" w:lineRule="auto"/>
              <w:jc w:val="center"/>
              <w:rPr>
                <w:rFonts w:ascii="Century Gothic" w:eastAsia="Times New Roman" w:hAnsi="Century Gothic" w:cs="Arial"/>
                <w:color w:val="000000"/>
                <w:sz w:val="16"/>
                <w:szCs w:val="16"/>
              </w:rPr>
            </w:pPr>
            <w:r w:rsidRPr="004F0CAC">
              <w:rPr>
                <w:rFonts w:ascii="Century Gothic" w:eastAsia="Times New Roman" w:hAnsi="Century Gothic" w:cs="Arial"/>
                <w:color w:val="000000"/>
                <w:sz w:val="16"/>
                <w:szCs w:val="16"/>
              </w:rPr>
              <w:t>Concentrate/ Dilute sample so it is within the linear range</w:t>
            </w:r>
          </w:p>
        </w:tc>
      </w:tr>
    </w:tbl>
    <w:p w14:paraId="268C373D" w14:textId="77777777" w:rsidR="00660705" w:rsidRPr="00B61751" w:rsidRDefault="00660705" w:rsidP="00B61751">
      <w:pPr>
        <w:spacing w:line="276" w:lineRule="auto"/>
        <w:rPr>
          <w:rFonts w:ascii="Century Gothic" w:hAnsi="Century Gothic"/>
          <w:sz w:val="16"/>
          <w:szCs w:val="16"/>
        </w:rPr>
      </w:pPr>
    </w:p>
    <w:p w14:paraId="5CABF80C"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601F5A0E"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6F378020"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5D637D98"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4BC5422E"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3CA13075"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606C85A2"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0C1F1E91"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72F8C847"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1A57D115"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4139BE16"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70C5294C"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3F6AEC50"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7059AE69"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72332177"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0E0F8514"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7CDA9683"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21EA4DAB"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398FDFF8"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2F815D60"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2BF45FE9"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5D9F33BB"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23251BB2"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77267668"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2B3AA7F4"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26949EF9" w14:textId="77777777" w:rsidR="009F1F09" w:rsidRDefault="009F1F09" w:rsidP="00135D4A">
      <w:pPr>
        <w:keepNext/>
        <w:keepLines/>
        <w:suppressAutoHyphens/>
        <w:spacing w:after="120"/>
        <w:outlineLvl w:val="0"/>
        <w:rPr>
          <w:rFonts w:ascii="Century Gothic" w:eastAsia="Times New Roman" w:hAnsi="Century Gothic"/>
          <w:b/>
          <w:bCs/>
          <w:sz w:val="16"/>
          <w:szCs w:val="16"/>
        </w:rPr>
      </w:pPr>
    </w:p>
    <w:p w14:paraId="1ECA40C4" w14:textId="044A0453" w:rsidR="0035246C" w:rsidRPr="0004001D" w:rsidRDefault="0035246C" w:rsidP="00135D4A">
      <w:pPr>
        <w:keepNext/>
        <w:keepLines/>
        <w:suppressAutoHyphens/>
        <w:spacing w:after="120"/>
        <w:outlineLvl w:val="0"/>
        <w:rPr>
          <w:rFonts w:ascii="Century Gothic" w:eastAsia="Times New Roman" w:hAnsi="Century Gothic"/>
          <w:b/>
          <w:bCs/>
          <w:sz w:val="16"/>
          <w:szCs w:val="16"/>
        </w:rPr>
      </w:pPr>
      <w:r w:rsidRPr="0004001D">
        <w:rPr>
          <w:rFonts w:ascii="Century Gothic" w:eastAsia="Times New Roman" w:hAnsi="Century Gothic"/>
          <w:b/>
          <w:bCs/>
          <w:sz w:val="16"/>
          <w:szCs w:val="16"/>
        </w:rPr>
        <w:t>Technical Support</w:t>
      </w:r>
    </w:p>
    <w:p w14:paraId="50235EF7" w14:textId="35FCFC82" w:rsidR="0035246C" w:rsidRPr="00DC3201" w:rsidRDefault="0035246C" w:rsidP="0035246C">
      <w:pPr>
        <w:spacing w:after="120"/>
        <w:rPr>
          <w:rFonts w:ascii="Century Gothic" w:hAnsi="Century Gothic"/>
          <w:sz w:val="16"/>
          <w:szCs w:val="16"/>
        </w:rPr>
      </w:pPr>
      <w:r w:rsidRPr="0004001D">
        <w:rPr>
          <w:rFonts w:ascii="Century Gothic" w:hAnsi="Century Gothic"/>
          <w:sz w:val="16"/>
          <w:szCs w:val="16"/>
        </w:rPr>
        <w:t>Copyright © 202</w:t>
      </w:r>
      <w:r w:rsidR="00F965D3">
        <w:rPr>
          <w:rFonts w:ascii="Century Gothic" w:hAnsi="Century Gothic"/>
          <w:sz w:val="16"/>
          <w:szCs w:val="16"/>
        </w:rPr>
        <w:t>3</w:t>
      </w:r>
      <w:r w:rsidRPr="0004001D">
        <w:rPr>
          <w:rFonts w:ascii="Century Gothic" w:hAnsi="Century Gothic"/>
          <w:sz w:val="16"/>
          <w:szCs w:val="16"/>
        </w:rPr>
        <w:t xml:space="preserve"> Abcam. All Rights Reserved. The Abcam logo is a registered trademark. All information / detail is correct at time of going to print.</w:t>
      </w:r>
    </w:p>
    <w:p w14:paraId="1088C390" w14:textId="2EA3807D" w:rsidR="009F1F09" w:rsidRPr="009F1F09" w:rsidRDefault="0035246C" w:rsidP="009F1F09">
      <w:pPr>
        <w:spacing w:after="120"/>
        <w:rPr>
          <w:rFonts w:ascii="Century Gothic" w:hAnsi="Century Gothic"/>
          <w:sz w:val="16"/>
          <w:szCs w:val="16"/>
        </w:rPr>
      </w:pPr>
      <w:r w:rsidRPr="0004001D">
        <w:rPr>
          <w:rFonts w:ascii="Century Gothic" w:hAnsi="Century Gothic"/>
          <w:b/>
          <w:sz w:val="16"/>
          <w:szCs w:val="16"/>
        </w:rPr>
        <w:t>For all technical or commercial enquiries please go to:</w:t>
      </w:r>
      <w:r w:rsidRPr="0004001D">
        <w:rPr>
          <w:rFonts w:ascii="Century Gothic" w:hAnsi="Century Gothic"/>
          <w:b/>
          <w:sz w:val="16"/>
          <w:szCs w:val="16"/>
        </w:rPr>
        <w:br/>
      </w:r>
      <w:hyperlink r:id="rId10" w:history="1">
        <w:r w:rsidRPr="0004001D">
          <w:rPr>
            <w:rStyle w:val="Hyperlink"/>
            <w:rFonts w:ascii="Century Gothic" w:hAnsi="Century Gothic"/>
            <w:sz w:val="16"/>
            <w:szCs w:val="16"/>
          </w:rPr>
          <w:t>www.abcam.com/contactus</w:t>
        </w:r>
      </w:hyperlink>
      <w:r w:rsidRPr="0004001D">
        <w:rPr>
          <w:rFonts w:ascii="Century Gothic" w:hAnsi="Century Gothic"/>
          <w:sz w:val="16"/>
          <w:szCs w:val="16"/>
        </w:rPr>
        <w:br/>
      </w:r>
      <w:hyperlink r:id="rId11" w:history="1">
        <w:r w:rsidRPr="0004001D">
          <w:rPr>
            <w:rStyle w:val="Hyperlink"/>
            <w:rFonts w:ascii="Century Gothic" w:hAnsi="Century Gothic"/>
            <w:sz w:val="16"/>
            <w:szCs w:val="16"/>
          </w:rPr>
          <w:t>www.abcam.cn/contactus</w:t>
        </w:r>
      </w:hyperlink>
      <w:r w:rsidRPr="0004001D">
        <w:rPr>
          <w:rFonts w:ascii="Century Gothic" w:hAnsi="Century Gothic"/>
          <w:sz w:val="16"/>
          <w:szCs w:val="16"/>
        </w:rPr>
        <w:t xml:space="preserve"> (China)</w:t>
      </w:r>
      <w:r w:rsidRPr="0004001D">
        <w:rPr>
          <w:rFonts w:ascii="Century Gothic" w:hAnsi="Century Gothic"/>
          <w:sz w:val="16"/>
          <w:szCs w:val="16"/>
        </w:rPr>
        <w:br/>
      </w:r>
      <w:hyperlink r:id="rId12" w:history="1">
        <w:r w:rsidRPr="0004001D">
          <w:rPr>
            <w:rStyle w:val="Hyperlink"/>
            <w:rFonts w:ascii="Century Gothic" w:hAnsi="Century Gothic"/>
            <w:sz w:val="16"/>
            <w:szCs w:val="16"/>
          </w:rPr>
          <w:t>www.abcam.co.jp/contactus</w:t>
        </w:r>
      </w:hyperlink>
      <w:r w:rsidRPr="0004001D">
        <w:rPr>
          <w:rFonts w:ascii="Century Gothic" w:hAnsi="Century Gothic"/>
          <w:sz w:val="16"/>
          <w:szCs w:val="16"/>
        </w:rPr>
        <w:t xml:space="preserve"> (Japan)</w:t>
      </w:r>
    </w:p>
    <w:sectPr w:rsidR="00700607" w:rsidRPr="009F1F09" w:rsidSect="00A25D7F">
      <w:footerReference w:type="default" r:id="rId13"/>
      <w:pgSz w:w="16838" w:h="11906" w:orient="landscape"/>
      <w:pgMar w:top="720" w:right="720" w:bottom="720" w:left="720" w:header="624"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4E86" w14:textId="77777777" w:rsidR="00F97CA5" w:rsidRDefault="00F97CA5" w:rsidP="00F55792">
      <w:pPr>
        <w:spacing w:after="0" w:line="240" w:lineRule="auto"/>
      </w:pPr>
      <w:r>
        <w:separator/>
      </w:r>
    </w:p>
  </w:endnote>
  <w:endnote w:type="continuationSeparator" w:id="0">
    <w:p w14:paraId="7716050E" w14:textId="77777777" w:rsidR="00F97CA5" w:rsidRDefault="00F97CA5" w:rsidP="00F5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518A" w14:textId="7E861F43" w:rsidR="009F1F09" w:rsidRPr="009F1F09" w:rsidRDefault="008A2BC7">
    <w:pPr>
      <w:pStyle w:val="Footer"/>
      <w:rPr>
        <w:rFonts w:ascii="Century Gothic" w:hAnsi="Century Gothic"/>
        <w:sz w:val="16"/>
        <w:szCs w:val="16"/>
      </w:rPr>
    </w:pPr>
    <w:r w:rsidRPr="009F1F09">
      <w:rPr>
        <w:rFonts w:ascii="Century Gothic" w:hAnsi="Century Gothic"/>
        <w:sz w:val="16"/>
        <w:szCs w:val="16"/>
      </w:rPr>
      <w:t xml:space="preserve">Version </w:t>
    </w:r>
    <w:r w:rsidR="00F965D3" w:rsidRPr="009F1F09">
      <w:rPr>
        <w:rFonts w:ascii="Century Gothic" w:hAnsi="Century Gothic"/>
        <w:sz w:val="16"/>
        <w:szCs w:val="16"/>
      </w:rPr>
      <w:t>4</w:t>
    </w:r>
    <w:r w:rsidR="00456522" w:rsidRPr="009F1F09">
      <w:rPr>
        <w:rFonts w:ascii="Century Gothic" w:hAnsi="Century Gothic"/>
        <w:sz w:val="16"/>
        <w:szCs w:val="16"/>
      </w:rPr>
      <w:t>c</w:t>
    </w:r>
    <w:r w:rsidR="00F55792" w:rsidRPr="009F1F09">
      <w:rPr>
        <w:rFonts w:ascii="Century Gothic" w:hAnsi="Century Gothic"/>
        <w:sz w:val="16"/>
        <w:szCs w:val="16"/>
      </w:rPr>
      <w:t>, Last updated</w:t>
    </w:r>
    <w:r w:rsidRPr="009F1F09">
      <w:rPr>
        <w:rFonts w:ascii="Century Gothic" w:hAnsi="Century Gothic"/>
        <w:sz w:val="16"/>
        <w:szCs w:val="16"/>
      </w:rPr>
      <w:t xml:space="preserve"> </w:t>
    </w:r>
    <w:r w:rsidR="00456522" w:rsidRPr="009F1F09">
      <w:rPr>
        <w:rFonts w:ascii="Century Gothic" w:hAnsi="Century Gothic"/>
        <w:sz w:val="16"/>
        <w:szCs w:val="16"/>
      </w:rPr>
      <w:t>16</w:t>
    </w:r>
    <w:r w:rsidRPr="009F1F09">
      <w:rPr>
        <w:rFonts w:ascii="Century Gothic" w:hAnsi="Century Gothic"/>
        <w:sz w:val="16"/>
        <w:szCs w:val="16"/>
      </w:rPr>
      <w:t xml:space="preserve"> </w:t>
    </w:r>
    <w:r w:rsidR="00456522" w:rsidRPr="009F1F09">
      <w:rPr>
        <w:rFonts w:ascii="Century Gothic" w:hAnsi="Century Gothic"/>
        <w:sz w:val="16"/>
        <w:szCs w:val="16"/>
      </w:rPr>
      <w:t>January</w:t>
    </w:r>
    <w:r w:rsidRPr="009F1F09">
      <w:rPr>
        <w:rFonts w:ascii="Century Gothic" w:hAnsi="Century Gothic"/>
        <w:sz w:val="16"/>
        <w:szCs w:val="16"/>
      </w:rPr>
      <w:t xml:space="preserve"> 202</w:t>
    </w:r>
    <w:r w:rsidR="00456522" w:rsidRPr="009F1F09">
      <w:rPr>
        <w:rFonts w:ascii="Century Gothic" w:hAnsi="Century Gothic"/>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924B" w14:textId="77777777" w:rsidR="00F97CA5" w:rsidRDefault="00F97CA5" w:rsidP="00F55792">
      <w:pPr>
        <w:spacing w:after="0" w:line="240" w:lineRule="auto"/>
      </w:pPr>
      <w:r>
        <w:separator/>
      </w:r>
    </w:p>
  </w:footnote>
  <w:footnote w:type="continuationSeparator" w:id="0">
    <w:p w14:paraId="40E44515" w14:textId="77777777" w:rsidR="00F97CA5" w:rsidRDefault="00F97CA5" w:rsidP="00F55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D73"/>
    <w:multiLevelType w:val="hybridMultilevel"/>
    <w:tmpl w:val="47F4E5D8"/>
    <w:lvl w:ilvl="0" w:tplc="997CA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D4011"/>
    <w:multiLevelType w:val="hybridMultilevel"/>
    <w:tmpl w:val="153C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73ACE"/>
    <w:multiLevelType w:val="multilevel"/>
    <w:tmpl w:val="6C30F908"/>
    <w:lvl w:ilvl="0">
      <w:start w:val="9"/>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14B24"/>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316122EA"/>
    <w:multiLevelType w:val="hybridMultilevel"/>
    <w:tmpl w:val="35AE9E22"/>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A109E"/>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BA6681"/>
    <w:multiLevelType w:val="hybridMultilevel"/>
    <w:tmpl w:val="75C20D88"/>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407C2"/>
    <w:multiLevelType w:val="multilevel"/>
    <w:tmpl w:val="9B34B7C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CF26AA"/>
    <w:multiLevelType w:val="hybridMultilevel"/>
    <w:tmpl w:val="23F4A3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D4C3D"/>
    <w:multiLevelType w:val="multilevel"/>
    <w:tmpl w:val="F814AD78"/>
    <w:lvl w:ilvl="0">
      <w:start w:val="9"/>
      <w:numFmt w:val="decimal"/>
      <w:lvlText w:val="%1"/>
      <w:lvlJc w:val="left"/>
      <w:pPr>
        <w:ind w:left="360" w:hanging="360"/>
      </w:pPr>
      <w:rPr>
        <w:rFonts w:hint="default"/>
        <w:b/>
      </w:rPr>
    </w:lvl>
    <w:lvl w:ilvl="1">
      <w:start w:val="1"/>
      <w:numFmt w:val="decimal"/>
      <w:lvlText w:val="10.%2"/>
      <w:lvlJc w:val="left"/>
      <w:pPr>
        <w:ind w:left="928" w:hanging="360"/>
      </w:pPr>
      <w:rPr>
        <w:rFonts w:hint="default"/>
        <w:b w:val="0"/>
      </w:rPr>
    </w:lvl>
    <w:lvl w:ilvl="2">
      <w:start w:val="1"/>
      <w:numFmt w:val="decimal"/>
      <w:lvlText w:val="10.%2.%3"/>
      <w:lvlJc w:val="left"/>
      <w:pPr>
        <w:ind w:left="1854"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3" w15:restartNumberingAfterBreak="0">
    <w:nsid w:val="46C23A4E"/>
    <w:multiLevelType w:val="multilevel"/>
    <w:tmpl w:val="7D7431A8"/>
    <w:lvl w:ilvl="0">
      <w:start w:val="9"/>
      <w:numFmt w:val="decimal"/>
      <w:lvlText w:val="%1"/>
      <w:lvlJc w:val="left"/>
      <w:pPr>
        <w:ind w:left="360" w:hanging="360"/>
      </w:pPr>
      <w:rPr>
        <w:rFonts w:hint="default"/>
        <w:b/>
      </w:rPr>
    </w:lvl>
    <w:lvl w:ilvl="1">
      <w:start w:val="1"/>
      <w:numFmt w:val="decimal"/>
      <w:lvlText w:val="11.%2"/>
      <w:lvlJc w:val="left"/>
      <w:pPr>
        <w:ind w:left="928"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4" w15:restartNumberingAfterBreak="0">
    <w:nsid w:val="4E747C0F"/>
    <w:multiLevelType w:val="hybridMultilevel"/>
    <w:tmpl w:val="076050C4"/>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23EFE"/>
    <w:multiLevelType w:val="hybridMultilevel"/>
    <w:tmpl w:val="FE1623E0"/>
    <w:lvl w:ilvl="0" w:tplc="96DAB184">
      <w:start w:val="1"/>
      <w:numFmt w:val="decimal"/>
      <w:lvlText w:val="%1."/>
      <w:lvlJc w:val="left"/>
      <w:pPr>
        <w:ind w:left="720" w:hanging="360"/>
      </w:pPr>
      <w:rPr>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F22E85"/>
    <w:multiLevelType w:val="multilevel"/>
    <w:tmpl w:val="E0E44428"/>
    <w:lvl w:ilvl="0">
      <w:start w:val="1"/>
      <w:numFmt w:val="decimal"/>
      <w:pStyle w:val="1Abcamheading"/>
      <w:lvlText w:val="%1."/>
      <w:lvlJc w:val="left"/>
      <w:pPr>
        <w:ind w:left="360" w:hanging="360"/>
      </w:pPr>
      <w:rPr>
        <w:rFonts w:ascii="Century Gothic" w:hAnsi="Century Gothic" w:hint="default"/>
        <w:b/>
      </w:rPr>
    </w:lvl>
    <w:lvl w:ilvl="1">
      <w:start w:val="1"/>
      <w:numFmt w:val="decimal"/>
      <w:pStyle w:val="11Abcam"/>
      <w:lvlText w:val="%2."/>
      <w:lvlJc w:val="left"/>
      <w:pPr>
        <w:tabs>
          <w:tab w:val="num" w:pos="6378"/>
        </w:tabs>
        <w:ind w:left="6945" w:hanging="567"/>
      </w:pPr>
      <w:rPr>
        <w:rFonts w:ascii="Century Gothic" w:eastAsiaTheme="minorHAnsi" w:hAnsi="Century Gothic" w:cstheme="minorBid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662"/>
        </w:tabs>
        <w:ind w:left="7058" w:hanging="680"/>
      </w:pPr>
      <w:rPr>
        <w:rFonts w:hint="default"/>
      </w:rPr>
    </w:lvl>
    <w:lvl w:ilvl="3">
      <w:start w:val="1"/>
      <w:numFmt w:val="decimal"/>
      <w:lvlRestart w:val="0"/>
      <w:pStyle w:val="1111abcam"/>
      <w:lvlText w:val="%1.%2.%3.%4"/>
      <w:lvlJc w:val="left"/>
      <w:pPr>
        <w:ind w:left="510" w:hanging="794"/>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96" w:hanging="1080"/>
      </w:pPr>
      <w:rPr>
        <w:rFonts w:hint="default"/>
      </w:rPr>
    </w:lvl>
    <w:lvl w:ilvl="6">
      <w:start w:val="1"/>
      <w:numFmt w:val="decimal"/>
      <w:lvlText w:val="%1.%2.%3.%4.%5.%6.%7"/>
      <w:lvlJc w:val="left"/>
      <w:pPr>
        <w:ind w:left="1156" w:hanging="1440"/>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516" w:hanging="1800"/>
      </w:pPr>
      <w:rPr>
        <w:rFonts w:hint="default"/>
      </w:rPr>
    </w:lvl>
  </w:abstractNum>
  <w:abstractNum w:abstractNumId="17" w15:restartNumberingAfterBreak="0">
    <w:nsid w:val="5F935D32"/>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882627"/>
    <w:multiLevelType w:val="hybridMultilevel"/>
    <w:tmpl w:val="CB5408BA"/>
    <w:lvl w:ilvl="0" w:tplc="DE4CBCC0">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806C2"/>
    <w:multiLevelType w:val="hybridMultilevel"/>
    <w:tmpl w:val="E5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6FCF23A6"/>
    <w:multiLevelType w:val="hybridMultilevel"/>
    <w:tmpl w:val="99AA9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C35FF"/>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840C5"/>
    <w:multiLevelType w:val="multilevel"/>
    <w:tmpl w:val="37725D0E"/>
    <w:lvl w:ilvl="0">
      <w:start w:val="9"/>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75F91C4C"/>
    <w:multiLevelType w:val="hybridMultilevel"/>
    <w:tmpl w:val="AA2E1684"/>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8209C"/>
    <w:multiLevelType w:val="hybridMultilevel"/>
    <w:tmpl w:val="945C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00148"/>
    <w:multiLevelType w:val="hybridMultilevel"/>
    <w:tmpl w:val="C14027EE"/>
    <w:lvl w:ilvl="0" w:tplc="5CEEB51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71441"/>
    <w:multiLevelType w:val="hybridMultilevel"/>
    <w:tmpl w:val="C14027EE"/>
    <w:lvl w:ilvl="0" w:tplc="5CEEB51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212449">
    <w:abstractNumId w:val="16"/>
  </w:num>
  <w:num w:numId="2" w16cid:durableId="979068640">
    <w:abstractNumId w:val="18"/>
  </w:num>
  <w:num w:numId="3" w16cid:durableId="642153699">
    <w:abstractNumId w:val="26"/>
  </w:num>
  <w:num w:numId="4" w16cid:durableId="708917596">
    <w:abstractNumId w:val="27"/>
  </w:num>
  <w:num w:numId="5" w16cid:durableId="351733137">
    <w:abstractNumId w:val="24"/>
  </w:num>
  <w:num w:numId="6" w16cid:durableId="1711539419">
    <w:abstractNumId w:val="19"/>
  </w:num>
  <w:num w:numId="7" w16cid:durableId="1709840331">
    <w:abstractNumId w:val="15"/>
  </w:num>
  <w:num w:numId="8" w16cid:durableId="1252351742">
    <w:abstractNumId w:val="2"/>
  </w:num>
  <w:num w:numId="9" w16cid:durableId="1428424006">
    <w:abstractNumId w:val="7"/>
  </w:num>
  <w:num w:numId="10" w16cid:durableId="1243182057">
    <w:abstractNumId w:val="20"/>
  </w:num>
  <w:num w:numId="11" w16cid:durableId="1517304383">
    <w:abstractNumId w:val="1"/>
  </w:num>
  <w:num w:numId="12" w16cid:durableId="549652613">
    <w:abstractNumId w:val="4"/>
  </w:num>
  <w:num w:numId="13" w16cid:durableId="2040927448">
    <w:abstractNumId w:val="3"/>
  </w:num>
  <w:num w:numId="14" w16cid:durableId="1474106001">
    <w:abstractNumId w:val="17"/>
  </w:num>
  <w:num w:numId="15" w16cid:durableId="1718161934">
    <w:abstractNumId w:val="12"/>
  </w:num>
  <w:num w:numId="16" w16cid:durableId="275724410">
    <w:abstractNumId w:val="22"/>
  </w:num>
  <w:num w:numId="17" w16cid:durableId="485705213">
    <w:abstractNumId w:val="8"/>
  </w:num>
  <w:num w:numId="18" w16cid:durableId="1558007513">
    <w:abstractNumId w:val="5"/>
  </w:num>
  <w:num w:numId="19" w16cid:durableId="1778022248">
    <w:abstractNumId w:val="13"/>
  </w:num>
  <w:num w:numId="20" w16cid:durableId="195316660">
    <w:abstractNumId w:val="21"/>
  </w:num>
  <w:num w:numId="21" w16cid:durableId="1644773035">
    <w:abstractNumId w:val="0"/>
  </w:num>
  <w:num w:numId="22" w16cid:durableId="792362416">
    <w:abstractNumId w:val="23"/>
  </w:num>
  <w:num w:numId="23" w16cid:durableId="350842957">
    <w:abstractNumId w:val="14"/>
  </w:num>
  <w:num w:numId="24" w16cid:durableId="14767774">
    <w:abstractNumId w:val="6"/>
  </w:num>
  <w:num w:numId="25" w16cid:durableId="1188906122">
    <w:abstractNumId w:val="10"/>
  </w:num>
  <w:num w:numId="26" w16cid:durableId="2052538233">
    <w:abstractNumId w:val="25"/>
  </w:num>
  <w:num w:numId="27" w16cid:durableId="1856452952">
    <w:abstractNumId w:val="9"/>
  </w:num>
  <w:num w:numId="28" w16cid:durableId="1816873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6C"/>
    <w:rsid w:val="00135D4A"/>
    <w:rsid w:val="001404EA"/>
    <w:rsid w:val="00273A01"/>
    <w:rsid w:val="00286EBB"/>
    <w:rsid w:val="00321B78"/>
    <w:rsid w:val="0035246C"/>
    <w:rsid w:val="00381C5F"/>
    <w:rsid w:val="00456522"/>
    <w:rsid w:val="004B16F2"/>
    <w:rsid w:val="005C5D80"/>
    <w:rsid w:val="005C79A5"/>
    <w:rsid w:val="00660705"/>
    <w:rsid w:val="008A2BC7"/>
    <w:rsid w:val="009E236E"/>
    <w:rsid w:val="009F1F09"/>
    <w:rsid w:val="00A70191"/>
    <w:rsid w:val="00B36C5D"/>
    <w:rsid w:val="00B61751"/>
    <w:rsid w:val="00C06EF8"/>
    <w:rsid w:val="00C37AE5"/>
    <w:rsid w:val="00D946A0"/>
    <w:rsid w:val="00E67060"/>
    <w:rsid w:val="00F05AB9"/>
    <w:rsid w:val="00F55792"/>
    <w:rsid w:val="00F965D3"/>
    <w:rsid w:val="00F97CA5"/>
    <w:rsid w:val="00F97DC7"/>
    <w:rsid w:val="00FA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54B48"/>
  <w15:chartTrackingRefBased/>
  <w15:docId w15:val="{6E59BB8A-823C-4B44-9237-6BBA63CC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6C"/>
  </w:style>
  <w:style w:type="paragraph" w:styleId="Heading1">
    <w:name w:val="heading 1"/>
    <w:basedOn w:val="Normal"/>
    <w:next w:val="Normal"/>
    <w:link w:val="Heading1Char"/>
    <w:uiPriority w:val="9"/>
    <w:qFormat/>
    <w:rsid w:val="003524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2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6C"/>
  </w:style>
  <w:style w:type="paragraph" w:customStyle="1" w:styleId="111Abcam">
    <w:name w:val="1.1.1 Abcam"/>
    <w:basedOn w:val="ListParagraph"/>
    <w:qFormat/>
    <w:rsid w:val="0035246C"/>
    <w:pPr>
      <w:numPr>
        <w:ilvl w:val="2"/>
        <w:numId w:val="1"/>
      </w:numPr>
      <w:tabs>
        <w:tab w:val="clear" w:pos="6662"/>
        <w:tab w:val="num" w:pos="360"/>
      </w:tabs>
      <w:spacing w:before="60" w:after="60" w:line="240" w:lineRule="auto"/>
      <w:ind w:left="720" w:firstLine="0"/>
    </w:pPr>
    <w:rPr>
      <w:rFonts w:ascii="Century Gothic" w:hAnsi="Century Gothic"/>
      <w:sz w:val="20"/>
      <w:szCs w:val="20"/>
      <w:lang w:val="en-US"/>
    </w:rPr>
  </w:style>
  <w:style w:type="paragraph" w:customStyle="1" w:styleId="11Abcam">
    <w:name w:val="1.1 Abcam"/>
    <w:basedOn w:val="ListParagraph"/>
    <w:qFormat/>
    <w:rsid w:val="0035246C"/>
    <w:pPr>
      <w:numPr>
        <w:ilvl w:val="1"/>
        <w:numId w:val="1"/>
      </w:numPr>
      <w:spacing w:before="60" w:after="60" w:line="240" w:lineRule="auto"/>
    </w:pPr>
    <w:rPr>
      <w:rFonts w:ascii="Century Gothic" w:hAnsi="Century Gothic"/>
      <w:sz w:val="20"/>
      <w:szCs w:val="24"/>
      <w:lang w:val="en-US"/>
    </w:rPr>
  </w:style>
  <w:style w:type="paragraph" w:customStyle="1" w:styleId="1111abcam">
    <w:name w:val="1.1.1.1 abcam"/>
    <w:basedOn w:val="ListParagraph"/>
    <w:qFormat/>
    <w:rsid w:val="0035246C"/>
    <w:pPr>
      <w:numPr>
        <w:ilvl w:val="3"/>
        <w:numId w:val="1"/>
      </w:numPr>
      <w:tabs>
        <w:tab w:val="num" w:pos="360"/>
      </w:tabs>
      <w:spacing w:before="60" w:after="60" w:line="240" w:lineRule="auto"/>
      <w:ind w:left="720" w:firstLine="0"/>
    </w:pPr>
    <w:rPr>
      <w:rFonts w:ascii="Century Gothic" w:hAnsi="Century Gothic"/>
      <w:sz w:val="20"/>
      <w:szCs w:val="20"/>
      <w:lang w:val="en-US"/>
    </w:rPr>
  </w:style>
  <w:style w:type="paragraph" w:customStyle="1" w:styleId="1Abcamheading">
    <w:name w:val="1 Abcam heading"/>
    <w:basedOn w:val="Heading1"/>
    <w:qFormat/>
    <w:rsid w:val="0035246C"/>
    <w:pPr>
      <w:numPr>
        <w:numId w:val="1"/>
      </w:numPr>
      <w:tabs>
        <w:tab w:val="num" w:pos="360"/>
      </w:tabs>
      <w:suppressAutoHyphens/>
      <w:spacing w:after="240" w:line="240" w:lineRule="auto"/>
      <w:ind w:left="0" w:firstLine="0"/>
    </w:pPr>
    <w:rPr>
      <w:rFonts w:ascii="Century Gothic" w:eastAsia="Times New Roman" w:hAnsi="Century Gothic" w:cs="Times New Roman"/>
      <w:b/>
      <w:bCs/>
      <w:color w:val="auto"/>
      <w:sz w:val="24"/>
      <w:szCs w:val="28"/>
      <w:lang w:val="en-US"/>
    </w:rPr>
  </w:style>
  <w:style w:type="paragraph" w:styleId="ListParagraph">
    <w:name w:val="List Paragraph"/>
    <w:basedOn w:val="Normal"/>
    <w:link w:val="ListParagraphChar"/>
    <w:uiPriority w:val="34"/>
    <w:qFormat/>
    <w:rsid w:val="0035246C"/>
    <w:pPr>
      <w:ind w:left="720"/>
      <w:contextualSpacing/>
    </w:pPr>
  </w:style>
  <w:style w:type="character" w:styleId="Hyperlink">
    <w:name w:val="Hyperlink"/>
    <w:basedOn w:val="DefaultParagraphFont"/>
    <w:uiPriority w:val="99"/>
    <w:unhideWhenUsed/>
    <w:rsid w:val="0035246C"/>
    <w:rPr>
      <w:color w:val="0000FF"/>
      <w:u w:val="single"/>
    </w:rPr>
  </w:style>
  <w:style w:type="paragraph" w:customStyle="1" w:styleId="1AbcamStandardtext">
    <w:name w:val="1 Abcam Standard text"/>
    <w:basedOn w:val="Normal"/>
    <w:qFormat/>
    <w:rsid w:val="0035246C"/>
    <w:pPr>
      <w:spacing w:before="60" w:after="60" w:line="240" w:lineRule="auto"/>
    </w:pPr>
    <w:rPr>
      <w:rFonts w:ascii="Century Gothic" w:eastAsia="Cambria" w:hAnsi="Century Gothic" w:cs="Times New Roman"/>
      <w:sz w:val="20"/>
      <w:szCs w:val="24"/>
      <w:lang w:val="en-US"/>
    </w:rPr>
  </w:style>
  <w:style w:type="character" w:customStyle="1" w:styleId="ListParagraphChar">
    <w:name w:val="List Paragraph Char"/>
    <w:basedOn w:val="DefaultParagraphFont"/>
    <w:link w:val="ListParagraph"/>
    <w:uiPriority w:val="34"/>
    <w:rsid w:val="0035246C"/>
  </w:style>
  <w:style w:type="character" w:customStyle="1" w:styleId="Heading1Char">
    <w:name w:val="Heading 1 Char"/>
    <w:basedOn w:val="DefaultParagraphFont"/>
    <w:link w:val="Heading1"/>
    <w:uiPriority w:val="9"/>
    <w:rsid w:val="003524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5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792"/>
  </w:style>
  <w:style w:type="character" w:styleId="PlaceholderText">
    <w:name w:val="Placeholder Text"/>
    <w:basedOn w:val="DefaultParagraphFont"/>
    <w:uiPriority w:val="99"/>
    <w:semiHidden/>
    <w:rsid w:val="005C5D80"/>
    <w:rPr>
      <w:color w:val="808080"/>
    </w:rPr>
  </w:style>
  <w:style w:type="character" w:styleId="UnresolvedMention">
    <w:name w:val="Unresolved Mention"/>
    <w:basedOn w:val="DefaultParagraphFont"/>
    <w:uiPriority w:val="99"/>
    <w:semiHidden/>
    <w:unhideWhenUsed/>
    <w:rsid w:val="00660705"/>
    <w:rPr>
      <w:color w:val="605E5C"/>
      <w:shd w:val="clear" w:color="auto" w:fill="E1DFDD"/>
    </w:rPr>
  </w:style>
  <w:style w:type="paragraph" w:customStyle="1" w:styleId="TOCHeading1">
    <w:name w:val="TOC Heading1"/>
    <w:basedOn w:val="Heading1"/>
    <w:next w:val="Normal"/>
    <w:uiPriority w:val="39"/>
    <w:unhideWhenUsed/>
    <w:qFormat/>
    <w:rsid w:val="00660705"/>
    <w:pPr>
      <w:pBdr>
        <w:bottom w:val="single" w:sz="4" w:space="1" w:color="auto"/>
      </w:pBdr>
      <w:spacing w:before="480" w:line="276" w:lineRule="auto"/>
      <w:jc w:val="both"/>
      <w:outlineLvl w:val="9"/>
    </w:pPr>
    <w:rPr>
      <w:rFonts w:ascii="Calibri" w:eastAsia="Times New Roman" w:hAnsi="Calibri" w:cs="Times New Roman"/>
      <w:b/>
      <w:bCs/>
      <w:color w:val="365F91"/>
      <w:sz w:val="28"/>
      <w:szCs w:val="28"/>
      <w:lang w:val="en-US"/>
    </w:rPr>
  </w:style>
  <w:style w:type="paragraph" w:customStyle="1" w:styleId="MediumGrid1-Accent21">
    <w:name w:val="Medium Grid 1 - Accent 21"/>
    <w:basedOn w:val="Normal"/>
    <w:uiPriority w:val="99"/>
    <w:qFormat/>
    <w:rsid w:val="00660705"/>
    <w:pPr>
      <w:numPr>
        <w:numId w:val="11"/>
      </w:numPr>
      <w:spacing w:before="240" w:after="0" w:line="360" w:lineRule="auto"/>
      <w:contextualSpacing/>
      <w:jc w:val="both"/>
    </w:pPr>
    <w:rPr>
      <w:rFonts w:ascii="Arial" w:eastAsia="Cambria" w:hAnsi="Arial" w:cs="Times New Roman"/>
      <w:sz w:val="20"/>
      <w:szCs w:val="24"/>
      <w:lang w:val="en-US"/>
    </w:rPr>
  </w:style>
  <w:style w:type="table" w:styleId="TableGrid">
    <w:name w:val="Table Grid"/>
    <w:basedOn w:val="TableNormal"/>
    <w:uiPriority w:val="59"/>
    <w:rsid w:val="00660705"/>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terialsrequirednotsupplied">
    <w:name w:val="Materials required not supplied"/>
    <w:basedOn w:val="Normal"/>
    <w:link w:val="MaterialsrequirednotsuppliedChar"/>
    <w:qFormat/>
    <w:rsid w:val="00F97DC7"/>
    <w:pPr>
      <w:spacing w:before="60" w:after="60" w:line="276" w:lineRule="auto"/>
      <w:ind w:left="360" w:hanging="360"/>
    </w:pPr>
    <w:rPr>
      <w:rFonts w:ascii="Arial" w:eastAsia="Cambria" w:hAnsi="Arial" w:cs="Times New Roman"/>
      <w:sz w:val="20"/>
      <w:szCs w:val="20"/>
      <w:lang w:val="en-US"/>
    </w:rPr>
  </w:style>
  <w:style w:type="character" w:customStyle="1" w:styleId="MaterialsrequirednotsuppliedChar">
    <w:name w:val="Materials required not supplied Char"/>
    <w:basedOn w:val="DefaultParagraphFont"/>
    <w:link w:val="Materialsrequirednotsupplied"/>
    <w:rsid w:val="00F97DC7"/>
    <w:rPr>
      <w:rFonts w:ascii="Arial" w:eastAsia="Cambria"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4660">
      <w:bodyDiv w:val="1"/>
      <w:marLeft w:val="0"/>
      <w:marRight w:val="0"/>
      <w:marTop w:val="0"/>
      <w:marBottom w:val="0"/>
      <w:divBdr>
        <w:top w:val="none" w:sz="0" w:space="0" w:color="auto"/>
        <w:left w:val="none" w:sz="0" w:space="0" w:color="auto"/>
        <w:bottom w:val="none" w:sz="0" w:space="0" w:color="auto"/>
        <w:right w:val="none" w:sz="0" w:space="0" w:color="auto"/>
      </w:divBdr>
    </w:div>
    <w:div w:id="14557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n/ab1970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bcam.com/ab197010" TargetMode="External"/><Relationship Id="rId12" Type="http://schemas.openxmlformats.org/officeDocument/2006/relationships/hyperlink" Target="http://www.abcam.co.jp/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am.cn/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bcam.com/contactus" TargetMode="External"/><Relationship Id="rId4" Type="http://schemas.openxmlformats.org/officeDocument/2006/relationships/webSettings" Target="webSettings.xml"/><Relationship Id="rId9" Type="http://schemas.openxmlformats.org/officeDocument/2006/relationships/hyperlink" Target="https://www.abcam.co.jp/ab197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Elouise Strandmann</dc:creator>
  <cp:keywords/>
  <dc:description/>
  <cp:lastModifiedBy>Alexandra Manoylova</cp:lastModifiedBy>
  <cp:revision>2</cp:revision>
  <dcterms:created xsi:type="dcterms:W3CDTF">2024-01-17T10:28:00Z</dcterms:created>
  <dcterms:modified xsi:type="dcterms:W3CDTF">2024-01-17T10:28:00Z</dcterms:modified>
</cp:coreProperties>
</file>