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C1C1" w14:textId="7698B1EE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B512F5">
        <w:t>2a,</w:t>
      </w:r>
      <w:r w:rsidR="00275CB8" w:rsidRPr="00275CB8">
        <w:t xml:space="preserve"> </w:t>
      </w:r>
      <w:r w:rsidRPr="00275CB8">
        <w:t>Last</w:t>
      </w:r>
      <w:r>
        <w:t xml:space="preserve">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B71CDB">
        <w:rPr>
          <w:noProof/>
        </w:rPr>
        <w:t>6 June 2023</w:t>
      </w:r>
      <w:r>
        <w:fldChar w:fldCharType="end"/>
      </w:r>
    </w:p>
    <w:p w14:paraId="72ADDFF4" w14:textId="77777777" w:rsidR="00D332B4" w:rsidRDefault="00D332B4" w:rsidP="00DC1372">
      <w:pPr>
        <w:rPr>
          <w:rFonts w:cs="Arial"/>
          <w:lang w:val="en-GB"/>
        </w:rPr>
      </w:pPr>
    </w:p>
    <w:p w14:paraId="1375817D" w14:textId="77777777" w:rsidR="00D751DA" w:rsidRDefault="00D751DA" w:rsidP="00DC1372">
      <w:pPr>
        <w:rPr>
          <w:rFonts w:cs="Arial"/>
          <w:lang w:val="en-GB"/>
        </w:rPr>
      </w:pPr>
    </w:p>
    <w:p w14:paraId="1DF556FA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E74DC4" w14:paraId="27786D0C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681681FF" w14:textId="77777777" w:rsidR="00275CB8" w:rsidRDefault="00275CB8" w:rsidP="00275CB8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11400159"/>
            <w:r>
              <w:rPr>
                <w:rFonts w:ascii="Century Gothic" w:hAnsi="Century Gothic" w:cs="Lao UI"/>
                <w:b/>
              </w:rPr>
              <w:t>ab234051</w:t>
            </w:r>
          </w:p>
          <w:p w14:paraId="4285F0EC" w14:textId="77777777" w:rsidR="00275CB8" w:rsidRPr="00275CB8" w:rsidRDefault="00275CB8" w:rsidP="00275CB8">
            <w:pPr>
              <w:pStyle w:val="Title"/>
              <w:rPr>
                <w:rFonts w:ascii="Century Gothic" w:hAnsi="Century Gothic" w:cs="Lao UI"/>
                <w:b/>
              </w:rPr>
            </w:pPr>
            <w:r>
              <w:rPr>
                <w:rFonts w:ascii="Century Gothic" w:hAnsi="Century Gothic" w:cs="Lao UI"/>
                <w:b/>
              </w:rPr>
              <w:t>Chymotrypsin Assay Kit (Fluorometric)</w:t>
            </w:r>
          </w:p>
        </w:tc>
      </w:tr>
      <w:bookmarkEnd w:id="0"/>
    </w:tbl>
    <w:p w14:paraId="51FC1AA2" w14:textId="77777777" w:rsidR="00D751DA" w:rsidRDefault="00D751DA" w:rsidP="001B583F">
      <w:pPr>
        <w:pStyle w:val="1AbcamStandardtext"/>
      </w:pPr>
    </w:p>
    <w:p w14:paraId="4F96984F" w14:textId="77777777" w:rsidR="00DC1372" w:rsidRDefault="00B86D77" w:rsidP="001B583F">
      <w:pPr>
        <w:pStyle w:val="1AbcamStandardtext"/>
      </w:pPr>
      <w:r w:rsidRPr="001B583F">
        <w:t xml:space="preserve">For </w:t>
      </w:r>
      <w:r w:rsidR="00C82B34">
        <w:t xml:space="preserve">the </w:t>
      </w:r>
      <w:r w:rsidRPr="001B583F">
        <w:t xml:space="preserve">measurement of </w:t>
      </w:r>
      <w:r w:rsidR="00275CB8">
        <w:t>chymotrypsin activity</w:t>
      </w:r>
      <w:r w:rsidR="00C82B34">
        <w:t xml:space="preserve"> </w:t>
      </w:r>
      <w:r w:rsidRPr="001B583F">
        <w:t>in</w:t>
      </w:r>
      <w:r w:rsidR="00275CB8">
        <w:t xml:space="preserve"> cell and tissue lysates.</w:t>
      </w:r>
    </w:p>
    <w:p w14:paraId="31F6E044" w14:textId="77777777" w:rsidR="00BF65CB" w:rsidRPr="001B583F" w:rsidRDefault="00BF65CB" w:rsidP="001B583F">
      <w:pPr>
        <w:pStyle w:val="1AbcamStandardtext"/>
      </w:pPr>
    </w:p>
    <w:p w14:paraId="670660E0" w14:textId="4A8F2C80" w:rsidR="00B86D77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71AB0742" w14:textId="49426A3C" w:rsidR="00B512F5" w:rsidRDefault="00B512F5" w:rsidP="001B583F">
      <w:pPr>
        <w:pStyle w:val="1AbcamStandardtext"/>
      </w:pPr>
    </w:p>
    <w:p w14:paraId="13F251FF" w14:textId="26BE1CB6" w:rsidR="00B512F5" w:rsidRPr="001B583F" w:rsidRDefault="00B512F5" w:rsidP="001B583F">
      <w:pPr>
        <w:pStyle w:val="1AbcamStandardtext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7ABF58D9" w14:textId="77777777" w:rsidR="008B2920" w:rsidRPr="001B583F" w:rsidRDefault="008B2920" w:rsidP="00275CB8">
      <w:pPr>
        <w:spacing w:before="0" w:after="0"/>
      </w:pPr>
      <w:r w:rsidRPr="001B583F">
        <w:br w:type="page"/>
      </w:r>
    </w:p>
    <w:p w14:paraId="19C0771E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1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1"/>
    </w:p>
    <w:bookmarkStart w:id="2" w:name="_Toc446403811"/>
    <w:bookmarkStart w:id="3" w:name="_Toc315440410"/>
    <w:p w14:paraId="07A67E29" w14:textId="77777777" w:rsidR="00DA2341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DA2341">
        <w:rPr>
          <w:noProof/>
        </w:rPr>
        <w:t>1.</w:t>
      </w:r>
      <w:r w:rsidR="00DA2341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DA2341">
        <w:rPr>
          <w:noProof/>
        </w:rPr>
        <w:t>Overview</w:t>
      </w:r>
      <w:r w:rsidR="00DA2341">
        <w:rPr>
          <w:noProof/>
        </w:rPr>
        <w:tab/>
      </w:r>
      <w:r w:rsidR="00DA2341">
        <w:rPr>
          <w:noProof/>
        </w:rPr>
        <w:fldChar w:fldCharType="begin"/>
      </w:r>
      <w:r w:rsidR="00DA2341">
        <w:rPr>
          <w:noProof/>
        </w:rPr>
        <w:instrText xml:space="preserve"> PAGEREF _Toc512343294 \h </w:instrText>
      </w:r>
      <w:r w:rsidR="00DA2341">
        <w:rPr>
          <w:noProof/>
        </w:rPr>
      </w:r>
      <w:r w:rsidR="00DA2341">
        <w:rPr>
          <w:noProof/>
        </w:rPr>
        <w:fldChar w:fldCharType="separate"/>
      </w:r>
      <w:r w:rsidR="003646B8">
        <w:rPr>
          <w:noProof/>
        </w:rPr>
        <w:t>1</w:t>
      </w:r>
      <w:r w:rsidR="00DA2341">
        <w:rPr>
          <w:noProof/>
        </w:rPr>
        <w:fldChar w:fldCharType="end"/>
      </w:r>
    </w:p>
    <w:p w14:paraId="1942B095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_Toc512343295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2</w:t>
      </w:r>
      <w:r>
        <w:rPr>
          <w:noProof/>
        </w:rPr>
        <w:fldChar w:fldCharType="end"/>
      </w:r>
    </w:p>
    <w:p w14:paraId="2E7CF4C2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_Toc512343296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3</w:t>
      </w:r>
      <w:r>
        <w:rPr>
          <w:noProof/>
        </w:rPr>
        <w:fldChar w:fldCharType="end"/>
      </w:r>
    </w:p>
    <w:p w14:paraId="0AC68BE6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_Toc512343297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4</w:t>
      </w:r>
      <w:r>
        <w:rPr>
          <w:noProof/>
        </w:rPr>
        <w:fldChar w:fldCharType="end"/>
      </w:r>
    </w:p>
    <w:p w14:paraId="7DF1ACB9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_Toc512343298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5</w:t>
      </w:r>
      <w:r>
        <w:rPr>
          <w:noProof/>
        </w:rPr>
        <w:fldChar w:fldCharType="end"/>
      </w:r>
    </w:p>
    <w:p w14:paraId="3B7C41EC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_Toc512343299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6</w:t>
      </w:r>
      <w:r>
        <w:rPr>
          <w:noProof/>
        </w:rPr>
        <w:fldChar w:fldCharType="end"/>
      </w:r>
    </w:p>
    <w:p w14:paraId="28F9D95F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_Toc512343300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7</w:t>
      </w:r>
      <w:r>
        <w:rPr>
          <w:noProof/>
        </w:rPr>
        <w:fldChar w:fldCharType="end"/>
      </w:r>
    </w:p>
    <w:p w14:paraId="1414D4CD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_Toc512343301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8</w:t>
      </w:r>
      <w:r>
        <w:rPr>
          <w:noProof/>
        </w:rPr>
        <w:fldChar w:fldCharType="end"/>
      </w:r>
    </w:p>
    <w:p w14:paraId="7E34744A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_Toc512343302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10</w:t>
      </w:r>
      <w:r>
        <w:rPr>
          <w:noProof/>
        </w:rPr>
        <w:fldChar w:fldCharType="end"/>
      </w:r>
    </w:p>
    <w:p w14:paraId="3D5E4773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FAQs /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_Toc512343303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12</w:t>
      </w:r>
      <w:r>
        <w:rPr>
          <w:noProof/>
        </w:rPr>
        <w:fldChar w:fldCharType="end"/>
      </w:r>
    </w:p>
    <w:p w14:paraId="64E7D753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_Toc512343304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13</w:t>
      </w:r>
      <w:r>
        <w:rPr>
          <w:noProof/>
        </w:rPr>
        <w:fldChar w:fldCharType="end"/>
      </w:r>
    </w:p>
    <w:p w14:paraId="2D3C6F1C" w14:textId="77777777" w:rsidR="00DA2341" w:rsidRDefault="00DA234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_Toc512343305 \h </w:instrText>
      </w:r>
      <w:r>
        <w:rPr>
          <w:noProof/>
        </w:rPr>
      </w:r>
      <w:r>
        <w:rPr>
          <w:noProof/>
        </w:rPr>
        <w:fldChar w:fldCharType="separate"/>
      </w:r>
      <w:r w:rsidR="003646B8">
        <w:rPr>
          <w:noProof/>
        </w:rPr>
        <w:t>16</w:t>
      </w:r>
      <w:r>
        <w:rPr>
          <w:noProof/>
        </w:rPr>
        <w:fldChar w:fldCharType="end"/>
      </w:r>
    </w:p>
    <w:p w14:paraId="027F447E" w14:textId="77777777" w:rsidR="00E75A3C" w:rsidRPr="00275CB8" w:rsidRDefault="001F3104" w:rsidP="00275CB8">
      <w:pPr>
        <w:pStyle w:val="TOC1"/>
        <w:sectPr w:rsidR="00E75A3C" w:rsidRPr="00275CB8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fldChar w:fldCharType="end"/>
      </w:r>
      <w:r w:rsidR="00E75A3C">
        <w:t xml:space="preserve">   </w:t>
      </w:r>
    </w:p>
    <w:p w14:paraId="6773358A" w14:textId="77777777" w:rsidR="000E4FA8" w:rsidRPr="002A066A" w:rsidRDefault="000E4FA8" w:rsidP="00380497">
      <w:pPr>
        <w:pStyle w:val="1Abcamheading"/>
      </w:pPr>
      <w:bookmarkStart w:id="4" w:name="_Toc512343294"/>
      <w:r w:rsidRPr="002A066A">
        <w:lastRenderedPageBreak/>
        <w:t>Overview</w:t>
      </w:r>
      <w:bookmarkEnd w:id="2"/>
      <w:bookmarkEnd w:id="4"/>
    </w:p>
    <w:p w14:paraId="49D9EFF0" w14:textId="77777777" w:rsidR="00755831" w:rsidRDefault="00275CB8" w:rsidP="00275CB8">
      <w:pPr>
        <w:pStyle w:val="1AbcamStandardtext"/>
      </w:pPr>
      <w:r>
        <w:t>Chymotrypsin Assay Kit (Fluorometric)</w:t>
      </w:r>
      <w:r w:rsidR="005D21FD">
        <w:t xml:space="preserve"> </w:t>
      </w:r>
      <w:r>
        <w:t>(ab234051) uses a synthetic</w:t>
      </w:r>
      <w:r w:rsidR="009B5200" w:rsidRPr="009B5200">
        <w:t xml:space="preserve"> fluorogenic substrate, enabling kinetic measurement of chymotrypsin activity in cell and tissue lysates.</w:t>
      </w:r>
      <w:r w:rsidR="009B5200">
        <w:t xml:space="preserve"> </w:t>
      </w:r>
      <w:r w:rsidR="009B5200" w:rsidRPr="009B5200">
        <w:t>A chymotrypsin activator cleaves chymotrypsinogen to form active chymotrypsin, which then hydrolyzes the non-fluorescent substrate to release a stable fluorophore</w:t>
      </w:r>
      <w:r w:rsidR="009B5200">
        <w:t xml:space="preserve">. </w:t>
      </w:r>
      <w:r w:rsidR="009B5200" w:rsidRPr="009B5200">
        <w:t>The kit includes a selective chymotrypsin inhibitor that can be used to measure specific chymotrypsin activity in samples containing non-specific proteases and endopeptidases that may also metabolize the substrate. The assay can detect as low as 0.01 mU of Chymotrypsin.</w:t>
      </w:r>
      <w:r>
        <w:t xml:space="preserve"> </w:t>
      </w:r>
    </w:p>
    <w:p w14:paraId="48D69DE2" w14:textId="77777777" w:rsidR="00275CB8" w:rsidRDefault="00275CB8" w:rsidP="00275CB8">
      <w:pPr>
        <w:pStyle w:val="1AbcamStandardtext"/>
      </w:pPr>
    </w:p>
    <w:p w14:paraId="6C73BCD1" w14:textId="77777777" w:rsidR="00275CB8" w:rsidRPr="002A066A" w:rsidRDefault="00275CB8" w:rsidP="00275CB8">
      <w:pPr>
        <w:pStyle w:val="1AbcamStandardtext"/>
      </w:pPr>
    </w:p>
    <w:p w14:paraId="2F1F9656" w14:textId="2882736F" w:rsidR="000E4FA8" w:rsidRPr="002A066A" w:rsidRDefault="009B5200" w:rsidP="001B583F">
      <w:pPr>
        <w:pStyle w:val="1AbcamStandardtext"/>
        <w:jc w:val="center"/>
      </w:pPr>
      <w:r>
        <w:t xml:space="preserve">Homogenize sample with ice-cold </w:t>
      </w:r>
      <w:r w:rsidR="00B512F5">
        <w:t>Assay Buffer I/</w:t>
      </w:r>
      <w:r>
        <w:t xml:space="preserve">Chymotrypsin Assay Buffer </w:t>
      </w:r>
      <w:r w:rsidR="00F23A9C">
        <w:t xml:space="preserve">and </w:t>
      </w:r>
      <w:r w:rsidR="00EB4181">
        <w:t xml:space="preserve">keep on ice for </w:t>
      </w:r>
      <w:r>
        <w:t>10 minutes.</w:t>
      </w:r>
      <w:r w:rsidR="00755831">
        <w:t xml:space="preserve"> </w:t>
      </w:r>
    </w:p>
    <w:p w14:paraId="69D7372F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A9ABEF" wp14:editId="5835B103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DA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006CED08" w14:textId="77777777" w:rsidR="000E4FA8" w:rsidRPr="002A066A" w:rsidRDefault="000E4FA8" w:rsidP="001B583F">
      <w:pPr>
        <w:pStyle w:val="1AbcamStandardtext"/>
        <w:jc w:val="center"/>
      </w:pPr>
    </w:p>
    <w:p w14:paraId="6DCDEF0C" w14:textId="26DC2647" w:rsidR="00755831" w:rsidRPr="002A066A" w:rsidRDefault="009B5200" w:rsidP="00755831">
      <w:pPr>
        <w:pStyle w:val="1AbcamStandardtext"/>
        <w:jc w:val="center"/>
      </w:pPr>
      <w:r>
        <w:t xml:space="preserve">Prepare </w:t>
      </w:r>
      <w:r w:rsidR="00A95F84">
        <w:t xml:space="preserve">sample wells and </w:t>
      </w:r>
      <w:r>
        <w:t xml:space="preserve">Chymotrypsin Positive Control </w:t>
      </w:r>
      <w:r w:rsidR="00A95F84">
        <w:t>well</w:t>
      </w:r>
      <w:r>
        <w:t xml:space="preserve"> </w:t>
      </w:r>
      <w:r w:rsidR="00A95F84">
        <w:t xml:space="preserve">and add </w:t>
      </w:r>
      <w:r w:rsidR="00B512F5">
        <w:t>Assay Buffer I/</w:t>
      </w:r>
      <w:r>
        <w:t>Chymotrypsin Assay Buffer for background control</w:t>
      </w:r>
      <w:r w:rsidR="00A95F84">
        <w:t xml:space="preserve"> well</w:t>
      </w:r>
      <w:r>
        <w:t>.</w:t>
      </w:r>
      <w:r w:rsidR="00755831">
        <w:t xml:space="preserve"> </w:t>
      </w:r>
    </w:p>
    <w:p w14:paraId="10588079" w14:textId="77777777" w:rsidR="00000557" w:rsidRDefault="001B583F" w:rsidP="001B583F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D49AFB" wp14:editId="5D4A4F52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399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2E454A32" w14:textId="77777777" w:rsidR="001B583F" w:rsidRPr="002A066A" w:rsidRDefault="001B583F" w:rsidP="001B583F">
      <w:pPr>
        <w:pStyle w:val="1AbcamStandardtext"/>
        <w:jc w:val="center"/>
        <w:rPr>
          <w:lang w:val="en-GB"/>
        </w:rPr>
      </w:pPr>
    </w:p>
    <w:p w14:paraId="333C2865" w14:textId="065C8786" w:rsidR="00755831" w:rsidRDefault="009B5200" w:rsidP="00755831">
      <w:pPr>
        <w:pStyle w:val="1AbcamStandardtext"/>
        <w:jc w:val="center"/>
      </w:pPr>
      <w:r>
        <w:t>Generate a Standard Curve using</w:t>
      </w:r>
      <w:r w:rsidR="00762A9D">
        <w:t xml:space="preserve"> the</w:t>
      </w:r>
      <w:r>
        <w:t xml:space="preserve"> </w:t>
      </w:r>
      <w:r w:rsidR="00B512F5">
        <w:t>AMC Standard/</w:t>
      </w:r>
      <w:r w:rsidR="00762A9D">
        <w:t>Coumarin Standards Stock solution.</w:t>
      </w:r>
    </w:p>
    <w:p w14:paraId="25E6886E" w14:textId="77777777" w:rsidR="00762A9D" w:rsidRDefault="00762A9D" w:rsidP="00755831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D1E937" wp14:editId="3DEC9016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0975" cy="231140"/>
                <wp:effectExtent l="38100" t="0" r="28575" b="355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7442" id="AutoShape 10" o:spid="_x0000_s1026" type="#_x0000_t67" style="position:absolute;margin-left:0;margin-top:1.3pt;width:14.25pt;height:18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7GRAIAAJI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">
                <w10:wrap anchorx="margin"/>
              </v:shape>
            </w:pict>
          </mc:Fallback>
        </mc:AlternateContent>
      </w:r>
    </w:p>
    <w:p w14:paraId="180CA05B" w14:textId="77777777" w:rsidR="00762A9D" w:rsidRPr="002A066A" w:rsidRDefault="00762A9D" w:rsidP="00755831">
      <w:pPr>
        <w:pStyle w:val="1AbcamStandardtext"/>
        <w:jc w:val="center"/>
      </w:pPr>
    </w:p>
    <w:p w14:paraId="377085F8" w14:textId="77777777" w:rsidR="000E4FA8" w:rsidRDefault="00762A9D" w:rsidP="00762A9D">
      <w:pPr>
        <w:pStyle w:val="1AbcamStandardtext"/>
        <w:jc w:val="center"/>
        <w:rPr>
          <w:lang w:val="en-GB"/>
        </w:rPr>
      </w:pPr>
      <w:r>
        <w:rPr>
          <w:lang w:val="en-GB"/>
        </w:rPr>
        <w:t xml:space="preserve">Prepare reaction mixes for test sample </w:t>
      </w:r>
      <w:r w:rsidR="0090073C" w:rsidRPr="0090073C">
        <w:rPr>
          <w:lang w:val="en-GB"/>
        </w:rPr>
        <w:t>and sample background control wells</w:t>
      </w:r>
      <w:r>
        <w:rPr>
          <w:lang w:val="en-GB"/>
        </w:rPr>
        <w:t xml:space="preserve">. </w:t>
      </w:r>
      <w:r w:rsidR="0090073C">
        <w:rPr>
          <w:lang w:val="en-GB"/>
        </w:rPr>
        <w:t xml:space="preserve">Add </w:t>
      </w:r>
      <w:r w:rsidR="0090073C" w:rsidRPr="0090073C">
        <w:rPr>
          <w:lang w:val="en-GB"/>
        </w:rPr>
        <w:t xml:space="preserve">sample background control </w:t>
      </w:r>
      <w:r w:rsidR="0090073C">
        <w:rPr>
          <w:lang w:val="en-GB"/>
        </w:rPr>
        <w:t>mix</w:t>
      </w:r>
      <w:r w:rsidR="0090073C" w:rsidRPr="0090073C">
        <w:rPr>
          <w:lang w:val="en-GB"/>
        </w:rPr>
        <w:t xml:space="preserve"> </w:t>
      </w:r>
      <w:r w:rsidR="0090073C">
        <w:rPr>
          <w:lang w:val="en-GB"/>
        </w:rPr>
        <w:t>to each of the sample background control</w:t>
      </w:r>
      <w:r w:rsidR="0090073C" w:rsidRPr="0090073C">
        <w:rPr>
          <w:lang w:val="en-GB"/>
        </w:rPr>
        <w:t xml:space="preserve"> wells and </w:t>
      </w:r>
      <w:r w:rsidR="0090073C">
        <w:rPr>
          <w:lang w:val="en-GB"/>
        </w:rPr>
        <w:t>add reaction m</w:t>
      </w:r>
      <w:r w:rsidR="0090073C" w:rsidRPr="0090073C">
        <w:rPr>
          <w:lang w:val="en-GB"/>
        </w:rPr>
        <w:t>ix to wells containing samples</w:t>
      </w:r>
      <w:r w:rsidR="0090073C">
        <w:rPr>
          <w:lang w:val="en-GB"/>
        </w:rPr>
        <w:t>, sample + inhibitor, positive control</w:t>
      </w:r>
      <w:r w:rsidR="0090073C" w:rsidRPr="0090073C">
        <w:rPr>
          <w:lang w:val="en-GB"/>
        </w:rPr>
        <w:t xml:space="preserve"> and reagent background control</w:t>
      </w:r>
      <w:r w:rsidR="0090073C">
        <w:rPr>
          <w:lang w:val="en-GB"/>
        </w:rPr>
        <w:t>.</w:t>
      </w:r>
    </w:p>
    <w:p w14:paraId="72D05CCC" w14:textId="77777777" w:rsidR="00AD2A65" w:rsidRDefault="00762A9D" w:rsidP="001B583F">
      <w:pPr>
        <w:pStyle w:val="1AbcamStandardtext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60832B" wp14:editId="0C94E709">
                <wp:simplePos x="0" y="0"/>
                <wp:positionH relativeFrom="margin">
                  <wp:posOffset>2023110</wp:posOffset>
                </wp:positionH>
                <wp:positionV relativeFrom="paragraph">
                  <wp:posOffset>40640</wp:posOffset>
                </wp:positionV>
                <wp:extent cx="180975" cy="231140"/>
                <wp:effectExtent l="38100" t="0" r="28575" b="3556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BCE7" id="AutoShape 10" o:spid="_x0000_s1026" type="#_x0000_t67" style="position:absolute;margin-left:159.3pt;margin-top:3.2pt;width:14.25pt;height:18.2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vt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J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3E84F8EB" w14:textId="77777777" w:rsidR="00AD2A65" w:rsidRDefault="00AD2A65" w:rsidP="00762A9D">
      <w:pPr>
        <w:pStyle w:val="1AbcamStandardtext"/>
        <w:jc w:val="center"/>
        <w:rPr>
          <w:lang w:val="en-GB"/>
        </w:rPr>
      </w:pPr>
    </w:p>
    <w:p w14:paraId="0E4E1E20" w14:textId="77777777" w:rsidR="00762A9D" w:rsidRDefault="00762A9D" w:rsidP="00762A9D">
      <w:pPr>
        <w:pStyle w:val="1AbcamStandardtext"/>
        <w:jc w:val="center"/>
        <w:rPr>
          <w:lang w:val="en-GB"/>
        </w:rPr>
      </w:pPr>
      <w:r>
        <w:rPr>
          <w:lang w:val="en-GB"/>
        </w:rPr>
        <w:t xml:space="preserve">Record the fluorescence Ex/Em= 380/460 nm in kinetic mode for 30-60 minutes at 25 </w:t>
      </w:r>
      <w:r w:rsidRPr="00762A9D">
        <w:rPr>
          <w:lang w:val="en-GB"/>
        </w:rPr>
        <w:t>°C</w:t>
      </w:r>
      <w:r>
        <w:rPr>
          <w:lang w:val="en-GB"/>
        </w:rPr>
        <w:t>.</w:t>
      </w:r>
    </w:p>
    <w:p w14:paraId="65E6616D" w14:textId="77777777" w:rsidR="00AD2A65" w:rsidRDefault="00AD2A65" w:rsidP="001B583F">
      <w:pPr>
        <w:pStyle w:val="1AbcamStandardtext"/>
        <w:rPr>
          <w:lang w:val="en-GB"/>
        </w:rPr>
      </w:pPr>
    </w:p>
    <w:p w14:paraId="52348E74" w14:textId="77777777" w:rsidR="00231117" w:rsidRPr="00762A9D" w:rsidRDefault="00231117" w:rsidP="00762A9D">
      <w:pPr>
        <w:spacing w:before="0" w:after="0"/>
        <w:rPr>
          <w:lang w:val="en-GB"/>
        </w:rPr>
      </w:pPr>
      <w:r w:rsidRPr="002A066A">
        <w:lastRenderedPageBreak/>
        <w:br w:type="page"/>
      </w:r>
    </w:p>
    <w:p w14:paraId="4549DBA5" w14:textId="77777777" w:rsidR="000E4FA8" w:rsidRDefault="000E4FA8" w:rsidP="001E2DD7">
      <w:pPr>
        <w:pStyle w:val="1Abcamheading"/>
      </w:pPr>
      <w:bookmarkStart w:id="5" w:name="_Toc446403816"/>
      <w:bookmarkStart w:id="6" w:name="_Toc512343295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5"/>
      <w:r w:rsidR="00DC1BE4">
        <w:t xml:space="preserve"> and S</w:t>
      </w:r>
      <w:r w:rsidR="00BA030F">
        <w:t>torage</w:t>
      </w:r>
      <w:bookmarkEnd w:id="6"/>
    </w:p>
    <w:p w14:paraId="3D7C2B2C" w14:textId="77777777" w:rsidR="001402DA" w:rsidRDefault="00762A9D" w:rsidP="00DC1BE4">
      <w:r>
        <w:t xml:space="preserve">Store kit at -20°C protected from light </w:t>
      </w:r>
      <w:r w:rsidR="00C82B34">
        <w:t xml:space="preserve">immediately </w:t>
      </w:r>
      <w:r w:rsidR="00DC1BE4">
        <w:t>on receipt</w:t>
      </w:r>
      <w:r w:rsidR="00C82B34">
        <w:t xml:space="preserve"> and check below for storage for individual components</w:t>
      </w:r>
      <w:r w:rsidR="00DC1BE4">
        <w:t xml:space="preserve">. Kit can be stored for 1 year from receipt, if components have not been reconstituted. </w:t>
      </w:r>
    </w:p>
    <w:p w14:paraId="5F9115D8" w14:textId="77777777" w:rsidR="00DC1BE4" w:rsidRDefault="00DC1BE4" w:rsidP="00DC1BE4">
      <w:r>
        <w:t>Reconsti</w:t>
      </w:r>
      <w:r w:rsidR="00762A9D">
        <w:t xml:space="preserve">tuted components are stable for 2 </w:t>
      </w:r>
      <w:r>
        <w:t>months.</w:t>
      </w:r>
    </w:p>
    <w:p w14:paraId="5BFFD7A8" w14:textId="77777777" w:rsidR="00DC1BE4" w:rsidRDefault="00DC1BE4" w:rsidP="00DC1BE4">
      <w:r>
        <w:t xml:space="preserve">Aliquot components in working volumes before storing at the recommended temperature. </w:t>
      </w:r>
    </w:p>
    <w:p w14:paraId="01014038" w14:textId="77777777" w:rsidR="006B6677" w:rsidRDefault="006B6677" w:rsidP="00DC1BE4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0E4FA8" w:rsidRPr="002A066A" w14:paraId="6DDA6BBD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2809654F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0B804DB0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54310A94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786FA358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0E4FA8" w:rsidRPr="002A066A" w14:paraId="722D5411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F642CC4" w14:textId="53C19BEB" w:rsidR="000E4FA8" w:rsidRPr="00762A9D" w:rsidRDefault="00B512F5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Assay Buffer I/</w:t>
            </w:r>
            <w:r w:rsidR="00762A9D" w:rsidRPr="00762A9D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Chymotrypsin Assay Buffer</w:t>
            </w:r>
          </w:p>
        </w:tc>
        <w:tc>
          <w:tcPr>
            <w:tcW w:w="1109" w:type="dxa"/>
            <w:vAlign w:val="center"/>
          </w:tcPr>
          <w:p w14:paraId="711645D3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25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mL</w:t>
            </w:r>
          </w:p>
        </w:tc>
        <w:tc>
          <w:tcPr>
            <w:tcW w:w="1440" w:type="dxa"/>
            <w:vAlign w:val="center"/>
          </w:tcPr>
          <w:p w14:paraId="7E819BC5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0E4FA8"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4D41D8F7" w14:textId="77777777" w:rsidR="000E4FA8" w:rsidRPr="00762A9D" w:rsidRDefault="00475B4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7602CB71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4FFF164C" w14:textId="77777777" w:rsidR="000E4FA8" w:rsidRPr="002A066A" w:rsidRDefault="00762A9D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62A9D">
              <w:rPr>
                <w:rFonts w:cs="Arial"/>
                <w:bCs/>
                <w:color w:val="000000"/>
                <w:sz w:val="18"/>
                <w:szCs w:val="18"/>
              </w:rPr>
              <w:t>Chymotrypsin Substrate</w:t>
            </w:r>
          </w:p>
        </w:tc>
        <w:tc>
          <w:tcPr>
            <w:tcW w:w="1109" w:type="dxa"/>
            <w:vAlign w:val="center"/>
          </w:tcPr>
          <w:p w14:paraId="080740D9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200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440" w:type="dxa"/>
            <w:vAlign w:val="center"/>
          </w:tcPr>
          <w:p w14:paraId="194F7324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1800E94C" w14:textId="77777777" w:rsidR="000E4FA8" w:rsidRPr="00762A9D" w:rsidRDefault="00475B4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0A282179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443AF26" w14:textId="77777777" w:rsidR="000E4FA8" w:rsidRPr="002A066A" w:rsidRDefault="00762A9D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62A9D">
              <w:rPr>
                <w:rFonts w:cs="Arial"/>
                <w:bCs/>
                <w:color w:val="000000"/>
                <w:sz w:val="18"/>
                <w:szCs w:val="18"/>
              </w:rPr>
              <w:t>Chymotrypsin Activator</w:t>
            </w:r>
          </w:p>
        </w:tc>
        <w:tc>
          <w:tcPr>
            <w:tcW w:w="1109" w:type="dxa"/>
            <w:vAlign w:val="center"/>
          </w:tcPr>
          <w:p w14:paraId="13A343D0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796D3177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6D0F9731" w14:textId="77777777" w:rsidR="000E4FA8" w:rsidRPr="00762A9D" w:rsidRDefault="00475B4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-80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0EDD9858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4098DD5F" w14:textId="3F9AFF7C" w:rsidR="000E4FA8" w:rsidRPr="002A066A" w:rsidRDefault="00B512F5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Chymotrypsin Inhibitor I/</w:t>
            </w:r>
            <w:r w:rsidR="00762A9D" w:rsidRPr="00762A9D">
              <w:rPr>
                <w:rFonts w:cs="Arial"/>
                <w:bCs/>
                <w:color w:val="000000"/>
                <w:sz w:val="18"/>
                <w:szCs w:val="18"/>
              </w:rPr>
              <w:t>Chymotrypsin Inhibitor</w:t>
            </w:r>
          </w:p>
        </w:tc>
        <w:tc>
          <w:tcPr>
            <w:tcW w:w="1109" w:type="dxa"/>
            <w:vAlign w:val="center"/>
          </w:tcPr>
          <w:p w14:paraId="43716B1D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80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440" w:type="dxa"/>
            <w:vAlign w:val="center"/>
          </w:tcPr>
          <w:p w14:paraId="71271D0F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0492CD60" w14:textId="77777777" w:rsidR="000E4FA8" w:rsidRPr="00762A9D" w:rsidRDefault="00475B4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0EDB201A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62A31D9" w14:textId="050B1A72" w:rsidR="000E4FA8" w:rsidRPr="002A066A" w:rsidRDefault="00B512F5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AMC Standard/</w:t>
            </w:r>
            <w:r w:rsidR="00762A9D" w:rsidRPr="00762A9D">
              <w:rPr>
                <w:rFonts w:cs="Arial"/>
                <w:bCs/>
                <w:color w:val="000000"/>
                <w:sz w:val="18"/>
                <w:szCs w:val="18"/>
              </w:rPr>
              <w:t>Coumarin Standard (1 mM)</w:t>
            </w:r>
          </w:p>
        </w:tc>
        <w:tc>
          <w:tcPr>
            <w:tcW w:w="1109" w:type="dxa"/>
            <w:vAlign w:val="center"/>
          </w:tcPr>
          <w:p w14:paraId="7BC72F6A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100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440" w:type="dxa"/>
            <w:vAlign w:val="center"/>
          </w:tcPr>
          <w:p w14:paraId="2372F0B1" w14:textId="77777777" w:rsidR="000E4FA8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0B888175" w14:textId="77777777" w:rsidR="000E4FA8" w:rsidRPr="00762A9D" w:rsidRDefault="00475B4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762A9D" w:rsidRPr="002A066A" w14:paraId="18173D7E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076B3A93" w14:textId="77777777" w:rsidR="00762A9D" w:rsidRPr="00762A9D" w:rsidRDefault="00762A9D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762A9D">
              <w:rPr>
                <w:rFonts w:cs="Arial"/>
                <w:bCs/>
                <w:color w:val="000000"/>
                <w:sz w:val="18"/>
                <w:szCs w:val="18"/>
              </w:rPr>
              <w:t>Chymotrypsin Positive Control</w:t>
            </w:r>
          </w:p>
        </w:tc>
        <w:tc>
          <w:tcPr>
            <w:tcW w:w="1109" w:type="dxa"/>
            <w:vAlign w:val="center"/>
          </w:tcPr>
          <w:p w14:paraId="37B2C490" w14:textId="77777777" w:rsidR="00762A9D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602B93C3" w14:textId="77777777" w:rsidR="00762A9D" w:rsidRPr="00762A9D" w:rsidRDefault="00762A9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02D09CAD" w14:textId="77777777" w:rsidR="00762A9D" w:rsidRPr="00762A9D" w:rsidRDefault="00475B4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-80</w:t>
            </w:r>
            <w:r w:rsidRPr="00762A9D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4E9EB76F" w14:textId="77777777" w:rsidR="000E4FA8" w:rsidRPr="002A066A" w:rsidRDefault="000E4FA8" w:rsidP="001B583F">
      <w:pPr>
        <w:pStyle w:val="1AbcamStandardtext"/>
      </w:pPr>
    </w:p>
    <w:p w14:paraId="39EFF1B2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4518015F" w14:textId="77777777" w:rsidR="000E4FA8" w:rsidRPr="002A066A" w:rsidRDefault="000E4FA8" w:rsidP="001E2DD7">
      <w:pPr>
        <w:pStyle w:val="1Abcamheading"/>
      </w:pPr>
      <w:bookmarkStart w:id="7" w:name="_Toc446403817"/>
      <w:bookmarkStart w:id="8" w:name="_Toc512343296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7"/>
      <w:bookmarkEnd w:id="8"/>
    </w:p>
    <w:p w14:paraId="44F96CD5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2FD1009F" w14:textId="77777777" w:rsidR="00D024CF" w:rsidRPr="00D024CF" w:rsidRDefault="00C82B34" w:rsidP="00475B4B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 xml:space="preserve"> </w:t>
      </w:r>
      <w:r w:rsidR="00D024CF">
        <w:rPr>
          <w:szCs w:val="20"/>
        </w:rPr>
        <w:t>96-well clear or white plate with flat bottom.</w:t>
      </w:r>
    </w:p>
    <w:p w14:paraId="0011940E" w14:textId="77777777" w:rsidR="00D024CF" w:rsidRPr="00D024CF" w:rsidRDefault="00D024CF" w:rsidP="00475B4B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>Multi-well spectrophotometer.</w:t>
      </w:r>
    </w:p>
    <w:p w14:paraId="3D698AB8" w14:textId="77777777" w:rsidR="006664D9" w:rsidRPr="002A066A" w:rsidRDefault="00D024CF" w:rsidP="00475B4B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>Anhydrous DMSO.</w:t>
      </w:r>
      <w:r w:rsidR="000E4FA8" w:rsidRPr="002A066A">
        <w:br w:type="page"/>
      </w:r>
    </w:p>
    <w:p w14:paraId="14FB8013" w14:textId="77777777" w:rsidR="006664D9" w:rsidRDefault="006664D9" w:rsidP="006B2A3A">
      <w:pPr>
        <w:pStyle w:val="1Abcamheading"/>
      </w:pPr>
      <w:bookmarkStart w:id="9" w:name="_Toc512343297"/>
      <w:r>
        <w:lastRenderedPageBreak/>
        <w:t>General guidelines, precautions, and troubleshooting</w:t>
      </w:r>
      <w:bookmarkEnd w:id="9"/>
    </w:p>
    <w:p w14:paraId="0F6D281B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69A8470F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77BAED94" w14:textId="77777777" w:rsidR="006B255F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kit </w:t>
      </w:r>
      <w:r>
        <w:t>datasheet on our website.</w:t>
      </w:r>
      <w:r w:rsidR="00645B4B">
        <w:br/>
      </w:r>
    </w:p>
    <w:p w14:paraId="59392C84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016DB792" w14:textId="77777777" w:rsidR="000E4FA8" w:rsidRPr="002A066A" w:rsidRDefault="000E4FA8" w:rsidP="001E2DD7">
      <w:pPr>
        <w:pStyle w:val="1Abcamheading"/>
      </w:pPr>
      <w:bookmarkStart w:id="10" w:name="_Toc446403819"/>
      <w:bookmarkStart w:id="11" w:name="_Toc512343298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0"/>
      <w:bookmarkEnd w:id="11"/>
    </w:p>
    <w:p w14:paraId="692819ED" w14:textId="77777777" w:rsidR="000E4FA8" w:rsidRPr="00D024CF" w:rsidRDefault="000E4FA8" w:rsidP="008A2F6E">
      <w:pPr>
        <w:pStyle w:val="1AbcamStandardtext"/>
      </w:pPr>
      <w:r w:rsidRPr="00D024CF">
        <w:t>Briefly centrifuge small vials at low speed prior to opening</w:t>
      </w:r>
      <w:r w:rsidR="002A6C5E" w:rsidRPr="00D024CF">
        <w:t>.</w:t>
      </w:r>
      <w:r w:rsidR="00D024CF">
        <w:t xml:space="preserve"> </w:t>
      </w:r>
    </w:p>
    <w:p w14:paraId="42779AA6" w14:textId="77777777" w:rsidR="006B6677" w:rsidRDefault="006B6677" w:rsidP="00A40EA9">
      <w:pPr>
        <w:spacing w:before="60" w:after="60"/>
        <w:ind w:left="567"/>
      </w:pPr>
    </w:p>
    <w:p w14:paraId="0174B9C9" w14:textId="774D4844" w:rsidR="006B6677" w:rsidRPr="00D024CF" w:rsidRDefault="00B512F5" w:rsidP="006B6677">
      <w:pPr>
        <w:pStyle w:val="11Abcambold"/>
      </w:pPr>
      <w:r>
        <w:t>Assay Buffer I/</w:t>
      </w:r>
      <w:r w:rsidR="00D024CF">
        <w:t>Chymotrypsin Assay Buffer</w:t>
      </w:r>
    </w:p>
    <w:p w14:paraId="76080193" w14:textId="77777777" w:rsidR="006B6677" w:rsidRPr="00D024CF" w:rsidRDefault="00D024CF" w:rsidP="00487079">
      <w:pPr>
        <w:pStyle w:val="111Abcam"/>
        <w:numPr>
          <w:ilvl w:val="0"/>
          <w:numId w:val="21"/>
        </w:numPr>
      </w:pPr>
      <w:r>
        <w:t>Warm to room temperature before use.</w:t>
      </w:r>
    </w:p>
    <w:p w14:paraId="2C314F07" w14:textId="77777777" w:rsidR="006B6677" w:rsidRPr="00D024CF" w:rsidRDefault="006B6677" w:rsidP="00A40EA9">
      <w:pPr>
        <w:spacing w:before="60" w:after="60"/>
        <w:ind w:left="567"/>
      </w:pPr>
    </w:p>
    <w:p w14:paraId="7AB190D6" w14:textId="77777777" w:rsidR="006B6677" w:rsidRPr="00D024CF" w:rsidRDefault="00D024CF" w:rsidP="006B6677">
      <w:pPr>
        <w:pStyle w:val="11Abcambold"/>
      </w:pPr>
      <w:r>
        <w:t>Chymotrypsin Substrate</w:t>
      </w:r>
    </w:p>
    <w:p w14:paraId="090E6505" w14:textId="77777777" w:rsidR="006B6677" w:rsidRPr="00D024CF" w:rsidRDefault="00D024CF" w:rsidP="00680476">
      <w:pPr>
        <w:pStyle w:val="111Abcam"/>
        <w:numPr>
          <w:ilvl w:val="0"/>
          <w:numId w:val="23"/>
        </w:numPr>
      </w:pPr>
      <w:r>
        <w:t>Thaw completely before use.</w:t>
      </w:r>
    </w:p>
    <w:p w14:paraId="08462D4A" w14:textId="77777777" w:rsidR="006B6677" w:rsidRDefault="00D024CF" w:rsidP="00680476">
      <w:pPr>
        <w:pStyle w:val="111Abcam"/>
        <w:numPr>
          <w:ilvl w:val="0"/>
          <w:numId w:val="23"/>
        </w:numPr>
      </w:pPr>
      <w:r>
        <w:t>Mix well.</w:t>
      </w:r>
    </w:p>
    <w:p w14:paraId="07441367" w14:textId="77777777" w:rsidR="00D024CF" w:rsidRPr="00D024CF" w:rsidRDefault="00D024CF" w:rsidP="00D024CF">
      <w:pPr>
        <w:pStyle w:val="111Abcam"/>
        <w:numPr>
          <w:ilvl w:val="0"/>
          <w:numId w:val="0"/>
        </w:numPr>
        <w:ind w:left="360"/>
      </w:pPr>
    </w:p>
    <w:p w14:paraId="59A90DA4" w14:textId="77777777" w:rsidR="0000217C" w:rsidRPr="00D024CF" w:rsidRDefault="00D024CF" w:rsidP="0000217C">
      <w:pPr>
        <w:pStyle w:val="11Abcambold"/>
      </w:pPr>
      <w:r>
        <w:t xml:space="preserve">Chymotrypsin Activator </w:t>
      </w:r>
    </w:p>
    <w:p w14:paraId="457D2166" w14:textId="2060CB12" w:rsidR="0000217C" w:rsidRDefault="00D024CF" w:rsidP="0000217C">
      <w:pPr>
        <w:pStyle w:val="111Abcam"/>
        <w:numPr>
          <w:ilvl w:val="0"/>
          <w:numId w:val="30"/>
        </w:numPr>
      </w:pPr>
      <w:r>
        <w:t xml:space="preserve">Reconstitute with 220 </w:t>
      </w:r>
      <w:r w:rsidR="005F49BE">
        <w:t>µL</w:t>
      </w:r>
      <w:r>
        <w:t xml:space="preserve"> </w:t>
      </w:r>
      <w:r w:rsidR="00B512F5">
        <w:t>Assay Buffer I/</w:t>
      </w:r>
      <w:r>
        <w:t>Chymotrypsin Assay Buffer immediately</w:t>
      </w:r>
      <w:r w:rsidR="008477C5">
        <w:t xml:space="preserve"> </w:t>
      </w:r>
      <w:r>
        <w:t xml:space="preserve">before use. </w:t>
      </w:r>
    </w:p>
    <w:p w14:paraId="6C771135" w14:textId="77777777" w:rsidR="00D024CF" w:rsidRDefault="00D024CF" w:rsidP="0000217C">
      <w:pPr>
        <w:pStyle w:val="111Abcam"/>
        <w:numPr>
          <w:ilvl w:val="0"/>
          <w:numId w:val="30"/>
        </w:numPr>
      </w:pPr>
      <w:r>
        <w:t>Aliquot remainder and store at -80</w:t>
      </w:r>
      <w:r w:rsidRPr="00D024CF">
        <w:t xml:space="preserve"> ºC</w:t>
      </w:r>
      <w:r>
        <w:t>.</w:t>
      </w:r>
      <w:r w:rsidR="008477C5">
        <w:t xml:space="preserve"> </w:t>
      </w:r>
    </w:p>
    <w:p w14:paraId="2EDBFF36" w14:textId="77777777" w:rsidR="008477C5" w:rsidRPr="00D024CF" w:rsidRDefault="008477C5" w:rsidP="008477C5">
      <w:pPr>
        <w:pStyle w:val="111Abcam"/>
        <w:numPr>
          <w:ilvl w:val="0"/>
          <w:numId w:val="30"/>
        </w:numPr>
      </w:pPr>
      <w:r w:rsidRPr="008477C5">
        <w:t>Once reconstituted, use within 2 months.</w:t>
      </w:r>
    </w:p>
    <w:p w14:paraId="48DA9641" w14:textId="77777777" w:rsidR="00D024CF" w:rsidRPr="00D024CF" w:rsidRDefault="00D024CF" w:rsidP="00D024CF">
      <w:pPr>
        <w:pStyle w:val="11Abcambold"/>
        <w:numPr>
          <w:ilvl w:val="0"/>
          <w:numId w:val="0"/>
        </w:numPr>
        <w:ind w:left="567" w:hanging="567"/>
        <w:rPr>
          <w:b w:val="0"/>
        </w:rPr>
      </w:pPr>
    </w:p>
    <w:p w14:paraId="04C31B13" w14:textId="2A6A5B12" w:rsidR="00B1325A" w:rsidRPr="00D024CF" w:rsidRDefault="00B512F5" w:rsidP="00B1325A">
      <w:pPr>
        <w:pStyle w:val="11Abcambold"/>
      </w:pPr>
      <w:r>
        <w:t>Chymotrypsin Inhibitor I/</w:t>
      </w:r>
      <w:r w:rsidR="00D024CF">
        <w:t xml:space="preserve">Chymotrypsin Inhibitor </w:t>
      </w:r>
    </w:p>
    <w:p w14:paraId="4BF26B1D" w14:textId="77777777" w:rsidR="00B1325A" w:rsidRPr="00D024CF" w:rsidRDefault="00B1325A" w:rsidP="00B1325A">
      <w:pPr>
        <w:pStyle w:val="111Abcam"/>
        <w:numPr>
          <w:ilvl w:val="0"/>
          <w:numId w:val="31"/>
        </w:numPr>
      </w:pPr>
      <w:r>
        <w:t>Thaw completely before use.</w:t>
      </w:r>
    </w:p>
    <w:p w14:paraId="2E040EC1" w14:textId="77777777" w:rsidR="00B1325A" w:rsidRDefault="00B1325A" w:rsidP="00B1325A">
      <w:pPr>
        <w:pStyle w:val="111Abcam"/>
        <w:numPr>
          <w:ilvl w:val="0"/>
          <w:numId w:val="31"/>
        </w:numPr>
      </w:pPr>
      <w:r>
        <w:t>Mix well.</w:t>
      </w:r>
    </w:p>
    <w:p w14:paraId="6CB6C612" w14:textId="77777777" w:rsidR="00124542" w:rsidRDefault="00124542" w:rsidP="00B1325A">
      <w:pPr>
        <w:pStyle w:val="11Abcambold"/>
        <w:numPr>
          <w:ilvl w:val="0"/>
          <w:numId w:val="0"/>
        </w:numPr>
        <w:ind w:left="567"/>
        <w:rPr>
          <w:b w:val="0"/>
          <w:szCs w:val="20"/>
        </w:rPr>
      </w:pPr>
    </w:p>
    <w:p w14:paraId="3AD99714" w14:textId="65C84B87" w:rsidR="00124542" w:rsidRPr="00D024CF" w:rsidRDefault="00B512F5" w:rsidP="00124542">
      <w:pPr>
        <w:pStyle w:val="11Abcambold"/>
      </w:pPr>
      <w:r>
        <w:t>AMC Standard/</w:t>
      </w:r>
      <w:r w:rsidR="00124542">
        <w:t>Coumarin Standard</w:t>
      </w:r>
    </w:p>
    <w:p w14:paraId="48859B87" w14:textId="77777777" w:rsidR="00124542" w:rsidRPr="00D024CF" w:rsidRDefault="00124542" w:rsidP="00A26008">
      <w:pPr>
        <w:pStyle w:val="111Abcam"/>
        <w:numPr>
          <w:ilvl w:val="0"/>
          <w:numId w:val="32"/>
        </w:numPr>
      </w:pPr>
      <w:r>
        <w:t>Thaw completely before use.</w:t>
      </w:r>
    </w:p>
    <w:p w14:paraId="48AC6BE6" w14:textId="77777777" w:rsidR="00124542" w:rsidRDefault="00124542" w:rsidP="00A26008">
      <w:pPr>
        <w:pStyle w:val="111Abcam"/>
        <w:numPr>
          <w:ilvl w:val="0"/>
          <w:numId w:val="32"/>
        </w:numPr>
      </w:pPr>
      <w:r>
        <w:t>Mix well.</w:t>
      </w:r>
    </w:p>
    <w:p w14:paraId="19B438F0" w14:textId="77777777" w:rsidR="00124542" w:rsidRDefault="00124542" w:rsidP="00124542">
      <w:pPr>
        <w:pStyle w:val="111Abcam"/>
        <w:numPr>
          <w:ilvl w:val="0"/>
          <w:numId w:val="0"/>
        </w:numPr>
        <w:ind w:left="6633" w:hanging="680"/>
      </w:pPr>
    </w:p>
    <w:p w14:paraId="31F9159F" w14:textId="77777777" w:rsidR="00124542" w:rsidRDefault="00124542" w:rsidP="00124542">
      <w:pPr>
        <w:pStyle w:val="11Abcambold"/>
      </w:pPr>
      <w:r>
        <w:t>Chymotrypsin Positive Control</w:t>
      </w:r>
    </w:p>
    <w:p w14:paraId="3BBF44B6" w14:textId="34A45F1E" w:rsidR="00A26008" w:rsidRDefault="00124542" w:rsidP="00A26008">
      <w:pPr>
        <w:pStyle w:val="111Abcam"/>
        <w:numPr>
          <w:ilvl w:val="0"/>
          <w:numId w:val="33"/>
        </w:numPr>
      </w:pPr>
      <w:r>
        <w:t xml:space="preserve">Reconstitute with 22 </w:t>
      </w:r>
      <w:r w:rsidR="005F49BE">
        <w:t>µL</w:t>
      </w:r>
      <w:r>
        <w:t xml:space="preserve"> </w:t>
      </w:r>
      <w:r w:rsidR="00B512F5">
        <w:t>Assay Buffer I/</w:t>
      </w:r>
      <w:r>
        <w:t>Chymotrypsin Assay Buffer immediately</w:t>
      </w:r>
      <w:r w:rsidR="00A26008">
        <w:t xml:space="preserve"> </w:t>
      </w:r>
      <w:r>
        <w:t xml:space="preserve">before use. </w:t>
      </w:r>
    </w:p>
    <w:p w14:paraId="33BBCCB0" w14:textId="77777777" w:rsidR="00124542" w:rsidRDefault="00124542" w:rsidP="00A26008">
      <w:pPr>
        <w:pStyle w:val="111Abcam"/>
        <w:numPr>
          <w:ilvl w:val="0"/>
          <w:numId w:val="33"/>
        </w:numPr>
      </w:pPr>
      <w:r>
        <w:t>Aliquot remainder and store at -80</w:t>
      </w:r>
      <w:r w:rsidRPr="00D024CF">
        <w:t xml:space="preserve"> ºC</w:t>
      </w:r>
      <w:r>
        <w:t>.</w:t>
      </w:r>
    </w:p>
    <w:p w14:paraId="46A85C38" w14:textId="77777777" w:rsidR="00EA6A42" w:rsidRPr="00D024CF" w:rsidRDefault="00EA6A42" w:rsidP="00EA6A42">
      <w:pPr>
        <w:pStyle w:val="111Abcam"/>
        <w:numPr>
          <w:ilvl w:val="0"/>
          <w:numId w:val="33"/>
        </w:numPr>
      </w:pPr>
      <w:r w:rsidRPr="00EA6A42">
        <w:t>Once reconstituted, use within 2 months.</w:t>
      </w:r>
    </w:p>
    <w:p w14:paraId="43E6B9D8" w14:textId="77777777" w:rsidR="00124542" w:rsidRDefault="00124542" w:rsidP="00124542">
      <w:pPr>
        <w:pStyle w:val="111Abcam"/>
        <w:numPr>
          <w:ilvl w:val="0"/>
          <w:numId w:val="0"/>
        </w:numPr>
        <w:ind w:left="6633" w:hanging="680"/>
      </w:pPr>
    </w:p>
    <w:p w14:paraId="057463B9" w14:textId="77777777" w:rsidR="00124542" w:rsidRDefault="00124542" w:rsidP="00D024CF">
      <w:pPr>
        <w:pStyle w:val="11Abcambold"/>
        <w:numPr>
          <w:ilvl w:val="0"/>
          <w:numId w:val="0"/>
        </w:numPr>
        <w:ind w:left="567" w:hanging="567"/>
        <w:rPr>
          <w:b w:val="0"/>
          <w:szCs w:val="20"/>
        </w:rPr>
      </w:pPr>
    </w:p>
    <w:p w14:paraId="5D2251EC" w14:textId="77777777" w:rsidR="00124542" w:rsidRDefault="00124542" w:rsidP="00D024CF">
      <w:pPr>
        <w:pStyle w:val="11Abcambold"/>
        <w:numPr>
          <w:ilvl w:val="0"/>
          <w:numId w:val="0"/>
        </w:numPr>
        <w:ind w:left="567" w:hanging="567"/>
      </w:pPr>
    </w:p>
    <w:p w14:paraId="08ADC0E6" w14:textId="77777777" w:rsidR="00D024CF" w:rsidRDefault="00D024CF" w:rsidP="00A40EA9">
      <w:pPr>
        <w:spacing w:before="60" w:after="60"/>
        <w:ind w:left="567"/>
      </w:pPr>
    </w:p>
    <w:p w14:paraId="0CCDFC31" w14:textId="77777777" w:rsidR="00D024CF" w:rsidRDefault="00D024CF" w:rsidP="00A40EA9">
      <w:pPr>
        <w:spacing w:before="60" w:after="60"/>
        <w:ind w:left="567"/>
      </w:pPr>
    </w:p>
    <w:p w14:paraId="5550A5F6" w14:textId="77777777" w:rsidR="00D024CF" w:rsidRDefault="00D024CF" w:rsidP="00A40EA9">
      <w:pPr>
        <w:spacing w:before="60" w:after="60"/>
        <w:ind w:left="567"/>
      </w:pPr>
    </w:p>
    <w:p w14:paraId="11FBB71F" w14:textId="77777777" w:rsidR="00D024CF" w:rsidRDefault="00D024CF" w:rsidP="00A40EA9">
      <w:pPr>
        <w:spacing w:before="60" w:after="60"/>
        <w:ind w:left="567"/>
      </w:pPr>
    </w:p>
    <w:p w14:paraId="00ACD132" w14:textId="77777777" w:rsidR="00820BCD" w:rsidRPr="002A066A" w:rsidRDefault="00820BCD" w:rsidP="00820BCD">
      <w:pPr>
        <w:pStyle w:val="1Abcamheading"/>
      </w:pPr>
      <w:bookmarkStart w:id="12" w:name="_Toc446403820"/>
      <w:bookmarkStart w:id="13" w:name="_Toc495055757"/>
      <w:bookmarkStart w:id="14" w:name="_Toc512343299"/>
      <w:r w:rsidRPr="002A066A">
        <w:lastRenderedPageBreak/>
        <w:t>Standard Preparation</w:t>
      </w:r>
      <w:bookmarkEnd w:id="12"/>
      <w:bookmarkEnd w:id="13"/>
      <w:bookmarkEnd w:id="14"/>
    </w:p>
    <w:p w14:paraId="00E20FBC" w14:textId="77777777" w:rsidR="00820BCD" w:rsidRPr="00820BCD" w:rsidRDefault="00820BCD" w:rsidP="00820BCD">
      <w:pPr>
        <w:pStyle w:val="ListParagraph"/>
        <w:numPr>
          <w:ilvl w:val="0"/>
          <w:numId w:val="8"/>
        </w:numPr>
        <w:spacing w:before="60" w:after="60"/>
        <w:ind w:left="357" w:hanging="357"/>
        <w:contextualSpacing w:val="0"/>
      </w:pPr>
      <w:r w:rsidRPr="00820BCD">
        <w:t>Always prepare a fresh set of standards for every use.</w:t>
      </w:r>
    </w:p>
    <w:p w14:paraId="7B8244FC" w14:textId="77777777" w:rsidR="00820BCD" w:rsidRPr="00820BCD" w:rsidRDefault="00820BCD" w:rsidP="00820BCD">
      <w:pPr>
        <w:pStyle w:val="ListParagraph"/>
        <w:numPr>
          <w:ilvl w:val="0"/>
          <w:numId w:val="8"/>
        </w:numPr>
        <w:spacing w:before="60" w:after="60" w:line="276" w:lineRule="auto"/>
        <w:ind w:left="357" w:hanging="357"/>
        <w:contextualSpacing w:val="0"/>
        <w:jc w:val="both"/>
      </w:pPr>
      <w:r w:rsidRPr="00820BCD">
        <w:t>Discard working standard dilutions after use as they do not store well.</w:t>
      </w:r>
    </w:p>
    <w:p w14:paraId="4F9D6AE5" w14:textId="77777777" w:rsidR="00AE388C" w:rsidRDefault="00AE388C" w:rsidP="00AE388C">
      <w:pPr>
        <w:pStyle w:val="ListParagraph"/>
        <w:spacing w:before="60" w:after="60"/>
        <w:ind w:left="720"/>
      </w:pPr>
    </w:p>
    <w:p w14:paraId="651AC1B5" w14:textId="4BF3B9F5" w:rsidR="00124542" w:rsidRDefault="00124542" w:rsidP="00124542">
      <w:pPr>
        <w:pStyle w:val="ListParagraph"/>
        <w:numPr>
          <w:ilvl w:val="0"/>
          <w:numId w:val="26"/>
        </w:numPr>
        <w:spacing w:before="60" w:after="60"/>
      </w:pPr>
      <w:r>
        <w:t xml:space="preserve">Add 0, 2, 4, 6, 8 and 10 </w:t>
      </w:r>
      <w:r w:rsidR="005F49BE">
        <w:t>µL</w:t>
      </w:r>
      <w:r>
        <w:t xml:space="preserve"> from the provided 1 Mm </w:t>
      </w:r>
      <w:r w:rsidR="00B512F5">
        <w:t>AMC Standard/</w:t>
      </w:r>
      <w:r>
        <w:t>Coumarin Standard stock solution into a series of wells in a clear 96-well plate.</w:t>
      </w:r>
    </w:p>
    <w:p w14:paraId="4E8639E2" w14:textId="7CB678D2" w:rsidR="00124542" w:rsidRDefault="00124542" w:rsidP="00124542">
      <w:pPr>
        <w:pStyle w:val="ListParagraph"/>
        <w:numPr>
          <w:ilvl w:val="0"/>
          <w:numId w:val="26"/>
        </w:numPr>
        <w:spacing w:before="60" w:after="60"/>
      </w:pPr>
      <w:r>
        <w:t xml:space="preserve">Bring the total volume up to 100 </w:t>
      </w:r>
      <w:r w:rsidR="005F49BE">
        <w:t>µL</w:t>
      </w:r>
      <w:r>
        <w:t xml:space="preserve"> per well with </w:t>
      </w:r>
      <w:r w:rsidR="00B512F5">
        <w:t>Assay Buffer I/</w:t>
      </w:r>
      <w:r>
        <w:t xml:space="preserve">Chymotrypsin Assay Buffer to generate 0, 2, 4, 6, 8 and 10 nmol/well of </w:t>
      </w:r>
      <w:r w:rsidR="00B512F5">
        <w:t>AMC Standard/</w:t>
      </w:r>
      <w:r>
        <w:t>Coumarin Standard.</w:t>
      </w:r>
    </w:p>
    <w:p w14:paraId="0E6779FB" w14:textId="77777777" w:rsidR="00124542" w:rsidRDefault="00124542" w:rsidP="00124542">
      <w:pPr>
        <w:pStyle w:val="ListParagraph"/>
        <w:numPr>
          <w:ilvl w:val="0"/>
          <w:numId w:val="26"/>
        </w:numPr>
        <w:spacing w:before="60" w:after="60"/>
      </w:pPr>
      <w:r>
        <w:t xml:space="preserve">Mix by </w:t>
      </w:r>
      <w:r w:rsidR="003646B8">
        <w:t>pipetting</w:t>
      </w:r>
      <w:r>
        <w:t>, making sure that no bubbles are introduced in the wells.</w:t>
      </w:r>
    </w:p>
    <w:p w14:paraId="32BF54B9" w14:textId="77777777" w:rsidR="00124542" w:rsidRDefault="00124542" w:rsidP="00124542">
      <w:pPr>
        <w:spacing w:before="60" w:after="60"/>
      </w:pPr>
    </w:p>
    <w:p w14:paraId="7121FC12" w14:textId="7FF9F224" w:rsidR="00124542" w:rsidRPr="00124542" w:rsidRDefault="00124542" w:rsidP="00124542">
      <w:pPr>
        <w:spacing w:before="60" w:after="60"/>
      </w:pPr>
      <w:r w:rsidRPr="00124542">
        <w:rPr>
          <w:b/>
        </w:rPr>
        <w:t>Δ</w:t>
      </w:r>
      <w:r w:rsidR="00C45291">
        <w:rPr>
          <w:b/>
        </w:rPr>
        <w:t xml:space="preserve"> </w:t>
      </w:r>
      <w:r w:rsidRPr="00124542">
        <w:rPr>
          <w:b/>
        </w:rPr>
        <w:t>Note:</w:t>
      </w:r>
      <w:r>
        <w:rPr>
          <w:b/>
        </w:rPr>
        <w:t xml:space="preserve"> </w:t>
      </w:r>
      <w:r>
        <w:t>If sample activity is low (outside standard curve RFU values), anoth</w:t>
      </w:r>
      <w:r w:rsidR="00571292">
        <w:t>er standard curv</w:t>
      </w:r>
      <w:r>
        <w:t xml:space="preserve">e ranging from 0.1 to 1 nmol/well may be generated. For this, dilute the provided </w:t>
      </w:r>
      <w:r w:rsidR="00B512F5">
        <w:t>AMC Standard/</w:t>
      </w:r>
      <w:r>
        <w:t xml:space="preserve">Coumarin Standard 1:10 in DMSO to obtain a 100 µM </w:t>
      </w:r>
      <w:r w:rsidR="00B512F5">
        <w:t>AMC Standard/</w:t>
      </w:r>
      <w:r>
        <w:t xml:space="preserve">Coumarin Standard solution. Add 0, 2, 4, 6, 8 and 10 </w:t>
      </w:r>
      <w:r w:rsidR="005F49BE">
        <w:t>µL</w:t>
      </w:r>
      <w:r>
        <w:t xml:space="preserve"> of the 100 µM solution into a series of wells in a 96 well plate and bring the total volume up to 100 </w:t>
      </w:r>
      <w:r w:rsidR="005F49BE">
        <w:t>µL</w:t>
      </w:r>
      <w:r>
        <w:t xml:space="preserve"> with </w:t>
      </w:r>
      <w:r w:rsidR="00B512F5">
        <w:t>Assay Buffer I/</w:t>
      </w:r>
      <w:r>
        <w:t xml:space="preserve">Chymotrypsin Assay Buffer to generate 0, 0.2, 0.4, 0.8 and 1 nmol/well of </w:t>
      </w:r>
      <w:r w:rsidR="00B512F5">
        <w:t>AMC Standard/</w:t>
      </w:r>
      <w:r>
        <w:t>Coumarin Standard.</w:t>
      </w:r>
    </w:p>
    <w:p w14:paraId="3FD02797" w14:textId="77777777" w:rsidR="00331AEA" w:rsidRPr="002A066A" w:rsidRDefault="00331AEA">
      <w:pPr>
        <w:spacing w:before="0" w:after="0"/>
      </w:pPr>
    </w:p>
    <w:p w14:paraId="2F8B98CF" w14:textId="77777777" w:rsidR="003B15FA" w:rsidRPr="002A066A" w:rsidRDefault="003B15FA">
      <w:pPr>
        <w:spacing w:before="0" w:after="0"/>
      </w:pPr>
      <w:r w:rsidRPr="002A066A">
        <w:br w:type="page"/>
      </w:r>
    </w:p>
    <w:p w14:paraId="19720595" w14:textId="77777777" w:rsidR="000E4FA8" w:rsidRPr="002A066A" w:rsidRDefault="00331AEA" w:rsidP="001E2DD7">
      <w:pPr>
        <w:pStyle w:val="1Abcamheading"/>
      </w:pPr>
      <w:bookmarkStart w:id="15" w:name="_Toc446403821"/>
      <w:bookmarkStart w:id="16" w:name="_Toc512343300"/>
      <w:bookmarkEnd w:id="15"/>
      <w:r w:rsidRPr="002A066A">
        <w:lastRenderedPageBreak/>
        <w:t xml:space="preserve">Sample </w:t>
      </w:r>
      <w:r w:rsidR="00174FD5" w:rsidRPr="002A066A">
        <w:t>P</w:t>
      </w:r>
      <w:r w:rsidRPr="002A066A">
        <w:t>reparation</w:t>
      </w:r>
      <w:bookmarkEnd w:id="16"/>
    </w:p>
    <w:p w14:paraId="464CEA70" w14:textId="77777777" w:rsidR="000E4FA8" w:rsidRPr="002A066A" w:rsidRDefault="000E4FA8" w:rsidP="00A40EA9">
      <w:pPr>
        <w:spacing w:before="60" w:after="60"/>
        <w:rPr>
          <w:b/>
        </w:rPr>
      </w:pPr>
      <w:r w:rsidRPr="002A066A">
        <w:rPr>
          <w:b/>
        </w:rPr>
        <w:t>General sample information:</w:t>
      </w:r>
    </w:p>
    <w:p w14:paraId="0FCAA534" w14:textId="77777777" w:rsidR="000E4FA8" w:rsidRDefault="000E4FA8" w:rsidP="00380497">
      <w:pPr>
        <w:pStyle w:val="1AbcamBulletpoints"/>
      </w:pPr>
      <w:r w:rsidRPr="002A066A">
        <w:t>We recommend that you use fresh samples</w:t>
      </w:r>
      <w:r w:rsidR="00DF2200">
        <w:t xml:space="preserve"> for the most reproducible assay</w:t>
      </w:r>
      <w:r w:rsidRPr="002A066A">
        <w:t xml:space="preserve">. </w:t>
      </w:r>
    </w:p>
    <w:p w14:paraId="6C307F8C" w14:textId="77777777" w:rsidR="00391C31" w:rsidRPr="002A066A" w:rsidRDefault="00391C31" w:rsidP="00592267">
      <w:pPr>
        <w:pStyle w:val="1AbcamBulletpoints"/>
      </w:pPr>
    </w:p>
    <w:p w14:paraId="1B9A1EE3" w14:textId="15E71873" w:rsidR="00C52378" w:rsidRPr="008F7B8F" w:rsidRDefault="008F7B8F" w:rsidP="008F7B8F">
      <w:pPr>
        <w:pStyle w:val="111Abcam"/>
        <w:numPr>
          <w:ilvl w:val="0"/>
          <w:numId w:val="19"/>
        </w:numPr>
        <w:spacing w:before="0" w:after="0"/>
        <w:rPr>
          <w:b/>
        </w:rPr>
      </w:pPr>
      <w:r>
        <w:t xml:space="preserve">Homogenize </w:t>
      </w:r>
      <w:r w:rsidRPr="008F7B8F">
        <w:t>cells (1 x 10</w:t>
      </w:r>
      <w:r>
        <w:rPr>
          <w:vertAlign w:val="superscript"/>
        </w:rPr>
        <w:t>6</w:t>
      </w:r>
      <w:r w:rsidRPr="008F7B8F">
        <w:t xml:space="preserve">) or tissue (20 mg) with 100 </w:t>
      </w:r>
      <w:proofErr w:type="spellStart"/>
      <w:r w:rsidR="001F6190">
        <w:t>μL</w:t>
      </w:r>
      <w:proofErr w:type="spellEnd"/>
      <w:r w:rsidRPr="008F7B8F">
        <w:t xml:space="preserve"> ice-</w:t>
      </w:r>
      <w:r>
        <w:t xml:space="preserve">cold </w:t>
      </w:r>
      <w:r w:rsidR="00B512F5">
        <w:t>Assay Buffer I/</w:t>
      </w:r>
      <w:r>
        <w:t xml:space="preserve">Chymotrypsin Assay Buffer </w:t>
      </w:r>
      <w:r w:rsidRPr="008F7B8F">
        <w:t xml:space="preserve">and keep on ice for 10 </w:t>
      </w:r>
      <w:r w:rsidR="002A49FA">
        <w:t>minutes</w:t>
      </w:r>
      <w:r w:rsidRPr="008F7B8F">
        <w:t>.</w:t>
      </w:r>
    </w:p>
    <w:p w14:paraId="029FBC37" w14:textId="77777777" w:rsidR="008F7B8F" w:rsidRDefault="008F7B8F" w:rsidP="008F7B8F">
      <w:pPr>
        <w:pStyle w:val="111Abcam"/>
        <w:numPr>
          <w:ilvl w:val="0"/>
          <w:numId w:val="19"/>
        </w:numPr>
        <w:spacing w:before="0" w:after="0"/>
      </w:pPr>
      <w:r w:rsidRPr="008F7B8F">
        <w:t xml:space="preserve">Centrifuge at 10,000 x </w:t>
      </w:r>
      <w:r w:rsidRPr="008F7B8F">
        <w:rPr>
          <w:i/>
        </w:rPr>
        <w:t>g</w:t>
      </w:r>
      <w:r w:rsidRPr="008F7B8F">
        <w:t xml:space="preserve"> for 10 minutes at 4°C and transfer the supernatant to a fresh tube.</w:t>
      </w:r>
    </w:p>
    <w:p w14:paraId="450443FA" w14:textId="77777777" w:rsidR="008F7B8F" w:rsidRDefault="008F7B8F" w:rsidP="008F7B8F">
      <w:pPr>
        <w:pStyle w:val="111Abcam"/>
        <w:numPr>
          <w:ilvl w:val="0"/>
          <w:numId w:val="19"/>
        </w:numPr>
        <w:spacing w:before="0" w:after="0"/>
      </w:pPr>
      <w:r>
        <w:t>Determine protein concentration.</w:t>
      </w:r>
    </w:p>
    <w:p w14:paraId="4FB097ED" w14:textId="6ECCCF36" w:rsidR="008F7B8F" w:rsidRDefault="008F7B8F" w:rsidP="008F7B8F">
      <w:pPr>
        <w:pStyle w:val="111Abcam"/>
        <w:numPr>
          <w:ilvl w:val="0"/>
          <w:numId w:val="0"/>
        </w:numPr>
        <w:spacing w:before="0" w:after="0"/>
        <w:ind w:left="360"/>
      </w:pPr>
      <w:r w:rsidRPr="008F7B8F">
        <w:rPr>
          <w:b/>
        </w:rPr>
        <w:t>Δ</w:t>
      </w:r>
      <w:r w:rsidR="00783AE3">
        <w:rPr>
          <w:b/>
        </w:rPr>
        <w:t xml:space="preserve"> </w:t>
      </w:r>
      <w:r w:rsidRPr="008F7B8F">
        <w:rPr>
          <w:b/>
        </w:rPr>
        <w:t>Note:</w:t>
      </w:r>
      <w:r>
        <w:rPr>
          <w:b/>
        </w:rPr>
        <w:t xml:space="preserve"> </w:t>
      </w:r>
      <w:r>
        <w:t xml:space="preserve">Protein </w:t>
      </w:r>
      <w:r w:rsidRPr="008F7B8F">
        <w:t xml:space="preserve">concentration should range between 5-20 </w:t>
      </w:r>
      <w:r>
        <w:t>m</w:t>
      </w:r>
      <w:r w:rsidRPr="008F7B8F">
        <w:t>g/</w:t>
      </w:r>
      <w:r w:rsidR="005F49BE">
        <w:t>mL</w:t>
      </w:r>
      <w:r w:rsidRPr="008F7B8F">
        <w:t xml:space="preserve">. Concentrated samples may be diluted with </w:t>
      </w:r>
      <w:r w:rsidR="00B512F5">
        <w:t>Assay Buffer I/</w:t>
      </w:r>
      <w:r w:rsidRPr="008F7B8F">
        <w:t>Chymotrypsin Assay Buffer.</w:t>
      </w:r>
      <w:r>
        <w:t xml:space="preserve"> Aliquot </w:t>
      </w:r>
      <w:r w:rsidRPr="008F7B8F">
        <w:t>and store lysates at -80°C unless being used immediately</w:t>
      </w:r>
      <w:r>
        <w:t>.</w:t>
      </w:r>
    </w:p>
    <w:p w14:paraId="44C1423A" w14:textId="77777777" w:rsidR="008F7B8F" w:rsidRDefault="008F7B8F" w:rsidP="008F7B8F">
      <w:pPr>
        <w:pStyle w:val="111Abcam"/>
        <w:numPr>
          <w:ilvl w:val="0"/>
          <w:numId w:val="19"/>
        </w:numPr>
        <w:spacing w:before="0" w:after="0"/>
      </w:pPr>
      <w:r>
        <w:t xml:space="preserve">Use </w:t>
      </w:r>
      <w:r w:rsidRPr="008F7B8F">
        <w:t xml:space="preserve">5-20 </w:t>
      </w:r>
      <w:r w:rsidR="001F6190">
        <w:t>μL</w:t>
      </w:r>
      <w:r w:rsidRPr="008F7B8F">
        <w:t xml:space="preserve"> sample per well using a clear 96-well plate.</w:t>
      </w:r>
    </w:p>
    <w:p w14:paraId="451690D3" w14:textId="77777777" w:rsidR="008F7B8F" w:rsidRDefault="008F7B8F" w:rsidP="008F7B8F">
      <w:pPr>
        <w:pStyle w:val="111Abcam"/>
        <w:numPr>
          <w:ilvl w:val="0"/>
          <w:numId w:val="19"/>
        </w:numPr>
        <w:spacing w:before="0" w:after="0"/>
      </w:pPr>
      <w:r>
        <w:t xml:space="preserve">Prepare </w:t>
      </w:r>
      <w:r w:rsidRPr="008F7B8F">
        <w:t>two identi</w:t>
      </w:r>
      <w:r w:rsidR="008F7B66">
        <w:t>cal wells for each sample label</w:t>
      </w:r>
      <w:r w:rsidRPr="008F7B8F">
        <w:t>ed “</w:t>
      </w:r>
      <w:r>
        <w:t xml:space="preserve">Sample Background Control” and “Sample”. </w:t>
      </w:r>
    </w:p>
    <w:p w14:paraId="0DBEBBC2" w14:textId="616B2D6A" w:rsidR="008F7B8F" w:rsidRDefault="008F7B8F" w:rsidP="008F7B8F">
      <w:pPr>
        <w:pStyle w:val="111Abcam"/>
        <w:numPr>
          <w:ilvl w:val="0"/>
          <w:numId w:val="19"/>
        </w:numPr>
        <w:spacing w:before="0" w:after="0"/>
      </w:pPr>
      <w:r>
        <w:t xml:space="preserve">An </w:t>
      </w:r>
      <w:r w:rsidRPr="008F7B8F">
        <w:t>additional we</w:t>
      </w:r>
      <w:r>
        <w:t xml:space="preserve">ll called “Sample + Inhibitor” </w:t>
      </w:r>
      <w:r w:rsidRPr="008F7B8F">
        <w:t>may be prepared for samples in which nonspecific chymotrypsin-like protease activity is likely to be present.</w:t>
      </w:r>
      <w:r>
        <w:t xml:space="preserve"> For this, add </w:t>
      </w:r>
      <w:r w:rsidR="008F7B66">
        <w:t xml:space="preserve">2 </w:t>
      </w:r>
      <w:proofErr w:type="spellStart"/>
      <w:r w:rsidR="008F7B66">
        <w:t>μL</w:t>
      </w:r>
      <w:proofErr w:type="spellEnd"/>
      <w:r w:rsidRPr="008F7B8F">
        <w:t xml:space="preserve"> of </w:t>
      </w:r>
      <w:r w:rsidR="00B512F5">
        <w:t>Chymotrypsin Inhibitor I/</w:t>
      </w:r>
      <w:r w:rsidRPr="008F7B8F">
        <w:t>chymotrypsin inhibitor in addition to sample.</w:t>
      </w:r>
    </w:p>
    <w:p w14:paraId="6935B16E" w14:textId="4F7B45B7" w:rsidR="008F7B8F" w:rsidRDefault="008F7B8F" w:rsidP="008F7B8F">
      <w:pPr>
        <w:pStyle w:val="111Abcam"/>
        <w:numPr>
          <w:ilvl w:val="0"/>
          <w:numId w:val="19"/>
        </w:numPr>
        <w:spacing w:before="0" w:after="0"/>
      </w:pPr>
      <w:r>
        <w:t xml:space="preserve">Adjust </w:t>
      </w:r>
      <w:r w:rsidRPr="008F7B8F">
        <w:t xml:space="preserve">volume in each well to 50 </w:t>
      </w:r>
      <w:proofErr w:type="spellStart"/>
      <w:r w:rsidR="001F6190">
        <w:t>μL</w:t>
      </w:r>
      <w:proofErr w:type="spellEnd"/>
      <w:r w:rsidRPr="008F7B8F">
        <w:t xml:space="preserve"> with </w:t>
      </w:r>
      <w:r w:rsidR="00B512F5">
        <w:t>Assay Buffer I/</w:t>
      </w:r>
      <w:r w:rsidRPr="008F7B8F">
        <w:t>Chymotrypsin Assay Buffer.</w:t>
      </w:r>
    </w:p>
    <w:p w14:paraId="4BE4AC64" w14:textId="77777777" w:rsidR="006A2B41" w:rsidRPr="006A2B41" w:rsidRDefault="006279E3" w:rsidP="006A2B41">
      <w:pPr>
        <w:pStyle w:val="111Abcam"/>
        <w:numPr>
          <w:ilvl w:val="0"/>
          <w:numId w:val="0"/>
        </w:numPr>
        <w:spacing w:before="0" w:after="0"/>
        <w:ind w:left="357"/>
        <w:rPr>
          <w:b/>
        </w:rPr>
      </w:pPr>
      <w:r w:rsidRPr="00716A87">
        <w:rPr>
          <w:b/>
        </w:rPr>
        <w:t>Δ</w:t>
      </w:r>
      <w:r>
        <w:rPr>
          <w:b/>
        </w:rPr>
        <w:t xml:space="preserve"> </w:t>
      </w:r>
      <w:r w:rsidRPr="00716A87">
        <w:rPr>
          <w:b/>
        </w:rPr>
        <w:t>Note</w:t>
      </w:r>
      <w:r w:rsidRPr="002E166A">
        <w:rPr>
          <w:b/>
        </w:rPr>
        <w:t>:</w:t>
      </w:r>
      <w:r w:rsidRPr="00716A87">
        <w:t xml:space="preserve"> For unknown samples, we suggest testing several concentrations to ensure the readings are within the Standard Curve range.</w:t>
      </w:r>
    </w:p>
    <w:p w14:paraId="1EB65398" w14:textId="77777777" w:rsidR="00C52378" w:rsidRDefault="00C52378" w:rsidP="00592267">
      <w:pPr>
        <w:pStyle w:val="ListParagraph"/>
        <w:autoSpaceDE w:val="0"/>
        <w:autoSpaceDN w:val="0"/>
        <w:adjustRightInd w:val="0"/>
        <w:spacing w:before="60" w:after="60"/>
        <w:rPr>
          <w:rFonts w:cs="Arial"/>
          <w:szCs w:val="20"/>
        </w:rPr>
      </w:pPr>
    </w:p>
    <w:p w14:paraId="53B1AAD6" w14:textId="77777777" w:rsidR="00E56AC7" w:rsidRDefault="00E56AC7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61F3AB8E" w14:textId="77777777" w:rsidR="006B255F" w:rsidRDefault="00174FD5" w:rsidP="008D790D">
      <w:pPr>
        <w:pStyle w:val="1Abcamheading"/>
      </w:pPr>
      <w:bookmarkStart w:id="17" w:name="_Toc512343301"/>
      <w:r w:rsidRPr="002A066A">
        <w:lastRenderedPageBreak/>
        <w:t>Assay Procedure</w:t>
      </w:r>
      <w:bookmarkStart w:id="18" w:name="_Toc271554832"/>
      <w:bookmarkStart w:id="19" w:name="_Toc273532551"/>
      <w:bookmarkEnd w:id="3"/>
      <w:bookmarkEnd w:id="17"/>
    </w:p>
    <w:p w14:paraId="5C09624B" w14:textId="77777777" w:rsidR="006B255F" w:rsidRDefault="006B255F" w:rsidP="006B255F">
      <w:pPr>
        <w:spacing w:before="60" w:after="60"/>
      </w:pPr>
    </w:p>
    <w:p w14:paraId="6F0CACD0" w14:textId="77777777" w:rsidR="00595684" w:rsidRPr="002A066A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544E9209" w14:textId="77777777" w:rsidR="00007205" w:rsidRPr="002A066A" w:rsidRDefault="00595684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>ssay all standards, controls and samples in duplicate.</w:t>
      </w:r>
    </w:p>
    <w:p w14:paraId="65454174" w14:textId="77777777" w:rsidR="00391C31" w:rsidRDefault="00391C31" w:rsidP="00391C31">
      <w:pPr>
        <w:pStyle w:val="1AbcamStandardtext"/>
      </w:pPr>
    </w:p>
    <w:p w14:paraId="2CECE558" w14:textId="77777777" w:rsidR="00716A87" w:rsidRPr="002A066A" w:rsidRDefault="00716A87" w:rsidP="00716A87">
      <w:pPr>
        <w:pStyle w:val="11Abcambold"/>
      </w:pPr>
      <w:r>
        <w:t>Positive Control</w:t>
      </w:r>
    </w:p>
    <w:p w14:paraId="17273185" w14:textId="224191B9" w:rsidR="00716A87" w:rsidRDefault="00716A87" w:rsidP="00783AE3">
      <w:pPr>
        <w:pStyle w:val="111Abcam"/>
        <w:numPr>
          <w:ilvl w:val="0"/>
          <w:numId w:val="27"/>
        </w:numPr>
        <w:ind w:left="357" w:hanging="357"/>
      </w:pPr>
      <w:r>
        <w:t>Add</w:t>
      </w:r>
      <w:r w:rsidR="00B7758B">
        <w:t xml:space="preserve"> 1-4 μL</w:t>
      </w:r>
      <w:r w:rsidRPr="00716A87">
        <w:t xml:space="preserve"> of Chymotrypsin Positive Control into desired well(s) and adjust the final volume to 50 </w:t>
      </w:r>
      <w:proofErr w:type="spellStart"/>
      <w:r w:rsidR="001F6190">
        <w:t>μL</w:t>
      </w:r>
      <w:proofErr w:type="spellEnd"/>
      <w:r w:rsidRPr="00716A87">
        <w:t xml:space="preserve"> with </w:t>
      </w:r>
      <w:r w:rsidR="00B512F5">
        <w:t>Assay Buffer I/</w:t>
      </w:r>
      <w:r w:rsidRPr="00716A87">
        <w:t>Chymotrypsin Assay Buffer.</w:t>
      </w:r>
    </w:p>
    <w:p w14:paraId="55A378E8" w14:textId="77777777" w:rsidR="00716A87" w:rsidRDefault="00716A87" w:rsidP="00716A87">
      <w:pPr>
        <w:pStyle w:val="111Abcam"/>
        <w:numPr>
          <w:ilvl w:val="0"/>
          <w:numId w:val="0"/>
        </w:numPr>
      </w:pPr>
    </w:p>
    <w:p w14:paraId="7B6241F5" w14:textId="77777777" w:rsidR="00716A87" w:rsidRPr="002A066A" w:rsidRDefault="00716A87" w:rsidP="00716A87">
      <w:pPr>
        <w:pStyle w:val="11Abcambold"/>
      </w:pPr>
      <w:r>
        <w:t xml:space="preserve">Reagent background control </w:t>
      </w:r>
    </w:p>
    <w:p w14:paraId="03894081" w14:textId="462D5281" w:rsidR="00716A87" w:rsidRDefault="00716A87" w:rsidP="009E0B3D">
      <w:pPr>
        <w:pStyle w:val="111Abcam"/>
        <w:numPr>
          <w:ilvl w:val="0"/>
          <w:numId w:val="34"/>
        </w:numPr>
        <w:ind w:left="357" w:hanging="357"/>
      </w:pPr>
      <w:r>
        <w:t xml:space="preserve">Add </w:t>
      </w:r>
      <w:r w:rsidRPr="00716A87">
        <w:t xml:space="preserve">50 </w:t>
      </w:r>
      <w:proofErr w:type="spellStart"/>
      <w:r w:rsidR="001F6190">
        <w:t>μL</w:t>
      </w:r>
      <w:proofErr w:type="spellEnd"/>
      <w:r w:rsidRPr="00716A87">
        <w:t xml:space="preserve"> of </w:t>
      </w:r>
      <w:r w:rsidR="00B512F5">
        <w:t>Assay Buffer I/</w:t>
      </w:r>
      <w:r w:rsidRPr="00716A87">
        <w:t>Chymotrypsin Assay Buffer to a well.</w:t>
      </w:r>
    </w:p>
    <w:p w14:paraId="437C48F0" w14:textId="77777777" w:rsidR="00716A87" w:rsidRDefault="00716A87" w:rsidP="00716A87">
      <w:pPr>
        <w:pStyle w:val="111Abcam"/>
        <w:numPr>
          <w:ilvl w:val="0"/>
          <w:numId w:val="0"/>
        </w:numPr>
        <w:ind w:left="567"/>
      </w:pPr>
    </w:p>
    <w:p w14:paraId="1207023F" w14:textId="77777777" w:rsidR="00993C34" w:rsidRPr="002A066A" w:rsidRDefault="00716A87" w:rsidP="00380497">
      <w:pPr>
        <w:pStyle w:val="11Abcambold"/>
      </w:pPr>
      <w:r>
        <w:t>Reaction Mix</w:t>
      </w:r>
    </w:p>
    <w:p w14:paraId="31EDE34F" w14:textId="77777777" w:rsidR="006B255F" w:rsidRDefault="00716A87" w:rsidP="002E166A">
      <w:pPr>
        <w:pStyle w:val="111Abcam"/>
        <w:numPr>
          <w:ilvl w:val="0"/>
          <w:numId w:val="28"/>
        </w:numPr>
        <w:ind w:left="357" w:hanging="357"/>
      </w:pPr>
      <w:r>
        <w:t xml:space="preserve">Mix enough reagents for the number of assay to be performed (50 </w:t>
      </w:r>
      <w:r w:rsidR="005F49BE">
        <w:t>µL</w:t>
      </w:r>
      <w:r>
        <w:t xml:space="preserve">/well). </w:t>
      </w:r>
    </w:p>
    <w:p w14:paraId="0E361EED" w14:textId="77777777" w:rsidR="00716A87" w:rsidRPr="00716A87" w:rsidRDefault="00716A87" w:rsidP="002E166A">
      <w:pPr>
        <w:pStyle w:val="111Abcam"/>
        <w:numPr>
          <w:ilvl w:val="0"/>
          <w:numId w:val="28"/>
        </w:numPr>
        <w:ind w:left="357" w:hanging="357"/>
      </w:pPr>
      <w:r>
        <w:t xml:space="preserve">Add </w:t>
      </w:r>
      <w:r w:rsidRPr="00716A87">
        <w:t xml:space="preserve">50 </w:t>
      </w:r>
      <w:r w:rsidR="001F6190">
        <w:t>μL</w:t>
      </w:r>
      <w:r w:rsidRPr="00716A87">
        <w:t xml:space="preserve"> of the</w:t>
      </w:r>
      <w:r>
        <w:t xml:space="preserve"> Sample Background Control Mix to each of the “Sample Background Control” well and 50 </w:t>
      </w:r>
      <w:r w:rsidR="001F6190">
        <w:t>μL</w:t>
      </w:r>
      <w:r>
        <w:t xml:space="preserve"> of the Reaction Mix to well</w:t>
      </w:r>
      <w:r w:rsidR="00E01C91">
        <w:t>s containing samples</w:t>
      </w:r>
      <w:r>
        <w:t xml:space="preserve">, sample + </w:t>
      </w:r>
      <w:r w:rsidR="003646B8">
        <w:t>inhibitor,</w:t>
      </w:r>
      <w:r>
        <w:t xml:space="preserve"> positive control </w:t>
      </w:r>
      <w:r w:rsidRPr="00716A87">
        <w:t>and</w:t>
      </w:r>
      <w:r w:rsidR="00E01C91">
        <w:t xml:space="preserve"> reagent background control</w:t>
      </w:r>
      <w:r w:rsidRPr="00716A87">
        <w:t xml:space="preserve"> for a final volume of 100 </w:t>
      </w:r>
      <w:r w:rsidR="001F6190">
        <w:t>μL</w:t>
      </w:r>
      <w:r w:rsidRPr="00716A87">
        <w:t xml:space="preserve"> per well.</w:t>
      </w:r>
    </w:p>
    <w:p w14:paraId="4D4D19AD" w14:textId="77777777" w:rsidR="00E01C91" w:rsidRDefault="002E166A" w:rsidP="00E01C91">
      <w:pPr>
        <w:pStyle w:val="111Abcam"/>
        <w:numPr>
          <w:ilvl w:val="0"/>
          <w:numId w:val="0"/>
        </w:numPr>
        <w:ind w:left="360"/>
      </w:pPr>
      <w:r w:rsidRPr="00716A87">
        <w:rPr>
          <w:b/>
        </w:rPr>
        <w:t>Δ</w:t>
      </w:r>
      <w:r>
        <w:rPr>
          <w:b/>
        </w:rPr>
        <w:t xml:space="preserve"> </w:t>
      </w:r>
      <w:r w:rsidR="00E01C91" w:rsidRPr="00716A87">
        <w:rPr>
          <w:b/>
        </w:rPr>
        <w:t>Note</w:t>
      </w:r>
      <w:r w:rsidR="00E01C91" w:rsidRPr="002E166A">
        <w:rPr>
          <w:b/>
        </w:rPr>
        <w:t>:</w:t>
      </w:r>
      <w:r w:rsidR="00E01C91" w:rsidRPr="00716A87">
        <w:t xml:space="preserve"> </w:t>
      </w:r>
      <w:r w:rsidR="00E01C91">
        <w:t>Turbidity upon addition of Chymotrypsin Substrate to</w:t>
      </w:r>
    </w:p>
    <w:p w14:paraId="21DEE8CD" w14:textId="7D0DBF20" w:rsidR="006B255F" w:rsidRDefault="00B512F5" w:rsidP="00E01C91">
      <w:pPr>
        <w:pStyle w:val="111Abcam"/>
        <w:numPr>
          <w:ilvl w:val="0"/>
          <w:numId w:val="0"/>
        </w:numPr>
        <w:ind w:left="360"/>
      </w:pPr>
      <w:r>
        <w:t>Assay Buffer I/</w:t>
      </w:r>
      <w:r w:rsidR="00E01C91">
        <w:t>Chymotrypsin Assay buffer is normal and will disappear following vortexing.</w:t>
      </w:r>
    </w:p>
    <w:p w14:paraId="7F95C9F9" w14:textId="77777777" w:rsidR="00E90961" w:rsidRPr="002A066A" w:rsidRDefault="00E90961" w:rsidP="00E01C91">
      <w:pPr>
        <w:pStyle w:val="MediumGrid1-Accent21"/>
        <w:numPr>
          <w:ilvl w:val="0"/>
          <w:numId w:val="0"/>
        </w:numPr>
        <w:spacing w:before="60" w:after="60"/>
        <w:ind w:left="1440" w:hanging="360"/>
      </w:pPr>
    </w:p>
    <w:tbl>
      <w:tblPr>
        <w:tblW w:w="5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417"/>
        <w:gridCol w:w="1417"/>
      </w:tblGrid>
      <w:tr w:rsidR="00E90961" w:rsidRPr="002A066A" w14:paraId="618A5391" w14:textId="77777777" w:rsidTr="00422223">
        <w:trPr>
          <w:trHeight w:val="306"/>
          <w:jc w:val="center"/>
        </w:trPr>
        <w:tc>
          <w:tcPr>
            <w:tcW w:w="2835" w:type="dxa"/>
            <w:vAlign w:val="center"/>
          </w:tcPr>
          <w:p w14:paraId="30725CEE" w14:textId="77777777" w:rsidR="00E90961" w:rsidRPr="002A066A" w:rsidRDefault="00E9096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Component</w:t>
            </w:r>
          </w:p>
        </w:tc>
        <w:tc>
          <w:tcPr>
            <w:tcW w:w="1417" w:type="dxa"/>
            <w:vAlign w:val="center"/>
          </w:tcPr>
          <w:p w14:paraId="2E63D986" w14:textId="77777777" w:rsidR="00E90961" w:rsidRPr="002A066A" w:rsidRDefault="00E9096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Reaction Mix (µL)</w:t>
            </w:r>
          </w:p>
        </w:tc>
        <w:tc>
          <w:tcPr>
            <w:tcW w:w="1417" w:type="dxa"/>
            <w:vAlign w:val="center"/>
          </w:tcPr>
          <w:p w14:paraId="479CB2F6" w14:textId="77777777" w:rsidR="00E90961" w:rsidRPr="002A066A" w:rsidRDefault="00075C4E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Sample </w:t>
            </w:r>
            <w:r w:rsidR="00E90961"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Background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Control</w:t>
            </w:r>
            <w:r w:rsidR="00E90961"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Mix (µL)</w:t>
            </w:r>
          </w:p>
        </w:tc>
      </w:tr>
      <w:tr w:rsidR="00E90961" w:rsidRPr="002A066A" w14:paraId="7230E0CF" w14:textId="77777777" w:rsidTr="00422223">
        <w:trPr>
          <w:trHeight w:val="306"/>
          <w:jc w:val="center"/>
        </w:trPr>
        <w:tc>
          <w:tcPr>
            <w:tcW w:w="2835" w:type="dxa"/>
            <w:vAlign w:val="center"/>
          </w:tcPr>
          <w:p w14:paraId="12B4D777" w14:textId="260FD2FC" w:rsidR="00E90961" w:rsidRPr="00E01C91" w:rsidRDefault="00B512F5" w:rsidP="0042222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Assay Buffer I/</w:t>
            </w:r>
            <w:r w:rsidR="00E01C91">
              <w:rPr>
                <w:rFonts w:cs="Arial"/>
                <w:bCs/>
                <w:color w:val="000000"/>
                <w:sz w:val="18"/>
                <w:szCs w:val="18"/>
              </w:rPr>
              <w:t>Chymotrypsin</w:t>
            </w:r>
            <w:r w:rsidR="00E90961" w:rsidRPr="00E01C91">
              <w:rPr>
                <w:rFonts w:cs="Arial"/>
                <w:bCs/>
                <w:color w:val="000000"/>
                <w:sz w:val="18"/>
                <w:szCs w:val="18"/>
              </w:rPr>
              <w:t xml:space="preserve"> Assay Buffer</w:t>
            </w:r>
          </w:p>
        </w:tc>
        <w:tc>
          <w:tcPr>
            <w:tcW w:w="1417" w:type="dxa"/>
            <w:vAlign w:val="center"/>
          </w:tcPr>
          <w:p w14:paraId="3EBAB863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46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417" w:type="dxa"/>
            <w:vAlign w:val="center"/>
          </w:tcPr>
          <w:p w14:paraId="1C4084BC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48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</w:tr>
      <w:tr w:rsidR="00E90961" w:rsidRPr="002A066A" w14:paraId="6C783F8D" w14:textId="77777777" w:rsidTr="00422223">
        <w:trPr>
          <w:trHeight w:val="306"/>
          <w:jc w:val="center"/>
        </w:trPr>
        <w:tc>
          <w:tcPr>
            <w:tcW w:w="2835" w:type="dxa"/>
            <w:vAlign w:val="center"/>
          </w:tcPr>
          <w:p w14:paraId="582D4E19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Chymotrypsin Substrate</w:t>
            </w:r>
          </w:p>
        </w:tc>
        <w:tc>
          <w:tcPr>
            <w:tcW w:w="1417" w:type="dxa"/>
            <w:vAlign w:val="center"/>
          </w:tcPr>
          <w:p w14:paraId="5D19FA4F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417" w:type="dxa"/>
            <w:vAlign w:val="center"/>
          </w:tcPr>
          <w:p w14:paraId="48A491C0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</w:t>
            </w:r>
          </w:p>
        </w:tc>
      </w:tr>
      <w:tr w:rsidR="00E90961" w:rsidRPr="002A066A" w14:paraId="1A6934EC" w14:textId="77777777" w:rsidTr="00422223">
        <w:trPr>
          <w:trHeight w:val="306"/>
          <w:jc w:val="center"/>
        </w:trPr>
        <w:tc>
          <w:tcPr>
            <w:tcW w:w="2835" w:type="dxa"/>
            <w:vAlign w:val="center"/>
          </w:tcPr>
          <w:p w14:paraId="5C2AE507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Chymotrypsin Activator</w:t>
            </w:r>
          </w:p>
        </w:tc>
        <w:tc>
          <w:tcPr>
            <w:tcW w:w="1417" w:type="dxa"/>
            <w:vAlign w:val="center"/>
          </w:tcPr>
          <w:p w14:paraId="74A13174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  <w:tc>
          <w:tcPr>
            <w:tcW w:w="1417" w:type="dxa"/>
            <w:vAlign w:val="center"/>
          </w:tcPr>
          <w:p w14:paraId="66F32F44" w14:textId="77777777" w:rsidR="00E90961" w:rsidRPr="00E01C91" w:rsidRDefault="00E01C91" w:rsidP="0042222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 </w:t>
            </w:r>
            <w:r w:rsidR="005F49BE">
              <w:rPr>
                <w:rFonts w:cs="Arial"/>
                <w:color w:val="000000"/>
                <w:sz w:val="18"/>
                <w:szCs w:val="18"/>
                <w:lang w:val="en-GB"/>
              </w:rPr>
              <w:t>µL</w:t>
            </w:r>
          </w:p>
        </w:tc>
      </w:tr>
    </w:tbl>
    <w:p w14:paraId="512006D1" w14:textId="77777777" w:rsidR="00E90961" w:rsidRDefault="00E90961" w:rsidP="00E90961">
      <w:pPr>
        <w:pStyle w:val="1AbcamStandardtext"/>
      </w:pPr>
    </w:p>
    <w:p w14:paraId="54B26BE6" w14:textId="77777777" w:rsidR="004B3BE8" w:rsidRDefault="004B3BE8" w:rsidP="00E90961">
      <w:pPr>
        <w:pStyle w:val="1AbcamStandardtext"/>
      </w:pPr>
    </w:p>
    <w:p w14:paraId="5BE22694" w14:textId="77777777" w:rsidR="004B3BE8" w:rsidRPr="002A066A" w:rsidRDefault="004B3BE8" w:rsidP="00E90961">
      <w:pPr>
        <w:pStyle w:val="1AbcamStandardtext"/>
      </w:pPr>
    </w:p>
    <w:p w14:paraId="0DEED54F" w14:textId="77777777" w:rsidR="00E01C91" w:rsidRPr="002A066A" w:rsidRDefault="00E01C91" w:rsidP="00E01C91">
      <w:pPr>
        <w:pStyle w:val="11Abcambold"/>
      </w:pPr>
      <w:r>
        <w:t>Measurement</w:t>
      </w:r>
    </w:p>
    <w:p w14:paraId="1E79ED80" w14:textId="77777777" w:rsidR="00E01C91" w:rsidRDefault="00E01C91" w:rsidP="00AF423E">
      <w:pPr>
        <w:pStyle w:val="111Abcam"/>
        <w:numPr>
          <w:ilvl w:val="0"/>
          <w:numId w:val="29"/>
        </w:numPr>
        <w:ind w:left="357" w:hanging="357"/>
      </w:pPr>
      <w:r>
        <w:t xml:space="preserve">Immediately start recording the fluorescence (Ex/Em = 380/460 nm) in kinetic mode (i.e. at 30 second intervals) for 30-60 </w:t>
      </w:r>
      <w:r w:rsidR="002A49FA">
        <w:t>minutes</w:t>
      </w:r>
      <w:r>
        <w:t xml:space="preserve"> at 25°C.</w:t>
      </w:r>
    </w:p>
    <w:p w14:paraId="46990B03" w14:textId="6A853063" w:rsidR="00E01C91" w:rsidRDefault="00E01C91" w:rsidP="00AF423E">
      <w:pPr>
        <w:pStyle w:val="111Abcam"/>
        <w:numPr>
          <w:ilvl w:val="0"/>
          <w:numId w:val="0"/>
        </w:numPr>
        <w:ind w:left="357"/>
      </w:pPr>
      <w:r w:rsidRPr="00716A87">
        <w:rPr>
          <w:b/>
        </w:rPr>
        <w:t>Δ</w:t>
      </w:r>
      <w:r w:rsidR="00AF423E">
        <w:rPr>
          <w:b/>
        </w:rPr>
        <w:t xml:space="preserve"> </w:t>
      </w:r>
      <w:r w:rsidRPr="00716A87">
        <w:rPr>
          <w:b/>
        </w:rPr>
        <w:t>Note</w:t>
      </w:r>
      <w:r w:rsidRPr="00716A87">
        <w:t xml:space="preserve">: </w:t>
      </w:r>
      <w:r w:rsidR="00AF423E" w:rsidRPr="00AF423E">
        <w:t xml:space="preserve">Ideal measurement time depends on the chymotrypsin activity in samples. We recommend running the assay in kinetic mode to ensure that the linear reaction phase is recorded. The </w:t>
      </w:r>
      <w:r w:rsidR="00B512F5">
        <w:t>AMC Standard/</w:t>
      </w:r>
      <w:r w:rsidR="00AF423E" w:rsidRPr="00AF423E">
        <w:t>Coumarin Standard curve can be read in endpoint mode.</w:t>
      </w:r>
    </w:p>
    <w:p w14:paraId="78483ED0" w14:textId="77777777" w:rsidR="00E90961" w:rsidRDefault="00E90961" w:rsidP="00E01C91">
      <w:pPr>
        <w:spacing w:before="0" w:after="0"/>
      </w:pPr>
    </w:p>
    <w:p w14:paraId="069EB1C5" w14:textId="77777777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11167DF4" w14:textId="77777777" w:rsidR="00E90961" w:rsidRPr="00E01C91" w:rsidRDefault="006B255F" w:rsidP="00E90961">
      <w:pPr>
        <w:pStyle w:val="1Abcamheading"/>
      </w:pPr>
      <w:bookmarkStart w:id="20" w:name="_Toc512343302"/>
      <w:r w:rsidRPr="00E01C91">
        <w:lastRenderedPageBreak/>
        <w:t>Data Analysis</w:t>
      </w:r>
      <w:bookmarkEnd w:id="20"/>
    </w:p>
    <w:p w14:paraId="26EAB3A3" w14:textId="77777777" w:rsidR="009558F2" w:rsidRPr="00E01C91" w:rsidRDefault="009558F2" w:rsidP="00680476">
      <w:pPr>
        <w:pStyle w:val="11Abcam"/>
        <w:numPr>
          <w:ilvl w:val="0"/>
          <w:numId w:val="22"/>
        </w:numPr>
      </w:pPr>
      <w:r w:rsidRPr="00E01C91">
        <w:t>Average the duplicate reading for each standard</w:t>
      </w:r>
      <w:r w:rsidR="00633C55" w:rsidRPr="00E01C91">
        <w:t>,</w:t>
      </w:r>
      <w:r w:rsidR="00FE64CE" w:rsidRPr="00E01C91">
        <w:t xml:space="preserve"> control</w:t>
      </w:r>
      <w:r w:rsidRPr="00E01C91">
        <w:t xml:space="preserve"> and sample.</w:t>
      </w:r>
    </w:p>
    <w:p w14:paraId="14FA3E52" w14:textId="630C2804" w:rsidR="00E01C91" w:rsidRPr="00E01C91" w:rsidRDefault="00E90961" w:rsidP="00E01C91">
      <w:pPr>
        <w:pStyle w:val="11Abcam"/>
        <w:numPr>
          <w:ilvl w:val="0"/>
          <w:numId w:val="22"/>
        </w:numPr>
      </w:pPr>
      <w:r w:rsidRPr="00E01C91">
        <w:t>Subtract the mean value of the blank (</w:t>
      </w:r>
      <w:r w:rsidR="00E01C91">
        <w:t>the 0 pmol/well reading</w:t>
      </w:r>
      <w:r w:rsidRPr="00E01C91">
        <w:t>) from all</w:t>
      </w:r>
      <w:r w:rsidR="00E01C91">
        <w:t xml:space="preserve"> other </w:t>
      </w:r>
      <w:r w:rsidR="00B512F5">
        <w:t>AMC Standard/</w:t>
      </w:r>
      <w:r w:rsidR="00E01C91">
        <w:t>Coumarin</w:t>
      </w:r>
      <w:r w:rsidRPr="00E01C91">
        <w:t xml:space="preserve"> standard</w:t>
      </w:r>
      <w:r w:rsidR="00E01C91">
        <w:t>s</w:t>
      </w:r>
      <w:r w:rsidRPr="00E01C91">
        <w:t>. This is the corrected absorbance.</w:t>
      </w:r>
    </w:p>
    <w:p w14:paraId="5F359BEA" w14:textId="77777777" w:rsidR="00E90961" w:rsidRDefault="00E90961" w:rsidP="00680476">
      <w:pPr>
        <w:pStyle w:val="11Abcam"/>
        <w:numPr>
          <w:ilvl w:val="0"/>
          <w:numId w:val="22"/>
        </w:numPr>
      </w:pPr>
      <w:r w:rsidRPr="00E01C91">
        <w:t xml:space="preserve">Plot the </w:t>
      </w:r>
      <w:r w:rsidR="00E01C91">
        <w:t>standard curve.</w:t>
      </w:r>
    </w:p>
    <w:p w14:paraId="26AB4ED4" w14:textId="77777777" w:rsidR="00E01C91" w:rsidRDefault="00E01C91" w:rsidP="00E01C91">
      <w:pPr>
        <w:pStyle w:val="11Abcam"/>
        <w:numPr>
          <w:ilvl w:val="0"/>
          <w:numId w:val="22"/>
        </w:numPr>
      </w:pPr>
      <w:r>
        <w:t>For sample reaction wells (including paired inhibitor control wells), choose two time points (t</w:t>
      </w:r>
      <w:r w:rsidRPr="00E242E2">
        <w:rPr>
          <w:vertAlign w:val="subscript"/>
        </w:rPr>
        <w:t>1</w:t>
      </w:r>
      <w:r>
        <w:t xml:space="preserve"> and t</w:t>
      </w:r>
      <w:r w:rsidRPr="00E242E2">
        <w:rPr>
          <w:vertAlign w:val="subscript"/>
        </w:rPr>
        <w:t>2</w:t>
      </w:r>
      <w:r>
        <w:t>) in the linear phase of the reaction progress curve, obtain the corresponding fluorescence values at those points (RFU</w:t>
      </w:r>
      <w:r w:rsidRPr="00E242E2">
        <w:rPr>
          <w:vertAlign w:val="subscript"/>
        </w:rPr>
        <w:t>1</w:t>
      </w:r>
      <w:r>
        <w:t xml:space="preserve"> and RFU</w:t>
      </w:r>
      <w:r w:rsidRPr="00E242E2">
        <w:rPr>
          <w:vertAlign w:val="subscript"/>
        </w:rPr>
        <w:t>2</w:t>
      </w:r>
      <w:proofErr w:type="gramStart"/>
      <w:r>
        <w:t>)</w:t>
      </w:r>
      <w:proofErr w:type="gramEnd"/>
      <w:r>
        <w:t xml:space="preserve"> and determine the change in fluoresc</w:t>
      </w:r>
      <w:r w:rsidR="00E242E2">
        <w:t>ence over the time interval: ΔF </w:t>
      </w:r>
      <w:r>
        <w:t>= RFU</w:t>
      </w:r>
      <w:r w:rsidRPr="00E242E2">
        <w:rPr>
          <w:vertAlign w:val="subscript"/>
        </w:rPr>
        <w:t>2</w:t>
      </w:r>
      <w:r>
        <w:t xml:space="preserve"> – RFU</w:t>
      </w:r>
      <w:r w:rsidRPr="00E242E2">
        <w:rPr>
          <w:vertAlign w:val="subscript"/>
        </w:rPr>
        <w:t>1</w:t>
      </w:r>
      <w:r>
        <w:t>.</w:t>
      </w:r>
    </w:p>
    <w:p w14:paraId="14FBE74C" w14:textId="77777777" w:rsidR="002B6E12" w:rsidRDefault="002B6E12" w:rsidP="00E01C91">
      <w:pPr>
        <w:pStyle w:val="11Abcam"/>
        <w:numPr>
          <w:ilvl w:val="0"/>
          <w:numId w:val="22"/>
        </w:numPr>
      </w:pPr>
      <w:r>
        <w:t>Subtract the reagent background control ΔF value from the respective sample ΔF values.</w:t>
      </w:r>
    </w:p>
    <w:p w14:paraId="1EE4FEA4" w14:textId="77777777" w:rsidR="002B6E12" w:rsidRDefault="002B6E12" w:rsidP="004729E2">
      <w:pPr>
        <w:pStyle w:val="11Abcam"/>
        <w:numPr>
          <w:ilvl w:val="0"/>
          <w:numId w:val="0"/>
        </w:numPr>
        <w:tabs>
          <w:tab w:val="num" w:pos="0"/>
        </w:tabs>
        <w:ind w:left="360"/>
      </w:pPr>
      <w:r w:rsidRPr="002B6E12">
        <w:rPr>
          <w:b/>
        </w:rPr>
        <w:t>Δ</w:t>
      </w:r>
      <w:r w:rsidR="00D107F1">
        <w:rPr>
          <w:b/>
        </w:rPr>
        <w:t xml:space="preserve"> </w:t>
      </w:r>
      <w:r w:rsidRPr="002B6E12">
        <w:rPr>
          <w:b/>
        </w:rPr>
        <w:t xml:space="preserve">Note: </w:t>
      </w:r>
      <w:r>
        <w:t>If sample background control ΔF values are higher than reagents background control, subtract the sample background control from the corresponding sample (rather than subtracting the reagent background control).</w:t>
      </w:r>
    </w:p>
    <w:p w14:paraId="52099D9D" w14:textId="0C6C8EBC" w:rsidR="002B6E12" w:rsidRPr="002B6E12" w:rsidRDefault="002B6E12" w:rsidP="002B6E12">
      <w:pPr>
        <w:pStyle w:val="11Abcam"/>
        <w:numPr>
          <w:ilvl w:val="0"/>
          <w:numId w:val="22"/>
        </w:numPr>
      </w:pPr>
      <w:r>
        <w:t xml:space="preserve">Chymotrypsin specific activity is obtained by applying the background-corrected ΔF values to the </w:t>
      </w:r>
      <w:r w:rsidR="00B512F5">
        <w:t>AMC Standard/</w:t>
      </w:r>
      <w:r>
        <w:t xml:space="preserve">Coumarin Standard </w:t>
      </w:r>
      <w:r w:rsidR="003646B8">
        <w:t>curve</w:t>
      </w:r>
      <w:r>
        <w:t xml:space="preserve"> to get B pmol of substrate metabolized during the reaction time.</w:t>
      </w:r>
    </w:p>
    <w:p w14:paraId="55F0672D" w14:textId="77777777" w:rsidR="00E01C91" w:rsidRDefault="00E01C91" w:rsidP="00811678">
      <w:pPr>
        <w:pStyle w:val="11Abcam"/>
        <w:numPr>
          <w:ilvl w:val="0"/>
          <w:numId w:val="0"/>
        </w:numPr>
      </w:pPr>
    </w:p>
    <w:p w14:paraId="02B30CB5" w14:textId="77777777" w:rsidR="00E90961" w:rsidRPr="00D107F1" w:rsidRDefault="002B6E12" w:rsidP="002B6E12">
      <w:pPr>
        <w:pStyle w:val="zStyleLatinCambriaMathItalicLeft12cm"/>
        <w:ind w:left="0"/>
        <w:rPr>
          <w:rStyle w:val="zStyleLatinCambriaMathItalic"/>
          <w:rFonts w:ascii="Century Gothic" w:hAnsi="Century Gothic"/>
          <w:i/>
        </w:rPr>
      </w:pPr>
      <m:oMathPara>
        <m:oMath>
          <m:r>
            <m:t>Chymotrypsin Specific Activity</m:t>
          </m:r>
          <m:r>
            <w:rPr>
              <w:rStyle w:val="zStyleLatinCambriaMathItalic"/>
            </w:rPr>
            <m:t>=</m:t>
          </m:r>
          <m:f>
            <m:fPr>
              <m:ctrlPr>
                <w:rPr>
                  <w:rStyle w:val="zStyleLatinCambriaMathItalic"/>
                  <w:i/>
                  <w:iCs/>
                </w:rPr>
              </m:ctrlPr>
            </m:fPr>
            <m:num>
              <m:r>
                <w:rPr>
                  <w:rStyle w:val="zStyleLatinCambriaMathItalic"/>
                </w:rPr>
                <m:t>ΔB</m:t>
              </m:r>
            </m:num>
            <m:den>
              <m:r>
                <w:rPr>
                  <w:rStyle w:val="zStyleLatinCambriaMathItalic"/>
                </w:rPr>
                <m:t>(Δt*p)</m:t>
              </m:r>
            </m:den>
          </m:f>
          <m:r>
            <w:rPr>
              <w:rStyle w:val="zStyleLatinCambriaMathItalic"/>
            </w:rPr>
            <m:t>= = pmol/min/mg = µU/mg</m:t>
          </m:r>
        </m:oMath>
      </m:oMathPara>
    </w:p>
    <w:p w14:paraId="29FB29B0" w14:textId="77777777" w:rsidR="00E90961" w:rsidRPr="00E01C91" w:rsidRDefault="00E90961" w:rsidP="00E90961">
      <w:pPr>
        <w:pStyle w:val="1AbcamStandardtext"/>
      </w:pPr>
      <w:r w:rsidRPr="00E01C91">
        <w:t>Where:</w:t>
      </w:r>
    </w:p>
    <w:p w14:paraId="237B05AE" w14:textId="77777777" w:rsidR="00E90961" w:rsidRPr="00E01C91" w:rsidRDefault="002B6E12" w:rsidP="00E90961">
      <w:pPr>
        <w:pStyle w:val="1AbcamStandardtext"/>
      </w:pPr>
      <w:r>
        <w:t>Δ</w:t>
      </w:r>
      <w:r w:rsidR="00E90961" w:rsidRPr="00E01C91">
        <w:t xml:space="preserve">B = </w:t>
      </w:r>
      <w:r>
        <w:t>change in Coumarin concentration during reaction (in pmol)</w:t>
      </w:r>
    </w:p>
    <w:p w14:paraId="4195AC4B" w14:textId="77777777" w:rsidR="00E90961" w:rsidRPr="002B6E12" w:rsidRDefault="002B6E12" w:rsidP="00E90961">
      <w:pPr>
        <w:pStyle w:val="1AbcamStandardtext"/>
      </w:pPr>
      <w:r>
        <w:t>Δt</w:t>
      </w:r>
      <w:r w:rsidR="00E90961" w:rsidRPr="00E01C91">
        <w:t xml:space="preserve"> = </w:t>
      </w:r>
      <w:r>
        <w:t>t</w:t>
      </w:r>
      <w:r>
        <w:rPr>
          <w:vertAlign w:val="subscript"/>
        </w:rPr>
        <w:t>2</w:t>
      </w:r>
      <w:r>
        <w:t>-t</w:t>
      </w:r>
      <w:r>
        <w:rPr>
          <w:vertAlign w:val="subscript"/>
        </w:rPr>
        <w:t>1</w:t>
      </w:r>
      <w:r>
        <w:t xml:space="preserve"> (in min)</w:t>
      </w:r>
    </w:p>
    <w:p w14:paraId="25FF890C" w14:textId="77777777" w:rsidR="00E90961" w:rsidRPr="00E01C91" w:rsidRDefault="002B6E12" w:rsidP="00E90961">
      <w:pPr>
        <w:pStyle w:val="1AbcamBulletpoints"/>
        <w:ind w:left="360" w:hanging="360"/>
      </w:pPr>
      <w:r>
        <w:t>p</w:t>
      </w:r>
      <w:r w:rsidR="00E90961" w:rsidRPr="00E01C91">
        <w:t xml:space="preserve"> = </w:t>
      </w:r>
      <w:r>
        <w:t>sample protein content added to well (in mg)</w:t>
      </w:r>
    </w:p>
    <w:p w14:paraId="573955FE" w14:textId="676CEB5E" w:rsidR="00811678" w:rsidRDefault="002B6E12" w:rsidP="00680476">
      <w:r>
        <w:t xml:space="preserve">If </w:t>
      </w:r>
      <w:r w:rsidR="00B512F5">
        <w:t>Chymotrypsin inhibitor I/</w:t>
      </w:r>
      <w:r>
        <w:t xml:space="preserve">Chymotrypsin inhibitor is being used, calculate chymotrypsin activity as follows: </w:t>
      </w:r>
    </w:p>
    <w:p w14:paraId="4DA4D9CC" w14:textId="77777777" w:rsidR="00AA5BFB" w:rsidRPr="003646B8" w:rsidRDefault="00AA5BFB" w:rsidP="00680476">
      <w:pPr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Chymotrypsin Activity</m:t>
          </m:r>
          <m:r>
            <m:rPr>
              <m:sty m:val="p"/>
            </m:rPr>
            <w:rPr>
              <w:rStyle w:val="zStyleLatinCambriaMathItalic"/>
              <w:sz w:val="18"/>
              <w:szCs w:val="18"/>
            </w:rPr>
            <m:t xml:space="preserve">= </m:t>
          </m:r>
          <m:r>
            <w:rPr>
              <w:rFonts w:ascii="Cambria Math" w:hAnsi="Cambria Math"/>
              <w:sz w:val="18"/>
              <w:szCs w:val="18"/>
            </w:rPr>
            <m:t>Total activity in sample – Activity with Chymotrypsin Inhibitor</m:t>
          </m:r>
        </m:oMath>
      </m:oMathPara>
    </w:p>
    <w:p w14:paraId="48444FDC" w14:textId="77777777" w:rsidR="00063503" w:rsidRPr="00063503" w:rsidRDefault="00063503" w:rsidP="00680476">
      <w:r w:rsidRPr="00063503">
        <w:lastRenderedPageBreak/>
        <w:t>Unit Definition: One unit of Chymotrypsin is the amount of enzyme that generates 1.0 µmol of coumarin per minute at pH 8 at 25°C.</w:t>
      </w:r>
    </w:p>
    <w:p w14:paraId="7FB88236" w14:textId="77777777" w:rsidR="00F86696" w:rsidRDefault="00F86696">
      <w:pPr>
        <w:spacing w:before="0" w:after="0"/>
      </w:pPr>
      <w:r>
        <w:br w:type="page"/>
      </w:r>
    </w:p>
    <w:p w14:paraId="646842E8" w14:textId="77777777" w:rsidR="006B255F" w:rsidRDefault="006B255F" w:rsidP="001E2DD7">
      <w:pPr>
        <w:pStyle w:val="1Abcamheading"/>
      </w:pPr>
      <w:bookmarkStart w:id="21" w:name="_Toc512343303"/>
      <w:bookmarkEnd w:id="18"/>
      <w:bookmarkEnd w:id="19"/>
      <w:r>
        <w:lastRenderedPageBreak/>
        <w:t>FAQs / Troubleshooting</w:t>
      </w:r>
      <w:bookmarkEnd w:id="21"/>
    </w:p>
    <w:p w14:paraId="0EDBB0B3" w14:textId="77777777" w:rsidR="006B255F" w:rsidRDefault="00B73032">
      <w:pPr>
        <w:spacing w:before="0" w:after="0"/>
        <w:rPr>
          <w:rFonts w:eastAsia="Times New Roman"/>
          <w:b/>
          <w:bCs/>
          <w:sz w:val="24"/>
          <w:szCs w:val="28"/>
        </w:rPr>
      </w:pPr>
      <w:r w:rsidRPr="00811678">
        <w:t xml:space="preserve">General troubleshooting points are found at </w:t>
      </w:r>
      <w:hyperlink r:id="rId14" w:history="1">
        <w:r w:rsidRPr="00811678">
          <w:rPr>
            <w:rStyle w:val="Hyperlink"/>
          </w:rPr>
          <w:t>www.abcam.com/assaykitguidelines</w:t>
        </w:r>
      </w:hyperlink>
      <w:r w:rsidR="00811678" w:rsidRPr="00811678">
        <w:t>.</w:t>
      </w:r>
      <w:r w:rsidR="006B255F">
        <w:t xml:space="preserve">  </w:t>
      </w:r>
      <w:r w:rsidR="006B255F">
        <w:br w:type="page"/>
      </w:r>
    </w:p>
    <w:p w14:paraId="1D168484" w14:textId="77777777" w:rsidR="00B86D77" w:rsidRPr="002A066A" w:rsidRDefault="00E44FA4" w:rsidP="001E2DD7">
      <w:pPr>
        <w:pStyle w:val="1Abcamheading"/>
      </w:pPr>
      <w:bookmarkStart w:id="22" w:name="_Toc512343304"/>
      <w:r w:rsidRPr="002A066A">
        <w:lastRenderedPageBreak/>
        <w:t xml:space="preserve">Typical </w:t>
      </w:r>
      <w:r w:rsidR="00B86D77" w:rsidRPr="002A066A">
        <w:t>Data</w:t>
      </w:r>
      <w:bookmarkEnd w:id="22"/>
    </w:p>
    <w:p w14:paraId="03E68C5B" w14:textId="77777777" w:rsidR="00802376" w:rsidRDefault="006B255F" w:rsidP="00802376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3EA32EB7" w14:textId="77777777" w:rsidR="00E44FA4" w:rsidRPr="002A066A" w:rsidRDefault="00811678" w:rsidP="00811678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76FF2A6" wp14:editId="2CBCB4DB">
            <wp:extent cx="3600000" cy="2336990"/>
            <wp:effectExtent l="0" t="0" r="63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352.jpg"/>
                    <pic:cNvPicPr/>
                  </pic:nvPicPr>
                  <pic:blipFill rotWithShape="1">
                    <a:blip r:embed="rId15"/>
                    <a:srcRect t="12272" b="16471"/>
                    <a:stretch/>
                  </pic:blipFill>
                  <pic:spPr bwMode="auto">
                    <a:xfrm>
                      <a:off x="0" y="0"/>
                      <a:ext cx="3600000" cy="233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3EA0A" w14:textId="6537224F" w:rsidR="003B15FA" w:rsidRDefault="00E44FA4" w:rsidP="008A2F6E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B512F5">
        <w:t>AMC Standard/</w:t>
      </w:r>
      <w:r w:rsidR="00802376">
        <w:t>Coumarin standard curves showing a range of 0-10 nmol/well.</w:t>
      </w:r>
    </w:p>
    <w:p w14:paraId="69764704" w14:textId="77777777" w:rsidR="00802376" w:rsidRDefault="00802376" w:rsidP="008A2F6E">
      <w:pPr>
        <w:pStyle w:val="1AbcamImageLegend"/>
      </w:pPr>
    </w:p>
    <w:p w14:paraId="798F45EF" w14:textId="77777777" w:rsidR="00802376" w:rsidRDefault="00802376" w:rsidP="008A2F6E">
      <w:pPr>
        <w:pStyle w:val="1AbcamImageLegend"/>
      </w:pPr>
    </w:p>
    <w:p w14:paraId="087AC7BB" w14:textId="77777777" w:rsidR="00802376" w:rsidRPr="008A2F6E" w:rsidRDefault="00802376" w:rsidP="00802376">
      <w:pPr>
        <w:pStyle w:val="1AbcamImageLegend"/>
        <w:jc w:val="center"/>
      </w:pPr>
      <w:r>
        <w:drawing>
          <wp:inline distT="0" distB="0" distL="0" distR="0" wp14:anchorId="5E72F446" wp14:editId="7B11FC8A">
            <wp:extent cx="3600000" cy="2120324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352-b.jpg"/>
                    <pic:cNvPicPr/>
                  </pic:nvPicPr>
                  <pic:blipFill rotWithShape="1">
                    <a:blip r:embed="rId16"/>
                    <a:srcRect t="15083" b="15666"/>
                    <a:stretch/>
                  </pic:blipFill>
                  <pic:spPr bwMode="auto">
                    <a:xfrm>
                      <a:off x="0" y="0"/>
                      <a:ext cx="3600000" cy="2120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D059B" w14:textId="77777777" w:rsidR="00802376" w:rsidRDefault="00802376" w:rsidP="00802376">
      <w:pPr>
        <w:pStyle w:val="1AbcamImageLegend"/>
        <w:rPr>
          <w:b/>
        </w:rPr>
      </w:pPr>
    </w:p>
    <w:p w14:paraId="4ADCFFBF" w14:textId="77777777" w:rsidR="00802376" w:rsidRDefault="00802376" w:rsidP="00802376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2</w:t>
      </w:r>
      <w:r w:rsidRPr="008A2F6E">
        <w:t xml:space="preserve">. </w:t>
      </w:r>
      <w:r>
        <w:t>Reaction kinetics for positive contr</w:t>
      </w:r>
      <w:r w:rsidR="00C4325C">
        <w:t>ol and rat pancreatic lysate (9 </w:t>
      </w:r>
      <w:r>
        <w:t>µg).</w:t>
      </w:r>
    </w:p>
    <w:p w14:paraId="1B4C2692" w14:textId="77777777" w:rsidR="00802376" w:rsidRDefault="00802376" w:rsidP="00802376">
      <w:pPr>
        <w:pStyle w:val="1AbcamImageLegend"/>
      </w:pPr>
    </w:p>
    <w:p w14:paraId="53705CE5" w14:textId="77777777" w:rsidR="00802376" w:rsidRDefault="00802376" w:rsidP="00802376">
      <w:pPr>
        <w:pStyle w:val="1AbcamImageLegend"/>
      </w:pPr>
    </w:p>
    <w:p w14:paraId="18A89D54" w14:textId="77777777" w:rsidR="00802376" w:rsidRDefault="00802376" w:rsidP="00802376">
      <w:pPr>
        <w:pStyle w:val="1AbcamImageLegend"/>
        <w:jc w:val="center"/>
      </w:pPr>
      <w:r>
        <w:drawing>
          <wp:inline distT="0" distB="0" distL="0" distR="0" wp14:anchorId="7C123589" wp14:editId="619CCF44">
            <wp:extent cx="3600000" cy="2315455"/>
            <wp:effectExtent l="0" t="0" r="63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352-c.jpg"/>
                    <pic:cNvPicPr/>
                  </pic:nvPicPr>
                  <pic:blipFill rotWithShape="1">
                    <a:blip r:embed="rId17"/>
                    <a:srcRect t="16805" b="14425"/>
                    <a:stretch/>
                  </pic:blipFill>
                  <pic:spPr bwMode="auto">
                    <a:xfrm>
                      <a:off x="0" y="0"/>
                      <a:ext cx="3600000" cy="231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854B8" w14:textId="77777777" w:rsidR="00802376" w:rsidRDefault="00802376" w:rsidP="00802376">
      <w:pPr>
        <w:pStyle w:val="1AbcamImageLegend"/>
      </w:pPr>
    </w:p>
    <w:p w14:paraId="2FC6C8F9" w14:textId="77777777" w:rsidR="00802376" w:rsidRDefault="00802376" w:rsidP="00802376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3</w:t>
      </w:r>
      <w:r w:rsidRPr="008A2F6E">
        <w:t xml:space="preserve">. </w:t>
      </w:r>
      <w:r>
        <w:t>Reaction kinetics for rat spleen lysate (160 µg).</w:t>
      </w:r>
    </w:p>
    <w:p w14:paraId="7818BFC9" w14:textId="77777777" w:rsidR="00802376" w:rsidRDefault="00802376" w:rsidP="00802376">
      <w:pPr>
        <w:pStyle w:val="1AbcamImageLegend"/>
      </w:pPr>
    </w:p>
    <w:p w14:paraId="68827F39" w14:textId="77777777" w:rsidR="00802376" w:rsidRDefault="00802376" w:rsidP="00802376">
      <w:pPr>
        <w:pStyle w:val="1AbcamImageLegend"/>
      </w:pPr>
    </w:p>
    <w:p w14:paraId="71579BA0" w14:textId="77777777" w:rsidR="00802376" w:rsidRDefault="00802376" w:rsidP="00802376">
      <w:pPr>
        <w:pStyle w:val="1AbcamImageLegend"/>
      </w:pPr>
    </w:p>
    <w:p w14:paraId="48FA34DF" w14:textId="77777777" w:rsidR="00802376" w:rsidRDefault="00802376" w:rsidP="00802376">
      <w:pPr>
        <w:pStyle w:val="1AbcamImageLegend"/>
        <w:jc w:val="center"/>
      </w:pPr>
      <w:r>
        <w:drawing>
          <wp:inline distT="0" distB="0" distL="0" distR="0" wp14:anchorId="57C83F57" wp14:editId="3832CC11">
            <wp:extent cx="3636000" cy="2010158"/>
            <wp:effectExtent l="0" t="0" r="317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352-d.jpg"/>
                    <pic:cNvPicPr/>
                  </pic:nvPicPr>
                  <pic:blipFill rotWithShape="1">
                    <a:blip r:embed="rId18"/>
                    <a:srcRect t="13977" b="19199"/>
                    <a:stretch/>
                  </pic:blipFill>
                  <pic:spPr bwMode="auto">
                    <a:xfrm>
                      <a:off x="0" y="0"/>
                      <a:ext cx="3636000" cy="2010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B30A5" w14:textId="77777777" w:rsidR="00802376" w:rsidRDefault="00802376" w:rsidP="00802376">
      <w:pPr>
        <w:pStyle w:val="1AbcamImageLegend"/>
      </w:pPr>
    </w:p>
    <w:p w14:paraId="2B15F76B" w14:textId="77777777" w:rsidR="00802376" w:rsidRDefault="00802376" w:rsidP="00802376">
      <w:pPr>
        <w:pStyle w:val="1AbcamImageLegend"/>
      </w:pPr>
    </w:p>
    <w:p w14:paraId="04C196AC" w14:textId="32C97E9F" w:rsidR="00802376" w:rsidRDefault="00802376" w:rsidP="00802376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3</w:t>
      </w:r>
      <w:r w:rsidRPr="008A2F6E">
        <w:t xml:space="preserve">. </w:t>
      </w:r>
      <w:r w:rsidR="00B512F5">
        <w:t>AMC Standard/</w:t>
      </w:r>
      <w:r>
        <w:t>Coumarin standard curves showing a range od 0-1 nmol/well.</w:t>
      </w:r>
    </w:p>
    <w:p w14:paraId="11BDECF3" w14:textId="77777777" w:rsidR="00802376" w:rsidRDefault="00802376" w:rsidP="00802376">
      <w:pPr>
        <w:pStyle w:val="1AbcamImageLegend"/>
      </w:pPr>
    </w:p>
    <w:p w14:paraId="3E37DD0D" w14:textId="77777777" w:rsidR="00802376" w:rsidRDefault="00802376" w:rsidP="00802376">
      <w:pPr>
        <w:pStyle w:val="1AbcamImageLegend"/>
      </w:pPr>
    </w:p>
    <w:p w14:paraId="00280D19" w14:textId="77777777" w:rsidR="00802376" w:rsidRDefault="00802376" w:rsidP="00802376">
      <w:pPr>
        <w:pStyle w:val="1AbcamImageLegend"/>
      </w:pPr>
    </w:p>
    <w:p w14:paraId="1B8B359A" w14:textId="77777777" w:rsidR="00802376" w:rsidRDefault="00802376" w:rsidP="00802376">
      <w:pPr>
        <w:pStyle w:val="1AbcamImageLegend"/>
      </w:pPr>
    </w:p>
    <w:p w14:paraId="46940D4B" w14:textId="77777777" w:rsidR="00802376" w:rsidRDefault="00802376" w:rsidP="00802376">
      <w:pPr>
        <w:pStyle w:val="1AbcamImageLegend"/>
      </w:pPr>
    </w:p>
    <w:p w14:paraId="38CECEE3" w14:textId="77777777" w:rsidR="000A5418" w:rsidRDefault="000A5418" w:rsidP="00802376">
      <w:pPr>
        <w:pStyle w:val="1AbcamImageLegend"/>
      </w:pPr>
    </w:p>
    <w:p w14:paraId="70E3AFBB" w14:textId="77777777" w:rsidR="00802376" w:rsidRDefault="000A5418" w:rsidP="000A5418">
      <w:pPr>
        <w:pStyle w:val="1AbcamImageLegend"/>
        <w:jc w:val="center"/>
      </w:pPr>
      <w:r>
        <w:drawing>
          <wp:inline distT="0" distB="0" distL="0" distR="0" wp14:anchorId="0FCB6B64" wp14:editId="09E38C2F">
            <wp:extent cx="3600000" cy="1873166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352-e.jpg"/>
                    <pic:cNvPicPr/>
                  </pic:nvPicPr>
                  <pic:blipFill rotWithShape="1">
                    <a:blip r:embed="rId19"/>
                    <a:srcRect t="12895" b="28159"/>
                    <a:stretch/>
                  </pic:blipFill>
                  <pic:spPr bwMode="auto">
                    <a:xfrm>
                      <a:off x="0" y="0"/>
                      <a:ext cx="3600000" cy="1873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98DE5" w14:textId="77777777" w:rsidR="00802376" w:rsidRDefault="00802376" w:rsidP="00802376">
      <w:pPr>
        <w:pStyle w:val="1AbcamImageLegend"/>
      </w:pPr>
    </w:p>
    <w:p w14:paraId="5A2578DC" w14:textId="7592F7BD" w:rsidR="000A5418" w:rsidRDefault="000A5418" w:rsidP="000A5418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4</w:t>
      </w:r>
      <w:r w:rsidRPr="008A2F6E">
        <w:t xml:space="preserve">. </w:t>
      </w:r>
      <w:r>
        <w:t xml:space="preserve">Chymotrypsin activity with and without inhibitor in rat pancreas and rat spleen. The presence of non-specific chymotrypsin-like proteases in spleen leads to some activity in presence of the selective chymotrypsin inhibitor. </w:t>
      </w:r>
    </w:p>
    <w:p w14:paraId="6A9A74A0" w14:textId="77777777" w:rsidR="000A5418" w:rsidRDefault="000A5418" w:rsidP="000A5418">
      <w:pPr>
        <w:pStyle w:val="1AbcamImageLegend"/>
      </w:pPr>
    </w:p>
    <w:p w14:paraId="4278FCC2" w14:textId="77777777" w:rsidR="000A5418" w:rsidRDefault="000A5418" w:rsidP="000A5418">
      <w:pPr>
        <w:pStyle w:val="1AbcamImageLegend"/>
      </w:pPr>
    </w:p>
    <w:p w14:paraId="36858820" w14:textId="77777777" w:rsidR="000A5418" w:rsidRDefault="000A5418" w:rsidP="000A5418">
      <w:pPr>
        <w:pStyle w:val="1AbcamImageLegend"/>
      </w:pPr>
    </w:p>
    <w:p w14:paraId="3BC411CF" w14:textId="77777777" w:rsidR="00802376" w:rsidRDefault="000A5418" w:rsidP="000A5418">
      <w:pPr>
        <w:pStyle w:val="1AbcamImageLegend"/>
        <w:jc w:val="center"/>
      </w:pPr>
      <w:r>
        <w:drawing>
          <wp:inline distT="0" distB="0" distL="0" distR="0" wp14:anchorId="7985AB08" wp14:editId="17FF4872">
            <wp:extent cx="3600000" cy="1860156"/>
            <wp:effectExtent l="0" t="0" r="63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352-f.jpg"/>
                    <pic:cNvPicPr/>
                  </pic:nvPicPr>
                  <pic:blipFill rotWithShape="1">
                    <a:blip r:embed="rId20"/>
                    <a:srcRect t="17362" b="24899"/>
                    <a:stretch/>
                  </pic:blipFill>
                  <pic:spPr bwMode="auto">
                    <a:xfrm>
                      <a:off x="0" y="0"/>
                      <a:ext cx="3600000" cy="1860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C1866" w14:textId="77777777" w:rsidR="00802376" w:rsidRDefault="00802376" w:rsidP="00802376">
      <w:pPr>
        <w:pStyle w:val="1AbcamImageLegend"/>
      </w:pPr>
    </w:p>
    <w:p w14:paraId="5B70F7F7" w14:textId="77777777" w:rsidR="00802376" w:rsidRDefault="000A5418" w:rsidP="00802376">
      <w:pPr>
        <w:pStyle w:val="1AbcamImageLegend"/>
      </w:pPr>
      <w:r>
        <w:rPr>
          <w:b/>
        </w:rPr>
        <w:t>Figure 5</w:t>
      </w:r>
      <w:r w:rsidRPr="008A2F6E">
        <w:t xml:space="preserve">. </w:t>
      </w:r>
      <w:r>
        <w:t>Reaction kinetics using substrate in the presence of Chymotrypsin or Trypsin. The substrate is cleaved by chymotrypsin but not trypsin, making the assay free from trypsin interference.</w:t>
      </w:r>
    </w:p>
    <w:p w14:paraId="17E5A2C3" w14:textId="77777777" w:rsidR="00802376" w:rsidRDefault="00802376" w:rsidP="00802376">
      <w:pPr>
        <w:pStyle w:val="1AbcamImageLegend"/>
      </w:pPr>
    </w:p>
    <w:p w14:paraId="5FA1D91F" w14:textId="77777777" w:rsidR="00FE4E16" w:rsidRDefault="00FE4E16" w:rsidP="001E2DD7">
      <w:pPr>
        <w:pStyle w:val="1Abcamheading"/>
      </w:pPr>
      <w:bookmarkStart w:id="23" w:name="_Toc475603240"/>
      <w:bookmarkStart w:id="24" w:name="_Toc512343305"/>
      <w:r w:rsidRPr="002A066A">
        <w:lastRenderedPageBreak/>
        <w:t>Notes</w:t>
      </w:r>
      <w:bookmarkEnd w:id="23"/>
      <w:bookmarkEnd w:id="24"/>
    </w:p>
    <w:p w14:paraId="5F1362A3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05BBE208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13DB0614" w14:textId="77777777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365B249F" w14:textId="77777777" w:rsidR="000A5418" w:rsidRPr="002A066A" w:rsidRDefault="000A5418" w:rsidP="008A2F6E">
      <w:pPr>
        <w:pStyle w:val="1AbcamStandardtext"/>
        <w:rPr>
          <w:lang w:val="en-AU"/>
        </w:rPr>
        <w:sectPr w:rsidR="000A5418" w:rsidRPr="002A066A" w:rsidSect="007F1A39">
          <w:footerReference w:type="default" r:id="rId21"/>
          <w:footerReference w:type="first" r:id="rId2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1B9E7EEC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2150976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03C178C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D1365BD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7BB79E9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5E48707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F3FDB77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5B08DD5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248BC46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3CD1240" w14:textId="090DECF1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6478229" w14:textId="77777777" w:rsidR="00B71CDB" w:rsidRDefault="00B71CDB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B0D67B3" w14:textId="77777777" w:rsidR="00B512F5" w:rsidRDefault="00B512F5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198BD8E" w14:textId="4C503E4E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133939A6" w14:textId="77777777" w:rsidR="00B512F5" w:rsidRPr="00B512F5" w:rsidRDefault="00B512F5" w:rsidP="00B512F5">
      <w:pPr>
        <w:pStyle w:val="NormalWeb"/>
        <w:rPr>
          <w:rFonts w:ascii="Century Gothic" w:hAnsi="Century Gothic"/>
          <w:sz w:val="20"/>
          <w:szCs w:val="20"/>
        </w:rPr>
      </w:pPr>
      <w:r w:rsidRPr="00B512F5">
        <w:rPr>
          <w:rFonts w:ascii="Century Gothic" w:hAnsi="Century Gothic"/>
          <w:sz w:val="20"/>
          <w:szCs w:val="20"/>
        </w:rPr>
        <w:t>Copyright © 2023 Abcam. All Rights Reserved. The Abcam logo is a registered trademark. All information / detail is correct at time of going to print.</w:t>
      </w:r>
    </w:p>
    <w:p w14:paraId="15654975" w14:textId="77777777" w:rsidR="00B512F5" w:rsidRPr="00B512F5" w:rsidRDefault="00B512F5" w:rsidP="00B512F5">
      <w:pPr>
        <w:pStyle w:val="NormalWeb"/>
        <w:rPr>
          <w:rFonts w:ascii="Century Gothic" w:hAnsi="Century Gothic"/>
          <w:sz w:val="20"/>
          <w:szCs w:val="20"/>
        </w:rPr>
      </w:pPr>
      <w:r w:rsidRPr="00B512F5">
        <w:rPr>
          <w:rStyle w:val="Strong"/>
          <w:rFonts w:ascii="Century Gothic" w:hAnsi="Century Gothic"/>
          <w:sz w:val="20"/>
          <w:szCs w:val="20"/>
        </w:rPr>
        <w:t>For all technical or commercial enquiries please go to:</w:t>
      </w:r>
    </w:p>
    <w:p w14:paraId="69BFD129" w14:textId="77777777" w:rsidR="00B512F5" w:rsidRPr="00B512F5" w:rsidRDefault="00B71CDB" w:rsidP="00B512F5">
      <w:pPr>
        <w:pStyle w:val="NormalWeb"/>
        <w:rPr>
          <w:rFonts w:ascii="Century Gothic" w:hAnsi="Century Gothic"/>
          <w:sz w:val="20"/>
          <w:szCs w:val="20"/>
        </w:rPr>
      </w:pPr>
      <w:hyperlink r:id="rId23" w:tgtFrame="_blank" w:tooltip="http://www.abcam.com/contactus" w:history="1">
        <w:r w:rsidR="00B512F5" w:rsidRPr="00B512F5">
          <w:rPr>
            <w:rStyle w:val="Hyperlink"/>
            <w:rFonts w:ascii="Century Gothic" w:hAnsi="Century Gothic"/>
            <w:sz w:val="20"/>
            <w:szCs w:val="20"/>
          </w:rPr>
          <w:t>www.abcam.com/contactus</w:t>
        </w:r>
      </w:hyperlink>
    </w:p>
    <w:p w14:paraId="7EC812EB" w14:textId="77777777" w:rsidR="00B512F5" w:rsidRPr="00B512F5" w:rsidRDefault="00B71CDB" w:rsidP="00B512F5">
      <w:pPr>
        <w:pStyle w:val="NormalWeb"/>
        <w:rPr>
          <w:rFonts w:ascii="Century Gothic" w:hAnsi="Century Gothic"/>
          <w:sz w:val="20"/>
          <w:szCs w:val="20"/>
        </w:rPr>
      </w:pPr>
      <w:hyperlink r:id="rId24" w:tgtFrame="_blank" w:tooltip="http://www.abcam.cn/contactus" w:history="1">
        <w:r w:rsidR="00B512F5" w:rsidRPr="00B512F5">
          <w:rPr>
            <w:rStyle w:val="Hyperlink"/>
            <w:rFonts w:ascii="Century Gothic" w:hAnsi="Century Gothic"/>
            <w:sz w:val="20"/>
            <w:szCs w:val="20"/>
          </w:rPr>
          <w:t>www.abcam.cn/contactus</w:t>
        </w:r>
      </w:hyperlink>
      <w:r w:rsidR="00B512F5" w:rsidRPr="00B512F5">
        <w:rPr>
          <w:rFonts w:ascii="Century Gothic" w:hAnsi="Century Gothic"/>
          <w:sz w:val="20"/>
          <w:szCs w:val="20"/>
        </w:rPr>
        <w:t xml:space="preserve"> (China)</w:t>
      </w:r>
    </w:p>
    <w:p w14:paraId="2780BB99" w14:textId="02126218" w:rsidR="00043E6C" w:rsidRPr="00B512F5" w:rsidRDefault="00B71CDB" w:rsidP="00B512F5">
      <w:pPr>
        <w:pStyle w:val="NormalWeb"/>
        <w:rPr>
          <w:rFonts w:ascii="Century Gothic" w:hAnsi="Century Gothic"/>
          <w:sz w:val="20"/>
          <w:szCs w:val="20"/>
        </w:rPr>
      </w:pPr>
      <w:hyperlink r:id="rId25" w:tgtFrame="_blank" w:tooltip="http://www.abcam.co.jp/contactus" w:history="1">
        <w:r w:rsidR="00B512F5" w:rsidRPr="00B512F5">
          <w:rPr>
            <w:rStyle w:val="Hyperlink"/>
            <w:rFonts w:ascii="Century Gothic" w:hAnsi="Century Gothic"/>
            <w:sz w:val="20"/>
            <w:szCs w:val="20"/>
          </w:rPr>
          <w:t>www.abcam.co.jp/contactus</w:t>
        </w:r>
      </w:hyperlink>
      <w:r w:rsidR="00B512F5" w:rsidRPr="00B512F5">
        <w:rPr>
          <w:rFonts w:ascii="Century Gothic" w:hAnsi="Century Gothic"/>
          <w:sz w:val="20"/>
          <w:szCs w:val="20"/>
        </w:rPr>
        <w:t xml:space="preserve"> (Japan)</w:t>
      </w:r>
    </w:p>
    <w:sectPr w:rsidR="00043E6C" w:rsidRPr="00B512F5" w:rsidSect="007F1A39">
      <w:footerReference w:type="default" r:id="rId26"/>
      <w:footerReference w:type="first" r:id="rId27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B55F" w14:textId="77777777" w:rsidR="00F243C3" w:rsidRDefault="00F243C3" w:rsidP="00DC1372">
      <w:r>
        <w:separator/>
      </w:r>
    </w:p>
    <w:p w14:paraId="3ADCCDC3" w14:textId="77777777" w:rsidR="00F243C3" w:rsidRDefault="00F243C3"/>
    <w:p w14:paraId="43CE79EC" w14:textId="77777777" w:rsidR="00F243C3" w:rsidRDefault="00F243C3"/>
  </w:endnote>
  <w:endnote w:type="continuationSeparator" w:id="0">
    <w:p w14:paraId="15C1A668" w14:textId="77777777" w:rsidR="00F243C3" w:rsidRDefault="00F243C3" w:rsidP="00DC1372">
      <w:r>
        <w:continuationSeparator/>
      </w:r>
    </w:p>
    <w:p w14:paraId="4119A5F1" w14:textId="77777777" w:rsidR="00F243C3" w:rsidRDefault="00F243C3"/>
    <w:p w14:paraId="0FFFF74E" w14:textId="77777777" w:rsidR="00F243C3" w:rsidRDefault="00F24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652E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2F5156FA" w14:textId="77777777" w:rsidR="006B2A3A" w:rsidRDefault="006B2A3A" w:rsidP="00DC1372">
    <w:pPr>
      <w:pStyle w:val="Footer"/>
      <w:ind w:right="360"/>
    </w:pPr>
  </w:p>
  <w:p w14:paraId="5E827050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ED9" w14:textId="3EDD4AE6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B512F5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0D3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07F0" w14:textId="77777777" w:rsidR="006B2A3A" w:rsidRPr="003B15FA" w:rsidRDefault="00275CB8" w:rsidP="00275CB8">
    <w:pPr>
      <w:tabs>
        <w:tab w:val="center" w:pos="4320"/>
        <w:tab w:val="right" w:pos="8640"/>
      </w:tabs>
    </w:pPr>
    <w:r w:rsidRPr="00275CB8">
      <w:rPr>
        <w:sz w:val="16"/>
        <w:szCs w:val="16"/>
      </w:rPr>
      <w:t>ab234051</w:t>
    </w:r>
    <w:r>
      <w:rPr>
        <w:sz w:val="16"/>
        <w:szCs w:val="16"/>
      </w:rPr>
      <w:t xml:space="preserve"> </w:t>
    </w:r>
    <w:r w:rsidRPr="00275CB8">
      <w:rPr>
        <w:sz w:val="16"/>
        <w:szCs w:val="16"/>
      </w:rPr>
      <w:t>Chymotrypsin Assay Kit (Fluorometric)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F23A9C">
      <w:rPr>
        <w:noProof/>
        <w:sz w:val="16"/>
        <w:szCs w:val="16"/>
      </w:rPr>
      <w:t>4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28FF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EF7B" w14:textId="09DA06EB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B512F5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D77E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14B4" w14:textId="77777777" w:rsidR="00F243C3" w:rsidRDefault="00F243C3" w:rsidP="00DC1372">
      <w:r>
        <w:separator/>
      </w:r>
    </w:p>
    <w:p w14:paraId="767C1FC5" w14:textId="77777777" w:rsidR="00F243C3" w:rsidRDefault="00F243C3"/>
    <w:p w14:paraId="12DBB55E" w14:textId="77777777" w:rsidR="00F243C3" w:rsidRDefault="00F243C3"/>
  </w:footnote>
  <w:footnote w:type="continuationSeparator" w:id="0">
    <w:p w14:paraId="7A5C7EDD" w14:textId="77777777" w:rsidR="00F243C3" w:rsidRDefault="00F243C3" w:rsidP="00DC1372">
      <w:r>
        <w:continuationSeparator/>
      </w:r>
    </w:p>
    <w:p w14:paraId="497BEAEE" w14:textId="77777777" w:rsidR="00F243C3" w:rsidRDefault="00F243C3"/>
    <w:p w14:paraId="31F09609" w14:textId="77777777" w:rsidR="00F243C3" w:rsidRDefault="00F24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27A1" w14:textId="77777777" w:rsidR="006B2A3A" w:rsidRDefault="00B71CDB">
    <w:pPr>
      <w:pStyle w:val="Header"/>
    </w:pPr>
    <w:r>
      <w:rPr>
        <w:noProof/>
      </w:rPr>
      <w:pict w14:anchorId="54A99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5E793DE7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8BF7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0D257B1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909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55860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9A17D3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316BAD"/>
    <w:multiLevelType w:val="hybridMultilevel"/>
    <w:tmpl w:val="E8FE1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9CF5101"/>
    <w:multiLevelType w:val="hybridMultilevel"/>
    <w:tmpl w:val="23840554"/>
    <w:lvl w:ilvl="0" w:tplc="2EEA2E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524B5CF3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5BF22E85"/>
    <w:multiLevelType w:val="multilevel"/>
    <w:tmpl w:val="8160A714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237"/>
        </w:tabs>
        <w:ind w:left="6633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763B8A"/>
    <w:multiLevelType w:val="hybridMultilevel"/>
    <w:tmpl w:val="24226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9" w15:restartNumberingAfterBreak="0">
    <w:nsid w:val="70750A36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930766997">
    <w:abstractNumId w:val="1"/>
  </w:num>
  <w:num w:numId="2" w16cid:durableId="1723407345">
    <w:abstractNumId w:val="19"/>
  </w:num>
  <w:num w:numId="3" w16cid:durableId="394788954">
    <w:abstractNumId w:val="15"/>
  </w:num>
  <w:num w:numId="4" w16cid:durableId="1999765576">
    <w:abstractNumId w:val="2"/>
  </w:num>
  <w:num w:numId="5" w16cid:durableId="1921716419">
    <w:abstractNumId w:val="8"/>
  </w:num>
  <w:num w:numId="6" w16cid:durableId="560989468">
    <w:abstractNumId w:val="28"/>
  </w:num>
  <w:num w:numId="7" w16cid:durableId="486362127">
    <w:abstractNumId w:val="32"/>
  </w:num>
  <w:num w:numId="8" w16cid:durableId="1835796679">
    <w:abstractNumId w:val="23"/>
  </w:num>
  <w:num w:numId="9" w16cid:durableId="1135100884">
    <w:abstractNumId w:val="25"/>
  </w:num>
  <w:num w:numId="10" w16cid:durableId="1165167623">
    <w:abstractNumId w:val="17"/>
  </w:num>
  <w:num w:numId="11" w16cid:durableId="644090128">
    <w:abstractNumId w:val="21"/>
  </w:num>
  <w:num w:numId="12" w16cid:durableId="1160464714">
    <w:abstractNumId w:val="26"/>
  </w:num>
  <w:num w:numId="13" w16cid:durableId="1315642181">
    <w:abstractNumId w:val="6"/>
  </w:num>
  <w:num w:numId="14" w16cid:durableId="89472961">
    <w:abstractNumId w:val="5"/>
  </w:num>
  <w:num w:numId="15" w16cid:durableId="901408601">
    <w:abstractNumId w:val="31"/>
  </w:num>
  <w:num w:numId="16" w16cid:durableId="97988998">
    <w:abstractNumId w:val="3"/>
  </w:num>
  <w:num w:numId="17" w16cid:durableId="243758244">
    <w:abstractNumId w:val="0"/>
  </w:num>
  <w:num w:numId="18" w16cid:durableId="643702487">
    <w:abstractNumId w:val="11"/>
  </w:num>
  <w:num w:numId="19" w16cid:durableId="2117866840">
    <w:abstractNumId w:val="7"/>
  </w:num>
  <w:num w:numId="20" w16cid:durableId="1418870104">
    <w:abstractNumId w:val="20"/>
  </w:num>
  <w:num w:numId="21" w16cid:durableId="1513840465">
    <w:abstractNumId w:val="13"/>
  </w:num>
  <w:num w:numId="22" w16cid:durableId="771128433">
    <w:abstractNumId w:val="14"/>
  </w:num>
  <w:num w:numId="23" w16cid:durableId="484513497">
    <w:abstractNumId w:val="30"/>
  </w:num>
  <w:num w:numId="24" w16cid:durableId="1406686226">
    <w:abstractNumId w:val="9"/>
  </w:num>
  <w:num w:numId="25" w16cid:durableId="700207182">
    <w:abstractNumId w:val="26"/>
    <w:lvlOverride w:ilvl="0">
      <w:startOverride w:val="1"/>
    </w:lvlOverride>
  </w:num>
  <w:num w:numId="26" w16cid:durableId="570384788">
    <w:abstractNumId w:val="27"/>
  </w:num>
  <w:num w:numId="27" w16cid:durableId="599487446">
    <w:abstractNumId w:val="10"/>
  </w:num>
  <w:num w:numId="28" w16cid:durableId="1308315538">
    <w:abstractNumId w:val="18"/>
  </w:num>
  <w:num w:numId="29" w16cid:durableId="216355834">
    <w:abstractNumId w:val="22"/>
  </w:num>
  <w:num w:numId="30" w16cid:durableId="139425060">
    <w:abstractNumId w:val="16"/>
  </w:num>
  <w:num w:numId="31" w16cid:durableId="881984828">
    <w:abstractNumId w:val="4"/>
  </w:num>
  <w:num w:numId="32" w16cid:durableId="568929340">
    <w:abstractNumId w:val="24"/>
  </w:num>
  <w:num w:numId="33" w16cid:durableId="1144545678">
    <w:abstractNumId w:val="29"/>
  </w:num>
  <w:num w:numId="34" w16cid:durableId="209709046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217C"/>
    <w:rsid w:val="00003378"/>
    <w:rsid w:val="00006F36"/>
    <w:rsid w:val="00007205"/>
    <w:rsid w:val="00013984"/>
    <w:rsid w:val="00013D0A"/>
    <w:rsid w:val="00014148"/>
    <w:rsid w:val="0003337F"/>
    <w:rsid w:val="00043E6C"/>
    <w:rsid w:val="000519C2"/>
    <w:rsid w:val="00052D70"/>
    <w:rsid w:val="00052E61"/>
    <w:rsid w:val="00063503"/>
    <w:rsid w:val="000740F7"/>
    <w:rsid w:val="00075C4E"/>
    <w:rsid w:val="000A2DCC"/>
    <w:rsid w:val="000A4144"/>
    <w:rsid w:val="000A4D3D"/>
    <w:rsid w:val="000A5418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972"/>
    <w:rsid w:val="001110FC"/>
    <w:rsid w:val="00116EC6"/>
    <w:rsid w:val="00124542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932A5"/>
    <w:rsid w:val="001A4A94"/>
    <w:rsid w:val="001B583F"/>
    <w:rsid w:val="001C6CF5"/>
    <w:rsid w:val="001C766D"/>
    <w:rsid w:val="001C766F"/>
    <w:rsid w:val="001E09D0"/>
    <w:rsid w:val="001E2DD7"/>
    <w:rsid w:val="001E6D23"/>
    <w:rsid w:val="001F3104"/>
    <w:rsid w:val="001F46D1"/>
    <w:rsid w:val="001F5484"/>
    <w:rsid w:val="001F6190"/>
    <w:rsid w:val="0021509B"/>
    <w:rsid w:val="00220404"/>
    <w:rsid w:val="00222423"/>
    <w:rsid w:val="00227F9F"/>
    <w:rsid w:val="00231117"/>
    <w:rsid w:val="00244627"/>
    <w:rsid w:val="00255E25"/>
    <w:rsid w:val="002603D1"/>
    <w:rsid w:val="00260B00"/>
    <w:rsid w:val="00262F3B"/>
    <w:rsid w:val="00264DBC"/>
    <w:rsid w:val="002743BD"/>
    <w:rsid w:val="00275CB8"/>
    <w:rsid w:val="00277074"/>
    <w:rsid w:val="002830C3"/>
    <w:rsid w:val="00284B94"/>
    <w:rsid w:val="002A066A"/>
    <w:rsid w:val="002A49FA"/>
    <w:rsid w:val="002A6C5E"/>
    <w:rsid w:val="002B0C23"/>
    <w:rsid w:val="002B6E12"/>
    <w:rsid w:val="002C08B2"/>
    <w:rsid w:val="002C0A8F"/>
    <w:rsid w:val="002D18B4"/>
    <w:rsid w:val="002D28E9"/>
    <w:rsid w:val="002E166A"/>
    <w:rsid w:val="002E19B0"/>
    <w:rsid w:val="002F0A89"/>
    <w:rsid w:val="00302BD8"/>
    <w:rsid w:val="0030365A"/>
    <w:rsid w:val="00307C98"/>
    <w:rsid w:val="00326E64"/>
    <w:rsid w:val="0032714C"/>
    <w:rsid w:val="00331AEA"/>
    <w:rsid w:val="003357EB"/>
    <w:rsid w:val="0033728C"/>
    <w:rsid w:val="003475EB"/>
    <w:rsid w:val="00354811"/>
    <w:rsid w:val="003646B8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C75A3"/>
    <w:rsid w:val="003D600C"/>
    <w:rsid w:val="003D7FB7"/>
    <w:rsid w:val="003E1BB6"/>
    <w:rsid w:val="003E2AFE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71BB0"/>
    <w:rsid w:val="00475B4B"/>
    <w:rsid w:val="00491AA0"/>
    <w:rsid w:val="004A09CA"/>
    <w:rsid w:val="004A73BA"/>
    <w:rsid w:val="004B3BE8"/>
    <w:rsid w:val="004B7B21"/>
    <w:rsid w:val="004C405C"/>
    <w:rsid w:val="004D79B3"/>
    <w:rsid w:val="004F2E85"/>
    <w:rsid w:val="004F5B1C"/>
    <w:rsid w:val="005033B1"/>
    <w:rsid w:val="00504A2A"/>
    <w:rsid w:val="00504A8E"/>
    <w:rsid w:val="005137BA"/>
    <w:rsid w:val="0051552B"/>
    <w:rsid w:val="00550065"/>
    <w:rsid w:val="00550EE8"/>
    <w:rsid w:val="00563AB5"/>
    <w:rsid w:val="00571292"/>
    <w:rsid w:val="00592267"/>
    <w:rsid w:val="00595684"/>
    <w:rsid w:val="005B2FE0"/>
    <w:rsid w:val="005B4251"/>
    <w:rsid w:val="005D086D"/>
    <w:rsid w:val="005D21FD"/>
    <w:rsid w:val="005D4A4E"/>
    <w:rsid w:val="005D5667"/>
    <w:rsid w:val="005E07C9"/>
    <w:rsid w:val="005E3152"/>
    <w:rsid w:val="005F4732"/>
    <w:rsid w:val="005F49BE"/>
    <w:rsid w:val="006119B8"/>
    <w:rsid w:val="00626D85"/>
    <w:rsid w:val="006279E3"/>
    <w:rsid w:val="00633C55"/>
    <w:rsid w:val="00633CE7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D4E00"/>
    <w:rsid w:val="006E40FB"/>
    <w:rsid w:val="00700BAF"/>
    <w:rsid w:val="0071197C"/>
    <w:rsid w:val="00716A87"/>
    <w:rsid w:val="0073217A"/>
    <w:rsid w:val="00737A70"/>
    <w:rsid w:val="00746382"/>
    <w:rsid w:val="007539DD"/>
    <w:rsid w:val="00755831"/>
    <w:rsid w:val="00761710"/>
    <w:rsid w:val="007619E2"/>
    <w:rsid w:val="00762A9D"/>
    <w:rsid w:val="00775A68"/>
    <w:rsid w:val="00783AE3"/>
    <w:rsid w:val="0079206C"/>
    <w:rsid w:val="007A60F2"/>
    <w:rsid w:val="007B1E09"/>
    <w:rsid w:val="007C6B23"/>
    <w:rsid w:val="007D5672"/>
    <w:rsid w:val="007E5C0E"/>
    <w:rsid w:val="007F072E"/>
    <w:rsid w:val="007F1A39"/>
    <w:rsid w:val="007F21D7"/>
    <w:rsid w:val="007F5EBC"/>
    <w:rsid w:val="00800999"/>
    <w:rsid w:val="00802376"/>
    <w:rsid w:val="00804703"/>
    <w:rsid w:val="00811678"/>
    <w:rsid w:val="00820BCD"/>
    <w:rsid w:val="00826A4D"/>
    <w:rsid w:val="00833EC4"/>
    <w:rsid w:val="008477C5"/>
    <w:rsid w:val="00855612"/>
    <w:rsid w:val="0085567B"/>
    <w:rsid w:val="008727A9"/>
    <w:rsid w:val="00873D8C"/>
    <w:rsid w:val="0088153B"/>
    <w:rsid w:val="008A2F6E"/>
    <w:rsid w:val="008A4473"/>
    <w:rsid w:val="008B2920"/>
    <w:rsid w:val="008B4D57"/>
    <w:rsid w:val="008C0DA4"/>
    <w:rsid w:val="008C5D5E"/>
    <w:rsid w:val="008D155B"/>
    <w:rsid w:val="008D3BB0"/>
    <w:rsid w:val="008D790D"/>
    <w:rsid w:val="008E0945"/>
    <w:rsid w:val="008F7B66"/>
    <w:rsid w:val="008F7B8F"/>
    <w:rsid w:val="0090073C"/>
    <w:rsid w:val="00901E8F"/>
    <w:rsid w:val="00904876"/>
    <w:rsid w:val="00920CA4"/>
    <w:rsid w:val="00945663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93C34"/>
    <w:rsid w:val="009B472D"/>
    <w:rsid w:val="009B5200"/>
    <w:rsid w:val="009D40A6"/>
    <w:rsid w:val="009E0B3D"/>
    <w:rsid w:val="00A13E14"/>
    <w:rsid w:val="00A20163"/>
    <w:rsid w:val="00A217EC"/>
    <w:rsid w:val="00A26008"/>
    <w:rsid w:val="00A31460"/>
    <w:rsid w:val="00A40EA9"/>
    <w:rsid w:val="00A4487B"/>
    <w:rsid w:val="00A61EE0"/>
    <w:rsid w:val="00A75412"/>
    <w:rsid w:val="00A80899"/>
    <w:rsid w:val="00A81E25"/>
    <w:rsid w:val="00A835F2"/>
    <w:rsid w:val="00A9248A"/>
    <w:rsid w:val="00A93842"/>
    <w:rsid w:val="00A95F84"/>
    <w:rsid w:val="00AA2058"/>
    <w:rsid w:val="00AA5BFB"/>
    <w:rsid w:val="00AB2B9A"/>
    <w:rsid w:val="00AC3F23"/>
    <w:rsid w:val="00AD2A65"/>
    <w:rsid w:val="00AD5456"/>
    <w:rsid w:val="00AE388C"/>
    <w:rsid w:val="00AE3B29"/>
    <w:rsid w:val="00AF423E"/>
    <w:rsid w:val="00B02B56"/>
    <w:rsid w:val="00B1325A"/>
    <w:rsid w:val="00B44F2B"/>
    <w:rsid w:val="00B47D3A"/>
    <w:rsid w:val="00B512F5"/>
    <w:rsid w:val="00B553F7"/>
    <w:rsid w:val="00B6093A"/>
    <w:rsid w:val="00B65B1D"/>
    <w:rsid w:val="00B71CDB"/>
    <w:rsid w:val="00B73032"/>
    <w:rsid w:val="00B74805"/>
    <w:rsid w:val="00B7758B"/>
    <w:rsid w:val="00B8255E"/>
    <w:rsid w:val="00B8423B"/>
    <w:rsid w:val="00B86BEB"/>
    <w:rsid w:val="00B86D77"/>
    <w:rsid w:val="00B9305B"/>
    <w:rsid w:val="00BA030F"/>
    <w:rsid w:val="00BA4F42"/>
    <w:rsid w:val="00BA77F0"/>
    <w:rsid w:val="00BB488D"/>
    <w:rsid w:val="00BB5447"/>
    <w:rsid w:val="00BD0364"/>
    <w:rsid w:val="00BD36DA"/>
    <w:rsid w:val="00BF4659"/>
    <w:rsid w:val="00BF5975"/>
    <w:rsid w:val="00BF65CB"/>
    <w:rsid w:val="00C01E6B"/>
    <w:rsid w:val="00C12998"/>
    <w:rsid w:val="00C12EBE"/>
    <w:rsid w:val="00C4325C"/>
    <w:rsid w:val="00C45291"/>
    <w:rsid w:val="00C52378"/>
    <w:rsid w:val="00C708D5"/>
    <w:rsid w:val="00C7670C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E7217"/>
    <w:rsid w:val="00CF6941"/>
    <w:rsid w:val="00D024CF"/>
    <w:rsid w:val="00D107F1"/>
    <w:rsid w:val="00D231CF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A2341"/>
    <w:rsid w:val="00DA316D"/>
    <w:rsid w:val="00DB39E6"/>
    <w:rsid w:val="00DC1372"/>
    <w:rsid w:val="00DC1BE4"/>
    <w:rsid w:val="00DD2A5B"/>
    <w:rsid w:val="00DF2200"/>
    <w:rsid w:val="00DF5155"/>
    <w:rsid w:val="00E01C91"/>
    <w:rsid w:val="00E043D5"/>
    <w:rsid w:val="00E1415E"/>
    <w:rsid w:val="00E212C7"/>
    <w:rsid w:val="00E23466"/>
    <w:rsid w:val="00E23F59"/>
    <w:rsid w:val="00E242E2"/>
    <w:rsid w:val="00E26CC5"/>
    <w:rsid w:val="00E304A3"/>
    <w:rsid w:val="00E328B4"/>
    <w:rsid w:val="00E351A1"/>
    <w:rsid w:val="00E44FA4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A6A42"/>
    <w:rsid w:val="00EB29BD"/>
    <w:rsid w:val="00EB4181"/>
    <w:rsid w:val="00EB6596"/>
    <w:rsid w:val="00EC5878"/>
    <w:rsid w:val="00ED21B9"/>
    <w:rsid w:val="00EE3AF6"/>
    <w:rsid w:val="00EE3D9C"/>
    <w:rsid w:val="00EE7AF5"/>
    <w:rsid w:val="00F107B1"/>
    <w:rsid w:val="00F1129A"/>
    <w:rsid w:val="00F132CD"/>
    <w:rsid w:val="00F2362D"/>
    <w:rsid w:val="00F23A9C"/>
    <w:rsid w:val="00F23F25"/>
    <w:rsid w:val="00F243C3"/>
    <w:rsid w:val="00F37A7E"/>
    <w:rsid w:val="00F45E53"/>
    <w:rsid w:val="00F47BCF"/>
    <w:rsid w:val="00F52D8E"/>
    <w:rsid w:val="00F54055"/>
    <w:rsid w:val="00F57CCB"/>
    <w:rsid w:val="00F6044E"/>
    <w:rsid w:val="00F66B2E"/>
    <w:rsid w:val="00F8500B"/>
    <w:rsid w:val="00F86696"/>
    <w:rsid w:val="00F963B9"/>
    <w:rsid w:val="00FA0E17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18846F8F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B512F5"/>
  </w:style>
  <w:style w:type="paragraph" w:styleId="NormalWeb">
    <w:name w:val="Normal (Web)"/>
    <w:basedOn w:val="Normal"/>
    <w:uiPriority w:val="99"/>
    <w:unhideWhenUsed/>
    <w:rsid w:val="00B512F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image" Target="media/image5.jp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g"/><Relationship Id="rId25" Type="http://schemas.openxmlformats.org/officeDocument/2006/relationships/hyperlink" Target="http://www.abcam.co.jp/contactu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image" Target="media/image7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abcam.cn/contact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yperlink" Target="http://www.abcam.com/contactus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bcam.com/assaykitguidelines" TargetMode="Externa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602F-ECAE-4071-B9B8-8DA5CD46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3</cp:revision>
  <cp:lastPrinted>2018-04-13T15:00:00Z</cp:lastPrinted>
  <dcterms:created xsi:type="dcterms:W3CDTF">2023-05-12T12:57:00Z</dcterms:created>
  <dcterms:modified xsi:type="dcterms:W3CDTF">2023-06-06T11:15:00Z</dcterms:modified>
</cp:coreProperties>
</file>