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89F90" w14:textId="6F4F7C09" w:rsidR="00213F65" w:rsidRPr="006E17B3" w:rsidRDefault="00213F65" w:rsidP="00213F65">
      <w:pPr>
        <w:rPr>
          <w:lang w:val="en-GB"/>
        </w:rPr>
      </w:pPr>
      <w:r>
        <w:t xml:space="preserve">Version </w:t>
      </w:r>
      <w:r w:rsidR="005A4704">
        <w:t>2</w:t>
      </w:r>
      <w:r w:rsidR="00333326">
        <w:t>b</w:t>
      </w:r>
      <w:r w:rsidR="005A4704">
        <w:t>,</w:t>
      </w:r>
      <w:r>
        <w:t xml:space="preserve"> Last updated </w:t>
      </w:r>
      <w:r>
        <w:fldChar w:fldCharType="begin"/>
      </w:r>
      <w:r>
        <w:instrText xml:space="preserve"> DATE  \@ "d MMMM yyyy"  \* MERGEFORMAT </w:instrText>
      </w:r>
      <w:r>
        <w:fldChar w:fldCharType="separate"/>
      </w:r>
      <w:r w:rsidR="00333326">
        <w:rPr>
          <w:noProof/>
        </w:rPr>
        <w:t>29 December 2023</w:t>
      </w:r>
      <w:r>
        <w:fldChar w:fldCharType="end"/>
      </w:r>
    </w:p>
    <w:p w14:paraId="144E0FBD" w14:textId="77777777" w:rsidR="00213F65" w:rsidRDefault="00213F65" w:rsidP="00213F65">
      <w:pPr>
        <w:rPr>
          <w:rFonts w:cs="Arial"/>
          <w:lang w:val="en-GB"/>
        </w:rPr>
      </w:pPr>
    </w:p>
    <w:p w14:paraId="11BE7086" w14:textId="77777777" w:rsidR="00213F65" w:rsidRDefault="00213F65" w:rsidP="00213F65">
      <w:pPr>
        <w:rPr>
          <w:rFonts w:cs="Arial"/>
          <w:lang w:val="en-GB"/>
        </w:rPr>
      </w:pPr>
    </w:p>
    <w:p w14:paraId="51EF7442" w14:textId="77777777" w:rsidR="00213F65" w:rsidRDefault="00213F65" w:rsidP="00213F65">
      <w:pPr>
        <w:rPr>
          <w:rFonts w:cs="Arial"/>
          <w:lang w:val="en-GB"/>
        </w:rPr>
      </w:pPr>
    </w:p>
    <w:p w14:paraId="6A4BEEED" w14:textId="77777777" w:rsidR="00213F65" w:rsidRDefault="00213F65" w:rsidP="00213F65">
      <w:pPr>
        <w:rPr>
          <w:rFonts w:cs="Arial"/>
          <w:lang w:val="en-GB"/>
        </w:rPr>
      </w:pPr>
    </w:p>
    <w:p w14:paraId="7E19E9F6" w14:textId="77777777" w:rsidR="00213F65" w:rsidRDefault="00213F65" w:rsidP="00213F65">
      <w:pPr>
        <w:rPr>
          <w:rFonts w:cs="Arial"/>
          <w:lang w:val="en-GB"/>
        </w:rPr>
      </w:pPr>
    </w:p>
    <w:tbl>
      <w:tblPr>
        <w:tblW w:w="0" w:type="auto"/>
        <w:tblLook w:val="00A0" w:firstRow="1" w:lastRow="0" w:firstColumn="1" w:lastColumn="0" w:noHBand="0" w:noVBand="0"/>
      </w:tblPr>
      <w:tblGrid>
        <w:gridCol w:w="5945"/>
      </w:tblGrid>
      <w:tr w:rsidR="00213F65" w:rsidRPr="000740F7" w14:paraId="32B5FAE7" w14:textId="77777777" w:rsidTr="00106773">
        <w:trPr>
          <w:trHeight w:hRule="exact" w:val="2172"/>
        </w:trPr>
        <w:tc>
          <w:tcPr>
            <w:tcW w:w="5945" w:type="dxa"/>
            <w:vAlign w:val="center"/>
          </w:tcPr>
          <w:p w14:paraId="433189D6" w14:textId="700D0E27" w:rsidR="00213F65" w:rsidRPr="00391F04" w:rsidRDefault="00A218C1" w:rsidP="00106773">
            <w:pPr>
              <w:pStyle w:val="Title"/>
              <w:rPr>
                <w:rFonts w:ascii="Century Gothic" w:hAnsi="Century Gothic"/>
                <w:b/>
              </w:rPr>
            </w:pPr>
            <w:r>
              <w:rPr>
                <w:rFonts w:ascii="Century Gothic" w:hAnsi="Century Gothic"/>
                <w:b/>
              </w:rPr>
              <w:t>ab234055</w:t>
            </w:r>
          </w:p>
          <w:p w14:paraId="5E81C02A" w14:textId="365C136C" w:rsidR="00213F65" w:rsidRPr="00391F04" w:rsidRDefault="00A218C1" w:rsidP="00106773">
            <w:pPr>
              <w:pStyle w:val="Title"/>
              <w:rPr>
                <w:rFonts w:ascii="Century Gothic" w:hAnsi="Century Gothic"/>
                <w:b/>
                <w:highlight w:val="yellow"/>
              </w:rPr>
            </w:pPr>
            <w:r w:rsidRPr="00A218C1">
              <w:rPr>
                <w:rFonts w:ascii="Century Gothic" w:hAnsi="Century Gothic"/>
                <w:b/>
              </w:rPr>
              <w:t>ATPase Assay Kit (Colorimetric)</w:t>
            </w:r>
          </w:p>
        </w:tc>
      </w:tr>
    </w:tbl>
    <w:p w14:paraId="0A673C20" w14:textId="77777777" w:rsidR="00213F65" w:rsidRDefault="00213F65" w:rsidP="00213F65">
      <w:pPr>
        <w:rPr>
          <w:highlight w:val="yellow"/>
        </w:rPr>
      </w:pPr>
      <w:r>
        <w:br/>
      </w:r>
    </w:p>
    <w:p w14:paraId="357A40B0" w14:textId="77777777" w:rsidR="00213F65" w:rsidRDefault="00213F65" w:rsidP="00213F65">
      <w:pPr>
        <w:rPr>
          <w:highlight w:val="yellow"/>
        </w:rPr>
      </w:pPr>
    </w:p>
    <w:p w14:paraId="2E106818" w14:textId="77777777" w:rsidR="00213F65" w:rsidRDefault="00213F65" w:rsidP="00213F65">
      <w:pPr>
        <w:pStyle w:val="1AbcamStandardtext"/>
      </w:pPr>
    </w:p>
    <w:p w14:paraId="4676377C" w14:textId="21D7CC19" w:rsidR="00213F65" w:rsidRDefault="00213F65" w:rsidP="00213F65">
      <w:pPr>
        <w:pStyle w:val="1AbcamStandardtext"/>
      </w:pPr>
      <w:r w:rsidRPr="001B583F">
        <w:t xml:space="preserve">For </w:t>
      </w:r>
      <w:r>
        <w:t xml:space="preserve">the </w:t>
      </w:r>
      <w:r w:rsidR="004A5286">
        <w:t>m</w:t>
      </w:r>
      <w:r w:rsidR="004A5286" w:rsidRPr="004A5286">
        <w:t>easurement of ATPase activity in various tissues/cells</w:t>
      </w:r>
      <w:r w:rsidR="00434D22" w:rsidRPr="00434D22">
        <w:t>.</w:t>
      </w:r>
    </w:p>
    <w:p w14:paraId="04E04015" w14:textId="77777777" w:rsidR="00213F65" w:rsidRPr="001B583F" w:rsidRDefault="00213F65" w:rsidP="00213F65">
      <w:pPr>
        <w:pStyle w:val="1AbcamStandardtext"/>
      </w:pPr>
    </w:p>
    <w:p w14:paraId="2A072851" w14:textId="77777777" w:rsidR="00213F65" w:rsidRPr="001B583F" w:rsidRDefault="00213F65" w:rsidP="00213F65">
      <w:pPr>
        <w:pStyle w:val="1AbcamStandardtext"/>
      </w:pPr>
      <w:r w:rsidRPr="001B583F">
        <w:t>This product is for research use only and is not intended for diagnostic use.</w:t>
      </w:r>
    </w:p>
    <w:p w14:paraId="09F95E5A" w14:textId="77777777" w:rsidR="005A4704" w:rsidRDefault="005A4704" w:rsidP="00213F65">
      <w:pPr>
        <w:spacing w:before="0" w:after="0"/>
      </w:pPr>
    </w:p>
    <w:p w14:paraId="6FA2783A" w14:textId="2BBF6AFB" w:rsidR="00213F65" w:rsidRPr="001B583F" w:rsidRDefault="005A4704" w:rsidP="00213F65">
      <w:pPr>
        <w:spacing w:before="0" w:after="0"/>
      </w:pPr>
      <w:r w:rsidRPr="005A4704">
        <w:t xml:space="preserve">PLEASE NOTE: With the acquisition of </w:t>
      </w:r>
      <w:proofErr w:type="spellStart"/>
      <w:r w:rsidRPr="005A4704">
        <w:t>BioVision</w:t>
      </w:r>
      <w:proofErr w:type="spellEnd"/>
      <w:r w:rsidRPr="005A4704">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00213F65">
        <w:br w:type="page"/>
      </w:r>
    </w:p>
    <w:p w14:paraId="693A6604"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bookmarkStart w:id="1" w:name="_Toc446403811"/>
    <w:bookmarkStart w:id="2" w:name="_Toc315440410"/>
    <w:p w14:paraId="40350CB8" w14:textId="7935B913" w:rsidR="00AF532C"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AF532C">
        <w:rPr>
          <w:noProof/>
        </w:rPr>
        <w:t>1.</w:t>
      </w:r>
      <w:r w:rsidR="00AF532C">
        <w:rPr>
          <w:rFonts w:asciiTheme="minorHAnsi" w:eastAsiaTheme="minorEastAsia" w:hAnsiTheme="minorHAnsi" w:cstheme="minorBidi"/>
          <w:noProof/>
          <w:sz w:val="22"/>
          <w:szCs w:val="22"/>
          <w:lang w:val="en-GB" w:eastAsia="en-GB"/>
        </w:rPr>
        <w:tab/>
      </w:r>
      <w:r w:rsidR="00AF532C">
        <w:rPr>
          <w:noProof/>
        </w:rPr>
        <w:t>Overview</w:t>
      </w:r>
      <w:r w:rsidR="00AF532C">
        <w:rPr>
          <w:noProof/>
        </w:rPr>
        <w:tab/>
      </w:r>
      <w:r w:rsidR="00AF532C">
        <w:rPr>
          <w:noProof/>
        </w:rPr>
        <w:fldChar w:fldCharType="begin"/>
      </w:r>
      <w:r w:rsidR="00AF532C">
        <w:rPr>
          <w:noProof/>
        </w:rPr>
        <w:instrText xml:space="preserve"> PAGEREF _Toc511839356 \h </w:instrText>
      </w:r>
      <w:r w:rsidR="00AF532C">
        <w:rPr>
          <w:noProof/>
        </w:rPr>
      </w:r>
      <w:r w:rsidR="00AF532C">
        <w:rPr>
          <w:noProof/>
        </w:rPr>
        <w:fldChar w:fldCharType="separate"/>
      </w:r>
      <w:r w:rsidR="007351F4">
        <w:rPr>
          <w:noProof/>
        </w:rPr>
        <w:t>1</w:t>
      </w:r>
      <w:r w:rsidR="00AF532C">
        <w:rPr>
          <w:noProof/>
        </w:rPr>
        <w:fldChar w:fldCharType="end"/>
      </w:r>
    </w:p>
    <w:p w14:paraId="4E35C742" w14:textId="2627EF6B" w:rsidR="00AF532C" w:rsidRDefault="00AF532C">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Materials Supplied and Storage</w:t>
      </w:r>
      <w:r>
        <w:rPr>
          <w:noProof/>
        </w:rPr>
        <w:tab/>
      </w:r>
      <w:r>
        <w:rPr>
          <w:noProof/>
        </w:rPr>
        <w:fldChar w:fldCharType="begin"/>
      </w:r>
      <w:r>
        <w:rPr>
          <w:noProof/>
        </w:rPr>
        <w:instrText xml:space="preserve"> PAGEREF _Toc511839357 \h </w:instrText>
      </w:r>
      <w:r>
        <w:rPr>
          <w:noProof/>
        </w:rPr>
      </w:r>
      <w:r>
        <w:rPr>
          <w:noProof/>
        </w:rPr>
        <w:fldChar w:fldCharType="separate"/>
      </w:r>
      <w:r w:rsidR="007351F4">
        <w:rPr>
          <w:noProof/>
        </w:rPr>
        <w:t>2</w:t>
      </w:r>
      <w:r>
        <w:rPr>
          <w:noProof/>
        </w:rPr>
        <w:fldChar w:fldCharType="end"/>
      </w:r>
    </w:p>
    <w:p w14:paraId="002A15B5" w14:textId="7E760A81" w:rsidR="00AF532C" w:rsidRDefault="00AF532C">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_Toc511839358 \h </w:instrText>
      </w:r>
      <w:r>
        <w:rPr>
          <w:noProof/>
        </w:rPr>
      </w:r>
      <w:r>
        <w:rPr>
          <w:noProof/>
        </w:rPr>
        <w:fldChar w:fldCharType="separate"/>
      </w:r>
      <w:r w:rsidR="007351F4">
        <w:rPr>
          <w:noProof/>
        </w:rPr>
        <w:t>3</w:t>
      </w:r>
      <w:r>
        <w:rPr>
          <w:noProof/>
        </w:rPr>
        <w:fldChar w:fldCharType="end"/>
      </w:r>
    </w:p>
    <w:p w14:paraId="698F755A" w14:textId="26CA0C61" w:rsidR="00AF532C" w:rsidRDefault="00AF532C">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General guidelines, precautions, and troubleshooting</w:t>
      </w:r>
      <w:r>
        <w:rPr>
          <w:noProof/>
        </w:rPr>
        <w:tab/>
      </w:r>
      <w:r>
        <w:rPr>
          <w:noProof/>
        </w:rPr>
        <w:fldChar w:fldCharType="begin"/>
      </w:r>
      <w:r>
        <w:rPr>
          <w:noProof/>
        </w:rPr>
        <w:instrText xml:space="preserve"> PAGEREF _Toc511839359 \h </w:instrText>
      </w:r>
      <w:r>
        <w:rPr>
          <w:noProof/>
        </w:rPr>
      </w:r>
      <w:r>
        <w:rPr>
          <w:noProof/>
        </w:rPr>
        <w:fldChar w:fldCharType="separate"/>
      </w:r>
      <w:r w:rsidR="007351F4">
        <w:rPr>
          <w:noProof/>
        </w:rPr>
        <w:t>4</w:t>
      </w:r>
      <w:r>
        <w:rPr>
          <w:noProof/>
        </w:rPr>
        <w:fldChar w:fldCharType="end"/>
      </w:r>
    </w:p>
    <w:p w14:paraId="3F95EB2B" w14:textId="13A80851" w:rsidR="00AF532C" w:rsidRDefault="00AF532C">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_Toc511839360 \h </w:instrText>
      </w:r>
      <w:r>
        <w:rPr>
          <w:noProof/>
        </w:rPr>
      </w:r>
      <w:r>
        <w:rPr>
          <w:noProof/>
        </w:rPr>
        <w:fldChar w:fldCharType="separate"/>
      </w:r>
      <w:r w:rsidR="007351F4">
        <w:rPr>
          <w:noProof/>
        </w:rPr>
        <w:t>5</w:t>
      </w:r>
      <w:r>
        <w:rPr>
          <w:noProof/>
        </w:rPr>
        <w:fldChar w:fldCharType="end"/>
      </w:r>
    </w:p>
    <w:p w14:paraId="756BA0F1" w14:textId="1AA6B4DF" w:rsidR="00AF532C" w:rsidRDefault="00AF532C">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_Toc511839361 \h </w:instrText>
      </w:r>
      <w:r>
        <w:rPr>
          <w:noProof/>
        </w:rPr>
      </w:r>
      <w:r>
        <w:rPr>
          <w:noProof/>
        </w:rPr>
        <w:fldChar w:fldCharType="separate"/>
      </w:r>
      <w:r w:rsidR="007351F4">
        <w:rPr>
          <w:noProof/>
        </w:rPr>
        <w:t>6</w:t>
      </w:r>
      <w:r>
        <w:rPr>
          <w:noProof/>
        </w:rPr>
        <w:fldChar w:fldCharType="end"/>
      </w:r>
    </w:p>
    <w:p w14:paraId="3D0A32F7" w14:textId="23C4B16A" w:rsidR="00AF532C" w:rsidRDefault="00AF532C">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_Toc511839362 \h </w:instrText>
      </w:r>
      <w:r>
        <w:rPr>
          <w:noProof/>
        </w:rPr>
      </w:r>
      <w:r>
        <w:rPr>
          <w:noProof/>
        </w:rPr>
        <w:fldChar w:fldCharType="separate"/>
      </w:r>
      <w:r w:rsidR="007351F4">
        <w:rPr>
          <w:noProof/>
        </w:rPr>
        <w:t>7</w:t>
      </w:r>
      <w:r>
        <w:rPr>
          <w:noProof/>
        </w:rPr>
        <w:fldChar w:fldCharType="end"/>
      </w:r>
    </w:p>
    <w:p w14:paraId="4B51F97C" w14:textId="10277431" w:rsidR="00AF532C" w:rsidRDefault="00AF532C">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_Toc511839363 \h </w:instrText>
      </w:r>
      <w:r>
        <w:rPr>
          <w:noProof/>
        </w:rPr>
      </w:r>
      <w:r>
        <w:rPr>
          <w:noProof/>
        </w:rPr>
        <w:fldChar w:fldCharType="separate"/>
      </w:r>
      <w:r w:rsidR="007351F4">
        <w:rPr>
          <w:noProof/>
        </w:rPr>
        <w:t>8</w:t>
      </w:r>
      <w:r>
        <w:rPr>
          <w:noProof/>
        </w:rPr>
        <w:fldChar w:fldCharType="end"/>
      </w:r>
    </w:p>
    <w:p w14:paraId="22DCD607" w14:textId="49B604E6" w:rsidR="00AF532C" w:rsidRDefault="00AF532C">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Data Analysis</w:t>
      </w:r>
      <w:r>
        <w:rPr>
          <w:noProof/>
        </w:rPr>
        <w:tab/>
      </w:r>
      <w:r>
        <w:rPr>
          <w:noProof/>
        </w:rPr>
        <w:fldChar w:fldCharType="begin"/>
      </w:r>
      <w:r>
        <w:rPr>
          <w:noProof/>
        </w:rPr>
        <w:instrText xml:space="preserve"> PAGEREF _Toc511839364 \h </w:instrText>
      </w:r>
      <w:r>
        <w:rPr>
          <w:noProof/>
        </w:rPr>
      </w:r>
      <w:r>
        <w:rPr>
          <w:noProof/>
        </w:rPr>
        <w:fldChar w:fldCharType="separate"/>
      </w:r>
      <w:r w:rsidR="007351F4">
        <w:rPr>
          <w:noProof/>
        </w:rPr>
        <w:t>9</w:t>
      </w:r>
      <w:r>
        <w:rPr>
          <w:noProof/>
        </w:rPr>
        <w:fldChar w:fldCharType="end"/>
      </w:r>
    </w:p>
    <w:p w14:paraId="0D0B8511" w14:textId="40C1C7BF" w:rsidR="00AF532C" w:rsidRDefault="00AF532C">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FAQs / Troubleshooting</w:t>
      </w:r>
      <w:r>
        <w:rPr>
          <w:noProof/>
        </w:rPr>
        <w:tab/>
      </w:r>
      <w:r>
        <w:rPr>
          <w:noProof/>
        </w:rPr>
        <w:fldChar w:fldCharType="begin"/>
      </w:r>
      <w:r>
        <w:rPr>
          <w:noProof/>
        </w:rPr>
        <w:instrText xml:space="preserve"> PAGEREF _Toc511839365 \h </w:instrText>
      </w:r>
      <w:r>
        <w:rPr>
          <w:noProof/>
        </w:rPr>
      </w:r>
      <w:r>
        <w:rPr>
          <w:noProof/>
        </w:rPr>
        <w:fldChar w:fldCharType="separate"/>
      </w:r>
      <w:r w:rsidR="007351F4">
        <w:rPr>
          <w:noProof/>
        </w:rPr>
        <w:t>10</w:t>
      </w:r>
      <w:r>
        <w:rPr>
          <w:noProof/>
        </w:rPr>
        <w:fldChar w:fldCharType="end"/>
      </w:r>
    </w:p>
    <w:p w14:paraId="0DFC8B56" w14:textId="0468BD03" w:rsidR="00AF532C" w:rsidRDefault="00AF532C">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_Toc511839366 \h </w:instrText>
      </w:r>
      <w:r>
        <w:rPr>
          <w:noProof/>
        </w:rPr>
      </w:r>
      <w:r>
        <w:rPr>
          <w:noProof/>
        </w:rPr>
        <w:fldChar w:fldCharType="separate"/>
      </w:r>
      <w:r w:rsidR="007351F4">
        <w:rPr>
          <w:noProof/>
        </w:rPr>
        <w:t>11</w:t>
      </w:r>
      <w:r>
        <w:rPr>
          <w:noProof/>
        </w:rPr>
        <w:fldChar w:fldCharType="end"/>
      </w:r>
    </w:p>
    <w:p w14:paraId="2C7A1186" w14:textId="2D16B916" w:rsidR="00AF532C" w:rsidRDefault="00AF532C">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_Toc511839367 \h </w:instrText>
      </w:r>
      <w:r>
        <w:rPr>
          <w:noProof/>
        </w:rPr>
      </w:r>
      <w:r>
        <w:rPr>
          <w:noProof/>
        </w:rPr>
        <w:fldChar w:fldCharType="separate"/>
      </w:r>
      <w:r w:rsidR="007351F4">
        <w:rPr>
          <w:noProof/>
        </w:rPr>
        <w:t>13</w:t>
      </w:r>
      <w:r>
        <w:rPr>
          <w:noProof/>
        </w:rPr>
        <w:fldChar w:fldCharType="end"/>
      </w:r>
    </w:p>
    <w:p w14:paraId="40C7AC2F" w14:textId="4AE4A259" w:rsidR="00213F65" w:rsidRDefault="001F3104" w:rsidP="00213F65">
      <w:pPr>
        <w:pStyle w:val="TOC1"/>
      </w:pPr>
      <w:r>
        <w:fldChar w:fldCharType="end"/>
      </w:r>
    </w:p>
    <w:p w14:paraId="126B0838" w14:textId="542933E6" w:rsidR="00E75A3C" w:rsidRPr="00E75A3C" w:rsidRDefault="00E75A3C" w:rsidP="00E75A3C">
      <w:pPr>
        <w:sectPr w:rsidR="00E75A3C" w:rsidRPr="00E75A3C" w:rsidSect="007F1A39">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t xml:space="preserve"> </w:t>
      </w:r>
    </w:p>
    <w:p w14:paraId="2F270870" w14:textId="0CA2FCD1" w:rsidR="000E4FA8" w:rsidRPr="002A066A" w:rsidRDefault="000E4FA8" w:rsidP="00380497">
      <w:pPr>
        <w:pStyle w:val="1Abcamheading"/>
      </w:pPr>
      <w:bookmarkStart w:id="3" w:name="_Toc511839356"/>
      <w:r w:rsidRPr="002A066A">
        <w:lastRenderedPageBreak/>
        <w:t>Overview</w:t>
      </w:r>
      <w:bookmarkEnd w:id="1"/>
      <w:bookmarkEnd w:id="3"/>
    </w:p>
    <w:p w14:paraId="645A0D52" w14:textId="0331B7D8" w:rsidR="00EE740B" w:rsidRDefault="00FE476C" w:rsidP="00EE740B">
      <w:pPr>
        <w:pStyle w:val="1AbcamStandardtext"/>
      </w:pPr>
      <w:r w:rsidRPr="00FE476C">
        <w:t>ATPase Assay Kit (Colorimetric)</w:t>
      </w:r>
      <w:r w:rsidR="00EE740B">
        <w:t xml:space="preserve"> (</w:t>
      </w:r>
      <w:r>
        <w:t>ab234055</w:t>
      </w:r>
      <w:r w:rsidR="00EE740B">
        <w:t xml:space="preserve">) </w:t>
      </w:r>
      <w:r w:rsidR="006675DB" w:rsidRPr="006675DB">
        <w:t>provides a quick and easy method for monitoring ATPase activity in various samples. In the assay, ATPase hydrolyzes ATP releasing ADP and a free phosphate ion, and through linked reactions, a strong, stable chromophore is generated (OD 650 nm). The a</w:t>
      </w:r>
      <w:r w:rsidR="00D44835">
        <w:t>ssay is simple, sensitive, high</w:t>
      </w:r>
      <w:r w:rsidR="006675DB" w:rsidRPr="006675DB">
        <w:t>-throughput adaptable and can detect ATPase Activity less than 0.005 U/L.</w:t>
      </w:r>
    </w:p>
    <w:p w14:paraId="6DBDDEB9" w14:textId="77777777" w:rsidR="00EE740B" w:rsidRDefault="00EE740B" w:rsidP="00EE740B">
      <w:pPr>
        <w:pStyle w:val="1AbcamStandardtext"/>
      </w:pPr>
    </w:p>
    <w:p w14:paraId="284A51C1" w14:textId="69AB6406" w:rsidR="002460FF" w:rsidRPr="00E50DB1" w:rsidRDefault="00CB1835" w:rsidP="002460FF">
      <w:pPr>
        <w:pStyle w:val="1AbcamStandardtext"/>
        <w:jc w:val="center"/>
      </w:pPr>
      <w:r w:rsidRPr="00E50DB1">
        <w:t xml:space="preserve">Prepare </w:t>
      </w:r>
      <w:r w:rsidR="00EA7A2A">
        <w:t xml:space="preserve">all </w:t>
      </w:r>
      <w:r w:rsidR="00A31492">
        <w:t xml:space="preserve">samples, </w:t>
      </w:r>
      <w:proofErr w:type="gramStart"/>
      <w:r w:rsidR="00A31492">
        <w:t>controls</w:t>
      </w:r>
      <w:proofErr w:type="gramEnd"/>
      <w:r w:rsidR="00A31492">
        <w:t xml:space="preserve"> and standards</w:t>
      </w:r>
      <w:r w:rsidRPr="00E50DB1">
        <w:t>.</w:t>
      </w:r>
    </w:p>
    <w:p w14:paraId="462F1CEC" w14:textId="77777777" w:rsidR="002460FF" w:rsidRPr="00E50DB1" w:rsidRDefault="002460FF" w:rsidP="002460FF">
      <w:pPr>
        <w:pStyle w:val="1AbcamStandardtext"/>
        <w:jc w:val="center"/>
      </w:pPr>
      <w:r w:rsidRPr="00E50DB1">
        <w:rPr>
          <w:noProof/>
          <w:lang w:val="en-GB" w:eastAsia="en-GB"/>
        </w:rPr>
        <mc:AlternateContent>
          <mc:Choice Requires="wps">
            <w:drawing>
              <wp:anchor distT="0" distB="0" distL="114300" distR="114300" simplePos="0" relativeHeight="251659264" behindDoc="0" locked="0" layoutInCell="1" allowOverlap="1" wp14:anchorId="058D31C1" wp14:editId="14BA65A0">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BB1B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18757256" w14:textId="77777777" w:rsidR="002460FF" w:rsidRPr="00E50DB1" w:rsidRDefault="002460FF" w:rsidP="002460FF">
      <w:pPr>
        <w:pStyle w:val="1AbcamStandardtext"/>
        <w:jc w:val="center"/>
      </w:pPr>
    </w:p>
    <w:p w14:paraId="6CB01698" w14:textId="0A4EA8C8" w:rsidR="002460FF" w:rsidRPr="00E50DB1" w:rsidRDefault="00673240" w:rsidP="002460FF">
      <w:pPr>
        <w:pStyle w:val="1AbcamStandardtext"/>
        <w:jc w:val="center"/>
      </w:pPr>
      <w:r w:rsidRPr="00673240">
        <w:t>Add Reaction</w:t>
      </w:r>
      <w:r>
        <w:t xml:space="preserve"> Mix to each well containing</w:t>
      </w:r>
      <w:r w:rsidRPr="00673240">
        <w:t xml:space="preserve"> Pos</w:t>
      </w:r>
      <w:r>
        <w:t xml:space="preserve">itive Control, Reagent </w:t>
      </w:r>
      <w:proofErr w:type="gramStart"/>
      <w:r>
        <w:t>Control</w:t>
      </w:r>
      <w:proofErr w:type="gramEnd"/>
      <w:r w:rsidRPr="00673240">
        <w:t xml:space="preserve"> and test samples</w:t>
      </w:r>
      <w:r>
        <w:t xml:space="preserve">. Incubate at 25°C for 30 min. </w:t>
      </w:r>
      <w:r w:rsidRPr="00673240">
        <w:t>Do not add Reaction Mix to the Standards.</w:t>
      </w:r>
    </w:p>
    <w:p w14:paraId="3A5FBEC1" w14:textId="77777777" w:rsidR="002460FF" w:rsidRDefault="002460FF" w:rsidP="002460FF">
      <w:pPr>
        <w:pStyle w:val="1AbcamStandardtext"/>
        <w:jc w:val="center"/>
      </w:pPr>
      <w:r w:rsidRPr="002A066A">
        <w:rPr>
          <w:noProof/>
          <w:lang w:val="en-GB" w:eastAsia="en-GB"/>
        </w:rPr>
        <mc:AlternateContent>
          <mc:Choice Requires="wps">
            <w:drawing>
              <wp:anchor distT="0" distB="0" distL="114300" distR="114300" simplePos="0" relativeHeight="251660288" behindDoc="0" locked="0" layoutInCell="1" allowOverlap="1" wp14:anchorId="4DD95A8E" wp14:editId="2673D29A">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5533A" id="AutoShape 9" o:spid="_x0000_s1026" type="#_x0000_t67" style="position:absolute;margin-left:158.7pt;margin-top:3.85pt;width:14.25pt;height:1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0625BD92" w14:textId="77777777" w:rsidR="002460FF" w:rsidRPr="002A066A" w:rsidRDefault="002460FF" w:rsidP="002460FF">
      <w:pPr>
        <w:pStyle w:val="1AbcamStandardtext"/>
        <w:jc w:val="center"/>
      </w:pPr>
    </w:p>
    <w:p w14:paraId="70E63A24" w14:textId="7C28A75E" w:rsidR="002460FF" w:rsidRPr="002A066A" w:rsidRDefault="003B67FB" w:rsidP="002460FF">
      <w:pPr>
        <w:pStyle w:val="1AbcamStandardtext"/>
        <w:jc w:val="center"/>
      </w:pPr>
      <w:r w:rsidRPr="003B67FB">
        <w:t>Add ATPase Assay Developer to all standards, ATPase Positive Control</w:t>
      </w:r>
      <w:r>
        <w:t>,</w:t>
      </w:r>
      <w:r w:rsidRPr="003B67FB">
        <w:t xml:space="preserve"> Test Samples and Sample Background Controls. Incubate at 25°C for 30 min</w:t>
      </w:r>
      <w:r w:rsidR="00F248A2">
        <w:t>utes</w:t>
      </w:r>
      <w:r w:rsidR="00DD50AC" w:rsidRPr="00DD50AC">
        <w:t>.</w:t>
      </w:r>
    </w:p>
    <w:p w14:paraId="4B516872" w14:textId="37E1E68C" w:rsidR="002460FF" w:rsidRDefault="009C6AB1" w:rsidP="002460FF">
      <w:pPr>
        <w:pStyle w:val="1AbcamStandardtext"/>
        <w:jc w:val="center"/>
        <w:rPr>
          <w:lang w:val="en-GB"/>
        </w:rPr>
      </w:pPr>
      <w:r>
        <w:rPr>
          <w:noProof/>
          <w:lang w:val="en-GB"/>
        </w:rPr>
        <w:drawing>
          <wp:inline distT="0" distB="0" distL="0" distR="0" wp14:anchorId="2B2C4815" wp14:editId="3D9C589F">
            <wp:extent cx="231775" cy="243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775" cy="243840"/>
                    </a:xfrm>
                    <a:prstGeom prst="rect">
                      <a:avLst/>
                    </a:prstGeom>
                    <a:noFill/>
                  </pic:spPr>
                </pic:pic>
              </a:graphicData>
            </a:graphic>
          </wp:inline>
        </w:drawing>
      </w:r>
    </w:p>
    <w:p w14:paraId="0D20B083" w14:textId="6D7AFC7A" w:rsidR="002460FF" w:rsidRPr="002A066A" w:rsidRDefault="002460FF" w:rsidP="002460FF">
      <w:pPr>
        <w:pStyle w:val="1AbcamStandardtext"/>
        <w:jc w:val="center"/>
        <w:rPr>
          <w:lang w:val="en-GB"/>
        </w:rPr>
      </w:pPr>
    </w:p>
    <w:p w14:paraId="3A2055ED" w14:textId="3284082B" w:rsidR="002460FF" w:rsidRDefault="003B67FB" w:rsidP="002460FF">
      <w:pPr>
        <w:pStyle w:val="1AbcamStandardtext"/>
        <w:jc w:val="center"/>
      </w:pPr>
      <w:r>
        <w:t>M</w:t>
      </w:r>
      <w:r w:rsidRPr="003B67FB">
        <w:t>easure OD at 650 nm in Endpoint mode</w:t>
      </w:r>
      <w:r>
        <w:t>.</w:t>
      </w:r>
    </w:p>
    <w:p w14:paraId="2986714D" w14:textId="4F87FC19" w:rsidR="00EE740B" w:rsidRDefault="00EE740B" w:rsidP="00EE740B">
      <w:pPr>
        <w:pStyle w:val="1AbcamStandardtext"/>
      </w:pPr>
    </w:p>
    <w:p w14:paraId="53545290" w14:textId="77777777" w:rsidR="00AD2A65" w:rsidRDefault="00AD2A65" w:rsidP="001B583F">
      <w:pPr>
        <w:pStyle w:val="1AbcamStandardtext"/>
        <w:rPr>
          <w:lang w:val="en-GB"/>
        </w:rPr>
      </w:pPr>
    </w:p>
    <w:p w14:paraId="64F04A35" w14:textId="77777777" w:rsidR="00AD2A65" w:rsidRDefault="00AD2A65" w:rsidP="001B583F">
      <w:pPr>
        <w:pStyle w:val="1AbcamStandardtext"/>
        <w:rPr>
          <w:lang w:val="en-GB"/>
        </w:rPr>
      </w:pPr>
    </w:p>
    <w:p w14:paraId="715BC2AB" w14:textId="77777777" w:rsidR="00EC5878" w:rsidRDefault="00EC5878">
      <w:pPr>
        <w:spacing w:before="0" w:after="0"/>
        <w:rPr>
          <w:lang w:val="en-GB"/>
        </w:rPr>
      </w:pPr>
      <w:r>
        <w:rPr>
          <w:lang w:val="en-GB"/>
        </w:rPr>
        <w:br w:type="page"/>
      </w:r>
    </w:p>
    <w:p w14:paraId="1948FF0C" w14:textId="77777777" w:rsidR="000E4FA8" w:rsidRDefault="000E4FA8" w:rsidP="001E2DD7">
      <w:pPr>
        <w:pStyle w:val="1Abcamheading"/>
      </w:pPr>
      <w:bookmarkStart w:id="4" w:name="_Toc446403816"/>
      <w:bookmarkStart w:id="5" w:name="_Toc511839357"/>
      <w:r w:rsidRPr="002A066A">
        <w:lastRenderedPageBreak/>
        <w:t xml:space="preserve">Materials </w:t>
      </w:r>
      <w:r w:rsidR="00174FD5" w:rsidRPr="002A066A">
        <w:t>S</w:t>
      </w:r>
      <w:r w:rsidRPr="002A066A">
        <w:t>upplied</w:t>
      </w:r>
      <w:bookmarkEnd w:id="4"/>
      <w:r w:rsidR="00DC1BE4">
        <w:t xml:space="preserve"> and S</w:t>
      </w:r>
      <w:r w:rsidR="00BA030F">
        <w:t>torage</w:t>
      </w:r>
      <w:bookmarkEnd w:id="5"/>
    </w:p>
    <w:p w14:paraId="01362158" w14:textId="34838331" w:rsidR="00EE740B" w:rsidRDefault="00EE740B" w:rsidP="00EE740B">
      <w:r>
        <w:t xml:space="preserve">Store kit </w:t>
      </w:r>
      <w:r w:rsidR="00864E92">
        <w:t xml:space="preserve">except for the </w:t>
      </w:r>
      <w:r w:rsidR="00864E92" w:rsidRPr="00864E92">
        <w:t xml:space="preserve">ATPase Developer </w:t>
      </w:r>
      <w:r>
        <w:t xml:space="preserve">at </w:t>
      </w:r>
      <w:r w:rsidR="002242A7">
        <w:t>-20</w:t>
      </w:r>
      <w:r>
        <w:t xml:space="preserve">°C </w:t>
      </w:r>
      <w:r w:rsidR="0041325B" w:rsidRPr="0041325B">
        <w:t xml:space="preserve">in the dark </w:t>
      </w:r>
      <w:r w:rsidRPr="0041325B">
        <w:t>immediately</w:t>
      </w:r>
      <w:r>
        <w:t xml:space="preserve"> on receipt and check below for storage for individual components. Kit can be stored for 1 year from </w:t>
      </w:r>
      <w:proofErr w:type="gramStart"/>
      <w:r>
        <w:t>receipt, if</w:t>
      </w:r>
      <w:proofErr w:type="gramEnd"/>
      <w:r>
        <w:t xml:space="preserve"> components have not been reconstituted. </w:t>
      </w:r>
    </w:p>
    <w:p w14:paraId="346DD4F4" w14:textId="77777777" w:rsidR="00651395" w:rsidRDefault="00651395" w:rsidP="00EE740B">
      <w:pPr>
        <w:rPr>
          <w:szCs w:val="20"/>
        </w:rPr>
      </w:pPr>
      <w:r>
        <w:rPr>
          <w:b/>
          <w:bCs/>
          <w:szCs w:val="20"/>
        </w:rPr>
        <w:t xml:space="preserve">The ATPase developer contains Malachite </w:t>
      </w:r>
      <w:proofErr w:type="gramStart"/>
      <w:r>
        <w:rPr>
          <w:b/>
          <w:bCs/>
          <w:szCs w:val="20"/>
        </w:rPr>
        <w:t>green</w:t>
      </w:r>
      <w:proofErr w:type="gramEnd"/>
      <w:r>
        <w:rPr>
          <w:b/>
          <w:bCs/>
          <w:szCs w:val="20"/>
        </w:rPr>
        <w:t xml:space="preserve"> so it is normal to occasionally see small amounts of green precipitate. This will not affect the performance of the assay. You can centrifuge and take the supernatant to avoid taking the precipitate</w:t>
      </w:r>
      <w:r>
        <w:rPr>
          <w:szCs w:val="20"/>
        </w:rPr>
        <w:t>.</w:t>
      </w:r>
    </w:p>
    <w:p w14:paraId="14A9EDC9" w14:textId="606F99D8" w:rsidR="00EE740B" w:rsidRDefault="00EE740B" w:rsidP="00EE740B">
      <w:r>
        <w:t xml:space="preserve">Aliquot components in working volumes before storing at the recommended temperature. </w:t>
      </w:r>
    </w:p>
    <w:p w14:paraId="1E6D2CC2" w14:textId="77777777" w:rsidR="00EE740B" w:rsidRDefault="00EE740B" w:rsidP="00EE740B">
      <w:r>
        <w:t>Avoid repeated freeze-thaws of reagents.</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1109"/>
        <w:gridCol w:w="1440"/>
        <w:gridCol w:w="1440"/>
      </w:tblGrid>
      <w:tr w:rsidR="002242A7" w:rsidRPr="002A066A" w14:paraId="1DEEE3A1" w14:textId="5516E8A1" w:rsidTr="002242A7">
        <w:trPr>
          <w:trHeight w:val="306"/>
          <w:jc w:val="center"/>
        </w:trPr>
        <w:tc>
          <w:tcPr>
            <w:tcW w:w="3118" w:type="dxa"/>
            <w:vAlign w:val="center"/>
          </w:tcPr>
          <w:p w14:paraId="5D5AD821" w14:textId="77777777" w:rsidR="002242A7" w:rsidRPr="002A066A" w:rsidRDefault="002242A7" w:rsidP="002242A7">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Item</w:t>
            </w:r>
          </w:p>
        </w:tc>
        <w:tc>
          <w:tcPr>
            <w:tcW w:w="1109" w:type="dxa"/>
            <w:vAlign w:val="center"/>
          </w:tcPr>
          <w:p w14:paraId="01225909" w14:textId="77777777" w:rsidR="002242A7" w:rsidRPr="002A066A" w:rsidRDefault="002242A7" w:rsidP="002242A7">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Quantity</w:t>
            </w:r>
          </w:p>
        </w:tc>
        <w:tc>
          <w:tcPr>
            <w:tcW w:w="1440" w:type="dxa"/>
            <w:vAlign w:val="center"/>
          </w:tcPr>
          <w:p w14:paraId="1DBE6917" w14:textId="77777777" w:rsidR="002242A7" w:rsidRPr="002A066A" w:rsidRDefault="002242A7" w:rsidP="002242A7">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Pr>
                <w:rFonts w:cs="Arial"/>
                <w:b/>
                <w:bCs/>
                <w:color w:val="000000"/>
                <w:szCs w:val="18"/>
                <w:lang w:val="en-GB"/>
              </w:rPr>
              <w:t>temperature</w:t>
            </w:r>
            <w:r w:rsidRPr="002A066A">
              <w:rPr>
                <w:rFonts w:cs="Arial"/>
                <w:b/>
                <w:bCs/>
                <w:color w:val="000000"/>
                <w:szCs w:val="18"/>
                <w:lang w:val="en-GB"/>
              </w:rPr>
              <w:t xml:space="preserve"> (</w:t>
            </w:r>
            <w:r>
              <w:rPr>
                <w:rFonts w:cs="Arial"/>
                <w:b/>
                <w:bCs/>
                <w:color w:val="000000"/>
                <w:szCs w:val="18"/>
                <w:lang w:val="en-GB"/>
              </w:rPr>
              <w:t>b</w:t>
            </w:r>
            <w:r w:rsidRPr="002A066A">
              <w:rPr>
                <w:rFonts w:cs="Arial"/>
                <w:b/>
                <w:bCs/>
                <w:color w:val="000000"/>
                <w:szCs w:val="18"/>
                <w:lang w:val="en-GB"/>
              </w:rPr>
              <w:t>efore prep)</w:t>
            </w:r>
          </w:p>
        </w:tc>
        <w:tc>
          <w:tcPr>
            <w:tcW w:w="1440" w:type="dxa"/>
            <w:vAlign w:val="center"/>
          </w:tcPr>
          <w:p w14:paraId="43CAFEEC" w14:textId="2F49F390" w:rsidR="002242A7" w:rsidRPr="002A066A" w:rsidRDefault="002242A7" w:rsidP="002242A7">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Pr>
                <w:rFonts w:cs="Arial"/>
                <w:b/>
                <w:bCs/>
                <w:color w:val="000000"/>
                <w:szCs w:val="18"/>
                <w:lang w:val="en-GB"/>
              </w:rPr>
              <w:t>temperature</w:t>
            </w:r>
            <w:r w:rsidRPr="002A066A">
              <w:rPr>
                <w:rFonts w:cs="Arial"/>
                <w:b/>
                <w:bCs/>
                <w:color w:val="000000"/>
                <w:szCs w:val="18"/>
                <w:lang w:val="en-GB"/>
              </w:rPr>
              <w:t xml:space="preserve"> (</w:t>
            </w:r>
            <w:r w:rsidR="005B76AB">
              <w:rPr>
                <w:rFonts w:cs="Arial"/>
                <w:b/>
                <w:bCs/>
                <w:color w:val="000000"/>
                <w:szCs w:val="18"/>
                <w:lang w:val="en-GB"/>
              </w:rPr>
              <w:t>after</w:t>
            </w:r>
            <w:r w:rsidRPr="002A066A">
              <w:rPr>
                <w:rFonts w:cs="Arial"/>
                <w:b/>
                <w:bCs/>
                <w:color w:val="000000"/>
                <w:szCs w:val="18"/>
                <w:lang w:val="en-GB"/>
              </w:rPr>
              <w:t xml:space="preserve"> prep)</w:t>
            </w:r>
          </w:p>
        </w:tc>
      </w:tr>
      <w:tr w:rsidR="002242A7" w:rsidRPr="002A066A" w14:paraId="4BF31283" w14:textId="46978ECA" w:rsidTr="002242A7">
        <w:trPr>
          <w:trHeight w:val="306"/>
          <w:jc w:val="center"/>
        </w:trPr>
        <w:tc>
          <w:tcPr>
            <w:tcW w:w="3118" w:type="dxa"/>
            <w:vAlign w:val="center"/>
          </w:tcPr>
          <w:p w14:paraId="709F4C59" w14:textId="75D5511C" w:rsidR="002242A7" w:rsidRPr="00E75A3C" w:rsidRDefault="002242A7" w:rsidP="002242A7">
            <w:pPr>
              <w:autoSpaceDE w:val="0"/>
              <w:autoSpaceDN w:val="0"/>
              <w:adjustRightInd w:val="0"/>
              <w:spacing w:before="60" w:after="60"/>
              <w:rPr>
                <w:rFonts w:cs="Arial"/>
                <w:b/>
                <w:bCs/>
                <w:color w:val="000000"/>
                <w:sz w:val="18"/>
                <w:szCs w:val="18"/>
                <w:highlight w:val="yellow"/>
                <w:lang w:val="en-GB"/>
              </w:rPr>
            </w:pPr>
            <w:r w:rsidRPr="002242A7">
              <w:rPr>
                <w:rFonts w:cs="Arial"/>
                <w:bCs/>
                <w:color w:val="000000"/>
                <w:sz w:val="18"/>
                <w:szCs w:val="18"/>
              </w:rPr>
              <w:t>ATPase Assay Buffer</w:t>
            </w:r>
          </w:p>
        </w:tc>
        <w:tc>
          <w:tcPr>
            <w:tcW w:w="1109" w:type="dxa"/>
            <w:vAlign w:val="center"/>
          </w:tcPr>
          <w:p w14:paraId="2A40E503" w14:textId="712BAF23" w:rsidR="002242A7" w:rsidRPr="00AB4B07" w:rsidRDefault="00C25A7F" w:rsidP="002242A7">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w:t>
            </w:r>
            <w:r w:rsidR="00875A74">
              <w:rPr>
                <w:rFonts w:cs="Arial"/>
                <w:color w:val="000000"/>
                <w:sz w:val="18"/>
                <w:szCs w:val="18"/>
                <w:lang w:val="en-GB"/>
              </w:rPr>
              <w:t>5</w:t>
            </w:r>
            <w:r w:rsidR="002242A7">
              <w:rPr>
                <w:rFonts w:cs="Arial"/>
                <w:color w:val="000000"/>
                <w:sz w:val="18"/>
                <w:szCs w:val="18"/>
                <w:lang w:val="en-GB"/>
              </w:rPr>
              <w:t xml:space="preserve"> </w:t>
            </w:r>
            <w:r w:rsidR="002242A7" w:rsidRPr="00AB4B07">
              <w:rPr>
                <w:rFonts w:cs="Arial"/>
                <w:color w:val="000000"/>
                <w:sz w:val="18"/>
                <w:szCs w:val="18"/>
                <w:lang w:val="en-GB"/>
              </w:rPr>
              <w:t>mL</w:t>
            </w:r>
          </w:p>
        </w:tc>
        <w:tc>
          <w:tcPr>
            <w:tcW w:w="1440" w:type="dxa"/>
            <w:vAlign w:val="center"/>
          </w:tcPr>
          <w:p w14:paraId="169E6AE6" w14:textId="452E9ED6" w:rsidR="002242A7" w:rsidRPr="00AB4B07" w:rsidRDefault="002242A7" w:rsidP="002242A7">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AB4B07">
              <w:rPr>
                <w:rFonts w:cs="Arial"/>
                <w:color w:val="000000"/>
                <w:sz w:val="18"/>
                <w:szCs w:val="18"/>
                <w:lang w:val="en-GB"/>
              </w:rPr>
              <w:t>°C</w:t>
            </w:r>
          </w:p>
        </w:tc>
        <w:tc>
          <w:tcPr>
            <w:tcW w:w="1440" w:type="dxa"/>
            <w:vAlign w:val="center"/>
          </w:tcPr>
          <w:p w14:paraId="3F6A4E8C" w14:textId="37D53DBE" w:rsidR="002242A7" w:rsidRDefault="002242A7" w:rsidP="002242A7">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AB4B07">
              <w:rPr>
                <w:rFonts w:cs="Arial"/>
                <w:color w:val="000000"/>
                <w:sz w:val="18"/>
                <w:szCs w:val="18"/>
                <w:lang w:val="en-GB"/>
              </w:rPr>
              <w:t>°C</w:t>
            </w:r>
          </w:p>
        </w:tc>
      </w:tr>
      <w:tr w:rsidR="002242A7" w:rsidRPr="002A066A" w14:paraId="393F6176" w14:textId="227625A8" w:rsidTr="002242A7">
        <w:trPr>
          <w:trHeight w:val="306"/>
          <w:jc w:val="center"/>
        </w:trPr>
        <w:tc>
          <w:tcPr>
            <w:tcW w:w="3118" w:type="dxa"/>
            <w:vAlign w:val="center"/>
          </w:tcPr>
          <w:p w14:paraId="471A0DBF" w14:textId="1EADD19A" w:rsidR="002242A7" w:rsidRPr="002A066A" w:rsidRDefault="005A4704" w:rsidP="002242A7">
            <w:pPr>
              <w:autoSpaceDE w:val="0"/>
              <w:autoSpaceDN w:val="0"/>
              <w:adjustRightInd w:val="0"/>
              <w:spacing w:before="60" w:after="60"/>
              <w:rPr>
                <w:rFonts w:cs="Arial"/>
                <w:bCs/>
                <w:color w:val="000000"/>
                <w:sz w:val="18"/>
                <w:szCs w:val="18"/>
              </w:rPr>
            </w:pPr>
            <w:r>
              <w:rPr>
                <w:rFonts w:cs="Arial"/>
                <w:bCs/>
                <w:color w:val="000000"/>
                <w:sz w:val="18"/>
                <w:szCs w:val="18"/>
              </w:rPr>
              <w:t>ATP Standard II/</w:t>
            </w:r>
            <w:r w:rsidR="002242A7" w:rsidRPr="002242A7">
              <w:rPr>
                <w:rFonts w:cs="Arial"/>
                <w:bCs/>
                <w:color w:val="000000"/>
                <w:sz w:val="18"/>
                <w:szCs w:val="18"/>
              </w:rPr>
              <w:t>ATPase Substrate</w:t>
            </w:r>
          </w:p>
        </w:tc>
        <w:tc>
          <w:tcPr>
            <w:tcW w:w="1109" w:type="dxa"/>
            <w:vAlign w:val="center"/>
          </w:tcPr>
          <w:p w14:paraId="4D8E3047" w14:textId="31A8E6F7" w:rsidR="002242A7" w:rsidRPr="00AB4B07" w:rsidRDefault="002242A7" w:rsidP="002242A7">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 vials</w:t>
            </w:r>
          </w:p>
        </w:tc>
        <w:tc>
          <w:tcPr>
            <w:tcW w:w="1440" w:type="dxa"/>
          </w:tcPr>
          <w:p w14:paraId="62DEF01A" w14:textId="1DAE7B85" w:rsidR="002242A7" w:rsidRPr="00AB4B07" w:rsidRDefault="002242A7" w:rsidP="002242A7">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AB4B07">
              <w:rPr>
                <w:rFonts w:cs="Arial"/>
                <w:color w:val="000000"/>
                <w:sz w:val="18"/>
                <w:szCs w:val="18"/>
                <w:lang w:val="en-GB"/>
              </w:rPr>
              <w:t>°C</w:t>
            </w:r>
          </w:p>
        </w:tc>
        <w:tc>
          <w:tcPr>
            <w:tcW w:w="1440" w:type="dxa"/>
          </w:tcPr>
          <w:p w14:paraId="72A0D616" w14:textId="69AA4ADE" w:rsidR="002242A7" w:rsidRPr="00AB4B07" w:rsidRDefault="00D90E72" w:rsidP="002242A7">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AB4B07">
              <w:rPr>
                <w:rFonts w:cs="Arial"/>
                <w:color w:val="000000"/>
                <w:sz w:val="18"/>
                <w:szCs w:val="18"/>
                <w:lang w:val="en-GB"/>
              </w:rPr>
              <w:t>°C</w:t>
            </w:r>
          </w:p>
        </w:tc>
      </w:tr>
      <w:tr w:rsidR="002242A7" w:rsidRPr="002A066A" w14:paraId="3193F429" w14:textId="7F2D40BC" w:rsidTr="002242A7">
        <w:trPr>
          <w:trHeight w:val="306"/>
          <w:jc w:val="center"/>
        </w:trPr>
        <w:tc>
          <w:tcPr>
            <w:tcW w:w="3118" w:type="dxa"/>
            <w:vAlign w:val="center"/>
          </w:tcPr>
          <w:p w14:paraId="4F8AC674" w14:textId="09E9D5FF" w:rsidR="002242A7" w:rsidRPr="002A066A" w:rsidRDefault="002242A7" w:rsidP="002242A7">
            <w:pPr>
              <w:autoSpaceDE w:val="0"/>
              <w:autoSpaceDN w:val="0"/>
              <w:adjustRightInd w:val="0"/>
              <w:spacing w:before="60" w:after="60"/>
              <w:rPr>
                <w:rFonts w:cs="Arial"/>
                <w:bCs/>
                <w:color w:val="000000"/>
                <w:sz w:val="18"/>
                <w:szCs w:val="18"/>
              </w:rPr>
            </w:pPr>
            <w:r w:rsidRPr="002242A7">
              <w:rPr>
                <w:rFonts w:cs="Arial"/>
                <w:bCs/>
                <w:color w:val="000000"/>
                <w:sz w:val="18"/>
                <w:szCs w:val="18"/>
              </w:rPr>
              <w:t>ATPase Developer</w:t>
            </w:r>
          </w:p>
        </w:tc>
        <w:tc>
          <w:tcPr>
            <w:tcW w:w="1109" w:type="dxa"/>
            <w:vAlign w:val="center"/>
          </w:tcPr>
          <w:p w14:paraId="19EC4123" w14:textId="3BD893B7" w:rsidR="002242A7" w:rsidRPr="00AB4B07" w:rsidRDefault="002242A7" w:rsidP="002242A7">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3 m</w:t>
            </w:r>
            <w:r w:rsidRPr="00D20822">
              <w:rPr>
                <w:rFonts w:cs="Arial"/>
                <w:color w:val="000000"/>
                <w:sz w:val="18"/>
                <w:szCs w:val="18"/>
                <w:lang w:val="en-GB"/>
              </w:rPr>
              <w:t>L</w:t>
            </w:r>
          </w:p>
        </w:tc>
        <w:tc>
          <w:tcPr>
            <w:tcW w:w="1440" w:type="dxa"/>
          </w:tcPr>
          <w:p w14:paraId="178B8BE6" w14:textId="4735E823" w:rsidR="002242A7" w:rsidRPr="00AB4B07" w:rsidRDefault="00864E92" w:rsidP="002242A7">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RT</w:t>
            </w:r>
          </w:p>
        </w:tc>
        <w:tc>
          <w:tcPr>
            <w:tcW w:w="1440" w:type="dxa"/>
          </w:tcPr>
          <w:p w14:paraId="424080EA" w14:textId="4E38AF4E" w:rsidR="002242A7" w:rsidRPr="00AB4B07" w:rsidRDefault="00D90E72" w:rsidP="002242A7">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RT</w:t>
            </w:r>
          </w:p>
        </w:tc>
      </w:tr>
      <w:tr w:rsidR="002242A7" w:rsidRPr="002A066A" w14:paraId="60F9C15B" w14:textId="158FDCD7" w:rsidTr="002242A7">
        <w:trPr>
          <w:trHeight w:val="306"/>
          <w:jc w:val="center"/>
        </w:trPr>
        <w:tc>
          <w:tcPr>
            <w:tcW w:w="3118" w:type="dxa"/>
            <w:vAlign w:val="center"/>
          </w:tcPr>
          <w:p w14:paraId="76DCDF0B" w14:textId="358216E1" w:rsidR="002242A7" w:rsidRPr="00007D03" w:rsidRDefault="005A4704" w:rsidP="002242A7">
            <w:pPr>
              <w:autoSpaceDE w:val="0"/>
              <w:autoSpaceDN w:val="0"/>
              <w:adjustRightInd w:val="0"/>
              <w:spacing w:before="60" w:after="60"/>
              <w:rPr>
                <w:rFonts w:cs="Arial"/>
                <w:bCs/>
                <w:color w:val="000000"/>
                <w:sz w:val="18"/>
                <w:szCs w:val="18"/>
              </w:rPr>
            </w:pPr>
            <w:r>
              <w:rPr>
                <w:rFonts w:cs="Arial"/>
                <w:bCs/>
                <w:color w:val="000000"/>
                <w:sz w:val="18"/>
                <w:szCs w:val="18"/>
              </w:rPr>
              <w:t>Phosphate Standard/</w:t>
            </w:r>
            <w:r w:rsidR="002242A7" w:rsidRPr="002242A7">
              <w:rPr>
                <w:rFonts w:cs="Arial"/>
                <w:bCs/>
                <w:color w:val="000000"/>
                <w:sz w:val="18"/>
                <w:szCs w:val="18"/>
              </w:rPr>
              <w:t>Phosphate Standard (10 mM)</w:t>
            </w:r>
          </w:p>
        </w:tc>
        <w:tc>
          <w:tcPr>
            <w:tcW w:w="1109" w:type="dxa"/>
            <w:vAlign w:val="center"/>
          </w:tcPr>
          <w:p w14:paraId="12659199" w14:textId="7294527E" w:rsidR="002242A7" w:rsidRPr="00D20822" w:rsidRDefault="002242A7" w:rsidP="002242A7">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0.5 m</w:t>
            </w:r>
            <w:r w:rsidRPr="00D20822">
              <w:rPr>
                <w:rFonts w:cs="Arial"/>
                <w:color w:val="000000"/>
                <w:sz w:val="18"/>
                <w:szCs w:val="18"/>
                <w:lang w:val="en-GB"/>
              </w:rPr>
              <w:t>L</w:t>
            </w:r>
          </w:p>
        </w:tc>
        <w:tc>
          <w:tcPr>
            <w:tcW w:w="1440" w:type="dxa"/>
          </w:tcPr>
          <w:p w14:paraId="5D8F63EF" w14:textId="7CD1D4D8" w:rsidR="002242A7" w:rsidRPr="00AB4B07" w:rsidRDefault="007351F4" w:rsidP="002242A7">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AB4B07">
              <w:rPr>
                <w:rFonts w:cs="Arial"/>
                <w:color w:val="000000"/>
                <w:sz w:val="18"/>
                <w:szCs w:val="18"/>
                <w:lang w:val="en-GB"/>
              </w:rPr>
              <w:t>°C</w:t>
            </w:r>
          </w:p>
        </w:tc>
        <w:tc>
          <w:tcPr>
            <w:tcW w:w="1440" w:type="dxa"/>
          </w:tcPr>
          <w:p w14:paraId="395690F2" w14:textId="3E203AE1" w:rsidR="002242A7" w:rsidRDefault="004C5D77" w:rsidP="004C5D77">
            <w:pPr>
              <w:autoSpaceDE w:val="0"/>
              <w:autoSpaceDN w:val="0"/>
              <w:adjustRightInd w:val="0"/>
              <w:spacing w:before="60" w:after="60"/>
              <w:rPr>
                <w:rFonts w:cs="Arial"/>
                <w:color w:val="000000"/>
                <w:sz w:val="18"/>
                <w:szCs w:val="18"/>
                <w:lang w:val="en-GB"/>
              </w:rPr>
            </w:pPr>
            <w:r>
              <w:rPr>
                <w:rFonts w:cs="Arial"/>
                <w:color w:val="000000"/>
                <w:sz w:val="18"/>
                <w:szCs w:val="18"/>
                <w:lang w:val="en-GB"/>
              </w:rPr>
              <w:t>Room Temp</w:t>
            </w:r>
          </w:p>
        </w:tc>
      </w:tr>
      <w:tr w:rsidR="002242A7" w:rsidRPr="002A066A" w14:paraId="43BFE87E" w14:textId="77777777" w:rsidTr="002242A7">
        <w:trPr>
          <w:trHeight w:val="306"/>
          <w:jc w:val="center"/>
        </w:trPr>
        <w:tc>
          <w:tcPr>
            <w:tcW w:w="3118" w:type="dxa"/>
            <w:vAlign w:val="center"/>
          </w:tcPr>
          <w:p w14:paraId="5CFCD214" w14:textId="2F127BC5" w:rsidR="002242A7" w:rsidRPr="002242A7" w:rsidRDefault="002242A7" w:rsidP="002242A7">
            <w:pPr>
              <w:autoSpaceDE w:val="0"/>
              <w:autoSpaceDN w:val="0"/>
              <w:adjustRightInd w:val="0"/>
              <w:spacing w:before="60" w:after="60"/>
              <w:rPr>
                <w:rFonts w:cs="Arial"/>
                <w:bCs/>
                <w:color w:val="000000"/>
                <w:sz w:val="18"/>
                <w:szCs w:val="18"/>
              </w:rPr>
            </w:pPr>
            <w:r w:rsidRPr="002242A7">
              <w:rPr>
                <w:rFonts w:cs="Arial"/>
                <w:bCs/>
                <w:color w:val="000000"/>
                <w:sz w:val="18"/>
                <w:szCs w:val="18"/>
              </w:rPr>
              <w:t>ATPase Positive Control</w:t>
            </w:r>
          </w:p>
        </w:tc>
        <w:tc>
          <w:tcPr>
            <w:tcW w:w="1109" w:type="dxa"/>
            <w:vAlign w:val="center"/>
          </w:tcPr>
          <w:p w14:paraId="6A1442A6" w14:textId="68BCEFAE" w:rsidR="002242A7" w:rsidRDefault="002242A7" w:rsidP="002242A7">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440" w:type="dxa"/>
          </w:tcPr>
          <w:p w14:paraId="264DBE09" w14:textId="7D1B90D3" w:rsidR="002242A7" w:rsidRDefault="00647BFA" w:rsidP="002242A7">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AB4B07">
              <w:rPr>
                <w:rFonts w:cs="Arial"/>
                <w:color w:val="000000"/>
                <w:sz w:val="18"/>
                <w:szCs w:val="18"/>
                <w:lang w:val="en-GB"/>
              </w:rPr>
              <w:t>°C</w:t>
            </w:r>
          </w:p>
        </w:tc>
        <w:tc>
          <w:tcPr>
            <w:tcW w:w="1440" w:type="dxa"/>
          </w:tcPr>
          <w:p w14:paraId="0F80300C" w14:textId="316BAC2A" w:rsidR="002242A7" w:rsidRDefault="00D90E72" w:rsidP="002242A7">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AB4B07">
              <w:rPr>
                <w:rFonts w:cs="Arial"/>
                <w:color w:val="000000"/>
                <w:sz w:val="18"/>
                <w:szCs w:val="18"/>
                <w:lang w:val="en-GB"/>
              </w:rPr>
              <w:t>°C</w:t>
            </w:r>
          </w:p>
        </w:tc>
      </w:tr>
    </w:tbl>
    <w:p w14:paraId="2C371093" w14:textId="77777777" w:rsidR="001C766D" w:rsidRPr="002A066A" w:rsidRDefault="001C766D" w:rsidP="001B583F">
      <w:pPr>
        <w:pStyle w:val="1AbcamStandardtext"/>
        <w:rPr>
          <w:b/>
        </w:rPr>
      </w:pPr>
      <w:r w:rsidRPr="002A066A">
        <w:rPr>
          <w:b/>
        </w:rPr>
        <w:br w:type="page"/>
      </w:r>
    </w:p>
    <w:p w14:paraId="5783967E" w14:textId="77777777" w:rsidR="000E4FA8" w:rsidRPr="002A066A" w:rsidRDefault="000E4FA8" w:rsidP="001E2DD7">
      <w:pPr>
        <w:pStyle w:val="1Abcamheading"/>
      </w:pPr>
      <w:bookmarkStart w:id="6" w:name="_Toc446403817"/>
      <w:bookmarkStart w:id="7" w:name="_Toc511839358"/>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6"/>
      <w:bookmarkEnd w:id="7"/>
    </w:p>
    <w:p w14:paraId="563799E5" w14:textId="77777777" w:rsidR="00005CD3" w:rsidRPr="002A066A" w:rsidRDefault="00005CD3" w:rsidP="00005CD3">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2E17C594" w14:textId="77777777" w:rsidR="00005CD3" w:rsidRPr="00AB4B07" w:rsidRDefault="00005CD3" w:rsidP="00005CD3">
      <w:pPr>
        <w:spacing w:before="60" w:after="60"/>
        <w:rPr>
          <w:highlight w:val="yellow"/>
        </w:rPr>
      </w:pPr>
    </w:p>
    <w:p w14:paraId="6FE4C63B" w14:textId="64D9E173" w:rsidR="007078E4" w:rsidRPr="007078E4" w:rsidRDefault="00534531" w:rsidP="00534531">
      <w:pPr>
        <w:pStyle w:val="ListParagraph"/>
        <w:numPr>
          <w:ilvl w:val="0"/>
          <w:numId w:val="7"/>
        </w:numPr>
        <w:spacing w:before="60" w:after="60"/>
        <w:ind w:left="357" w:hanging="357"/>
        <w:contextualSpacing w:val="0"/>
      </w:pPr>
      <w:r w:rsidRPr="00534531">
        <w:t>96-well clear plate with flat bottom</w:t>
      </w:r>
      <w:r w:rsidR="007078E4" w:rsidRPr="007078E4">
        <w:t>.</w:t>
      </w:r>
    </w:p>
    <w:p w14:paraId="61038678" w14:textId="0F0F9048" w:rsidR="00005CD3" w:rsidRPr="00AB4B07" w:rsidRDefault="00534531" w:rsidP="00534531">
      <w:pPr>
        <w:pStyle w:val="ListParagraph"/>
        <w:numPr>
          <w:ilvl w:val="0"/>
          <w:numId w:val="7"/>
        </w:numPr>
        <w:spacing w:before="60" w:after="60"/>
        <w:ind w:left="357" w:hanging="357"/>
        <w:contextualSpacing w:val="0"/>
      </w:pPr>
      <w:r w:rsidRPr="00534531">
        <w:rPr>
          <w:szCs w:val="20"/>
        </w:rPr>
        <w:t>Multi-well spectrophotometer (ELISA reader)</w:t>
      </w:r>
      <w:r w:rsidR="007078E4" w:rsidRPr="007078E4">
        <w:rPr>
          <w:szCs w:val="20"/>
        </w:rPr>
        <w:t>.</w:t>
      </w:r>
    </w:p>
    <w:p w14:paraId="222E783B" w14:textId="77777777" w:rsidR="006664D9" w:rsidRPr="002A066A" w:rsidRDefault="000E4FA8" w:rsidP="006664D9">
      <w:pPr>
        <w:spacing w:before="60" w:after="60"/>
      </w:pPr>
      <w:r w:rsidRPr="002A066A">
        <w:br w:type="page"/>
      </w:r>
    </w:p>
    <w:p w14:paraId="6BC731F8" w14:textId="77777777" w:rsidR="006664D9" w:rsidRDefault="006664D9" w:rsidP="006B2A3A">
      <w:pPr>
        <w:pStyle w:val="1Abcamheading"/>
      </w:pPr>
      <w:bookmarkStart w:id="8" w:name="_Toc511839359"/>
      <w:r>
        <w:lastRenderedPageBreak/>
        <w:t xml:space="preserve">General guidelines, precautions, and </w:t>
      </w:r>
      <w:proofErr w:type="gramStart"/>
      <w:r>
        <w:t>troubleshooting</w:t>
      </w:r>
      <w:bookmarkEnd w:id="8"/>
      <w:proofErr w:type="gramEnd"/>
    </w:p>
    <w:p w14:paraId="53D4DC52" w14:textId="77777777" w:rsidR="006664D9" w:rsidRDefault="006664D9" w:rsidP="006664D9">
      <w:pPr>
        <w:pStyle w:val="1AbcamStandardtext"/>
      </w:pPr>
      <w:r>
        <w:t>Please observe safe laboratory practice and consult the safety datasheet.</w:t>
      </w:r>
    </w:p>
    <w:p w14:paraId="28151EEA" w14:textId="77777777" w:rsidR="006664D9" w:rsidRDefault="006664D9" w:rsidP="006664D9">
      <w:pPr>
        <w:pStyle w:val="1AbcamStandardtext"/>
      </w:pPr>
      <w:r>
        <w:t xml:space="preserve">For general guidelines, precautions, limitations on the use of our assay kits and general assay troubleshooting tips, particularly for first time users, please consult our guide: </w:t>
      </w:r>
      <w:hyperlink r:id="rId14" w:history="1">
        <w:r w:rsidRPr="00F01D56">
          <w:rPr>
            <w:rStyle w:val="Hyperlink"/>
          </w:rPr>
          <w:t>www.abcam.com/assaykitguidelines</w:t>
        </w:r>
      </w:hyperlink>
    </w:p>
    <w:p w14:paraId="092310FC" w14:textId="2FD62103" w:rsidR="006B255F" w:rsidRDefault="00697363" w:rsidP="00005CD3">
      <w:pPr>
        <w:pStyle w:val="1AbcamBulletpoints"/>
      </w:pPr>
      <w:r>
        <w:t>For typical data produced using the assay, please see the assay</w:t>
      </w:r>
      <w:r w:rsidR="001402DA">
        <w:t xml:space="preserve"> kit </w:t>
      </w:r>
      <w:r>
        <w:t>datasheet on our website.</w:t>
      </w:r>
      <w:r w:rsidR="00645B4B">
        <w:br/>
      </w:r>
    </w:p>
    <w:p w14:paraId="214F3B1C" w14:textId="77777777" w:rsidR="00645B4B" w:rsidRDefault="00645B4B">
      <w:pPr>
        <w:spacing w:before="0" w:after="0"/>
        <w:rPr>
          <w:rFonts w:eastAsiaTheme="minorHAnsi" w:cstheme="minorBidi"/>
          <w:color w:val="000000"/>
          <w:szCs w:val="20"/>
        </w:rPr>
      </w:pPr>
      <w:r>
        <w:br w:type="page"/>
      </w:r>
    </w:p>
    <w:p w14:paraId="779B7769" w14:textId="77777777" w:rsidR="000E4FA8" w:rsidRPr="002A066A" w:rsidRDefault="000E4FA8" w:rsidP="001E2DD7">
      <w:pPr>
        <w:pStyle w:val="1Abcamheading"/>
      </w:pPr>
      <w:bookmarkStart w:id="9" w:name="_Toc446403819"/>
      <w:bookmarkStart w:id="10" w:name="_Toc511839360"/>
      <w:r w:rsidRPr="002A066A">
        <w:lastRenderedPageBreak/>
        <w:t>R</w:t>
      </w:r>
      <w:r w:rsidR="00174FD5" w:rsidRPr="002A066A">
        <w:t>eagent P</w:t>
      </w:r>
      <w:r w:rsidRPr="002A066A">
        <w:t>reparation</w:t>
      </w:r>
      <w:bookmarkEnd w:id="9"/>
      <w:bookmarkEnd w:id="10"/>
    </w:p>
    <w:p w14:paraId="03124228" w14:textId="77777777" w:rsidR="00E05441" w:rsidRPr="00833AA8" w:rsidRDefault="00E05441" w:rsidP="00E05441">
      <w:pPr>
        <w:pStyle w:val="1AbcamStandardtext"/>
      </w:pPr>
      <w:r w:rsidRPr="00833AA8">
        <w:t>Briefly centrifuge small vials at low speed prior to opening.</w:t>
      </w:r>
    </w:p>
    <w:p w14:paraId="6E80AF9A" w14:textId="77777777" w:rsidR="00E05441" w:rsidRPr="00833AA8" w:rsidRDefault="00E05441" w:rsidP="00E05441">
      <w:pPr>
        <w:spacing w:before="60" w:after="60"/>
        <w:ind w:left="567"/>
      </w:pPr>
    </w:p>
    <w:p w14:paraId="59DD9431" w14:textId="524996E4" w:rsidR="00E05441" w:rsidRPr="00833AA8" w:rsidRDefault="0092360B" w:rsidP="00D93865">
      <w:pPr>
        <w:pStyle w:val="11Abcambold"/>
      </w:pPr>
      <w:r>
        <w:t xml:space="preserve">ATPase </w:t>
      </w:r>
      <w:r w:rsidR="00D93865" w:rsidRPr="00D93865">
        <w:t>Assay Buffer</w:t>
      </w:r>
    </w:p>
    <w:p w14:paraId="248B0647" w14:textId="2D080235" w:rsidR="00E05441" w:rsidRDefault="0092360B" w:rsidP="00482EFC">
      <w:pPr>
        <w:pStyle w:val="111Abcam"/>
        <w:numPr>
          <w:ilvl w:val="0"/>
          <w:numId w:val="0"/>
        </w:numPr>
        <w:ind w:left="567"/>
      </w:pPr>
      <w:r w:rsidRPr="0092360B">
        <w:t>Warm to room temperature before use. Store at 4ºC.</w:t>
      </w:r>
    </w:p>
    <w:p w14:paraId="274964BA" w14:textId="77777777" w:rsidR="001A329F" w:rsidRDefault="001A329F" w:rsidP="00482EFC">
      <w:pPr>
        <w:pStyle w:val="111Abcam"/>
        <w:numPr>
          <w:ilvl w:val="0"/>
          <w:numId w:val="0"/>
        </w:numPr>
        <w:ind w:left="567"/>
      </w:pPr>
    </w:p>
    <w:p w14:paraId="02041B74" w14:textId="4C5C0767" w:rsidR="001A329F" w:rsidRPr="00833AA8" w:rsidRDefault="001A329F" w:rsidP="001A329F">
      <w:pPr>
        <w:pStyle w:val="11Abcambold"/>
      </w:pPr>
      <w:r>
        <w:t>Phosphate Substrate</w:t>
      </w:r>
    </w:p>
    <w:p w14:paraId="729DDBD9" w14:textId="77777777" w:rsidR="001A329F" w:rsidRDefault="001A329F" w:rsidP="001A329F">
      <w:pPr>
        <w:pStyle w:val="111Abcam"/>
        <w:numPr>
          <w:ilvl w:val="0"/>
          <w:numId w:val="0"/>
        </w:numPr>
        <w:ind w:left="567"/>
      </w:pPr>
      <w:r w:rsidRPr="0092360B">
        <w:t>Warm to room temperature before use. Store at 4ºC.</w:t>
      </w:r>
    </w:p>
    <w:p w14:paraId="04969982" w14:textId="77777777" w:rsidR="00E05441" w:rsidRPr="00833AA8" w:rsidRDefault="00E05441" w:rsidP="00E05441">
      <w:pPr>
        <w:pStyle w:val="111Abcam"/>
        <w:numPr>
          <w:ilvl w:val="0"/>
          <w:numId w:val="0"/>
        </w:numPr>
        <w:ind w:left="360"/>
      </w:pPr>
    </w:p>
    <w:p w14:paraId="208BD311" w14:textId="2FFEA7E1" w:rsidR="00E05441" w:rsidRPr="00833AA8" w:rsidRDefault="005A4704" w:rsidP="00A544A8">
      <w:pPr>
        <w:pStyle w:val="11Abcambold"/>
      </w:pPr>
      <w:r>
        <w:t>ATP Standard II/</w:t>
      </w:r>
      <w:r w:rsidR="00A544A8" w:rsidRPr="00A544A8">
        <w:t>ATPase Substrate</w:t>
      </w:r>
    </w:p>
    <w:p w14:paraId="50A12799" w14:textId="22612333" w:rsidR="00D93865" w:rsidRDefault="00A544A8" w:rsidP="00482EFC">
      <w:pPr>
        <w:pStyle w:val="111Abcam"/>
        <w:numPr>
          <w:ilvl w:val="0"/>
          <w:numId w:val="0"/>
        </w:numPr>
        <w:ind w:left="567"/>
      </w:pPr>
      <w:r w:rsidRPr="00A544A8">
        <w:t xml:space="preserve">Reconstitute one </w:t>
      </w:r>
      <w:r>
        <w:t>vial with 110 µL</w:t>
      </w:r>
      <w:r w:rsidRPr="00A544A8">
        <w:t xml:space="preserve"> dH</w:t>
      </w:r>
      <w:r w:rsidRPr="00A544A8">
        <w:rPr>
          <w:vertAlign w:val="subscript"/>
        </w:rPr>
        <w:t>2</w:t>
      </w:r>
      <w:r w:rsidRPr="00A544A8">
        <w:t>O. Pipette up and down to dissolve. Aliquot and store at -20°C. Use within two months</w:t>
      </w:r>
      <w:r w:rsidR="00D93865" w:rsidRPr="00D93865">
        <w:t>.</w:t>
      </w:r>
    </w:p>
    <w:p w14:paraId="0B44E7B0" w14:textId="57457E37" w:rsidR="00E05441" w:rsidRDefault="00E05441" w:rsidP="00E05441">
      <w:pPr>
        <w:spacing w:before="60" w:after="60"/>
        <w:ind w:left="567"/>
      </w:pPr>
    </w:p>
    <w:p w14:paraId="03BFAE1E" w14:textId="7AF3E9B0" w:rsidR="004658FB" w:rsidRPr="00833AA8" w:rsidRDefault="00103404" w:rsidP="00103404">
      <w:pPr>
        <w:pStyle w:val="11Abcambold"/>
      </w:pPr>
      <w:r w:rsidRPr="00103404">
        <w:t>ATPase Developer</w:t>
      </w:r>
    </w:p>
    <w:p w14:paraId="6B876513" w14:textId="650CC2B0" w:rsidR="004658FB" w:rsidRDefault="00103404" w:rsidP="00482EFC">
      <w:pPr>
        <w:pStyle w:val="111Abcam"/>
        <w:numPr>
          <w:ilvl w:val="0"/>
          <w:numId w:val="0"/>
        </w:numPr>
        <w:ind w:left="567"/>
      </w:pPr>
      <w:r w:rsidRPr="00103404">
        <w:t>Ready to use as supplied</w:t>
      </w:r>
      <w:r>
        <w:t>.</w:t>
      </w:r>
      <w:r w:rsidRPr="00103404">
        <w:t xml:space="preserve"> </w:t>
      </w:r>
      <w:r>
        <w:t>Store</w:t>
      </w:r>
      <w:r w:rsidRPr="00103404">
        <w:t xml:space="preserve"> at room temperature.</w:t>
      </w:r>
    </w:p>
    <w:p w14:paraId="2007D5F4" w14:textId="29D187B3" w:rsidR="004658FB" w:rsidRDefault="004658FB" w:rsidP="00E05441">
      <w:pPr>
        <w:spacing w:before="60" w:after="60"/>
        <w:ind w:left="567"/>
      </w:pPr>
    </w:p>
    <w:p w14:paraId="3E66AA44" w14:textId="6532C0F7" w:rsidR="00BD3B8B" w:rsidRPr="00833AA8" w:rsidRDefault="00BD3B8B" w:rsidP="00BD3B8B">
      <w:pPr>
        <w:pStyle w:val="11Abcambold"/>
      </w:pPr>
      <w:r w:rsidRPr="00BD3B8B">
        <w:t>ATPase Positive Control</w:t>
      </w:r>
    </w:p>
    <w:p w14:paraId="344424D5" w14:textId="67B04674" w:rsidR="00BD3B8B" w:rsidRDefault="00BD3B8B" w:rsidP="000A5842">
      <w:pPr>
        <w:pStyle w:val="111Abcam"/>
        <w:numPr>
          <w:ilvl w:val="0"/>
          <w:numId w:val="0"/>
        </w:numPr>
        <w:ind w:left="567"/>
      </w:pPr>
      <w:r>
        <w:t xml:space="preserve">Reconstitute with 100 </w:t>
      </w:r>
      <w:proofErr w:type="spellStart"/>
      <w:r>
        <w:t>μL</w:t>
      </w:r>
      <w:proofErr w:type="spellEnd"/>
      <w:r w:rsidRPr="00BD3B8B">
        <w:t xml:space="preserve"> Assay Buffer and mix thoroughly. Keep on ice while in use. Aliquot and store at – 20°C. Use within two months.</w:t>
      </w:r>
    </w:p>
    <w:p w14:paraId="638D166B" w14:textId="77777777" w:rsidR="00BD3B8B" w:rsidRPr="00833AA8" w:rsidRDefault="00BD3B8B" w:rsidP="00E05441">
      <w:pPr>
        <w:spacing w:before="60" w:after="60"/>
        <w:ind w:left="567"/>
      </w:pPr>
    </w:p>
    <w:p w14:paraId="4D8DBC51" w14:textId="070BD12F" w:rsidR="00A13501" w:rsidRPr="00833AA8" w:rsidRDefault="00A13501">
      <w:pPr>
        <w:spacing w:before="0" w:after="0"/>
      </w:pPr>
      <w:r w:rsidRPr="00833AA8">
        <w:br w:type="page"/>
      </w:r>
    </w:p>
    <w:p w14:paraId="397CFC8B" w14:textId="77777777" w:rsidR="00A13501" w:rsidRPr="00833AA8" w:rsidRDefault="00A13501" w:rsidP="00A13501">
      <w:pPr>
        <w:pStyle w:val="1Abcamheading"/>
      </w:pPr>
      <w:bookmarkStart w:id="11" w:name="_Toc446403820"/>
      <w:bookmarkStart w:id="12" w:name="_Toc495055757"/>
      <w:bookmarkStart w:id="13" w:name="_Toc511839361"/>
      <w:r w:rsidRPr="00833AA8">
        <w:lastRenderedPageBreak/>
        <w:t>Standard Preparation</w:t>
      </w:r>
      <w:bookmarkEnd w:id="11"/>
      <w:bookmarkEnd w:id="12"/>
      <w:bookmarkEnd w:id="13"/>
    </w:p>
    <w:p w14:paraId="61F636D2" w14:textId="77777777" w:rsidR="00A13501" w:rsidRPr="00833AA8" w:rsidRDefault="00A13501" w:rsidP="00A13501">
      <w:pPr>
        <w:pStyle w:val="ListParagraph"/>
        <w:numPr>
          <w:ilvl w:val="0"/>
          <w:numId w:val="8"/>
        </w:numPr>
        <w:spacing w:before="60" w:after="60"/>
        <w:ind w:left="357" w:hanging="357"/>
        <w:contextualSpacing w:val="0"/>
      </w:pPr>
      <w:r w:rsidRPr="00833AA8">
        <w:t>Always prepare a fresh set of standards for every use.</w:t>
      </w:r>
    </w:p>
    <w:p w14:paraId="3DA1F7D9" w14:textId="77777777" w:rsidR="00A13501" w:rsidRPr="00833AA8" w:rsidRDefault="00A13501" w:rsidP="00A13501">
      <w:pPr>
        <w:pStyle w:val="ListParagraph"/>
        <w:numPr>
          <w:ilvl w:val="0"/>
          <w:numId w:val="8"/>
        </w:numPr>
        <w:spacing w:before="60" w:after="60" w:line="276" w:lineRule="auto"/>
        <w:ind w:left="357" w:hanging="357"/>
        <w:contextualSpacing w:val="0"/>
        <w:jc w:val="both"/>
      </w:pPr>
      <w:r w:rsidRPr="00833AA8">
        <w:t>Discard working standard dilutions after use as they do not store well.</w:t>
      </w:r>
    </w:p>
    <w:p w14:paraId="09AE0658" w14:textId="77777777" w:rsidR="00A13501" w:rsidRPr="00833AA8" w:rsidRDefault="00A13501" w:rsidP="00A13501">
      <w:pPr>
        <w:pStyle w:val="1AbcamStandardtext"/>
      </w:pPr>
    </w:p>
    <w:p w14:paraId="6DE49DE6" w14:textId="77777777" w:rsidR="00C15B54" w:rsidRDefault="00C15B54" w:rsidP="00C15B54">
      <w:pPr>
        <w:pStyle w:val="111Abcam"/>
        <w:numPr>
          <w:ilvl w:val="0"/>
          <w:numId w:val="18"/>
        </w:numPr>
      </w:pPr>
      <w:r>
        <w:t>Dilute 10 µL</w:t>
      </w:r>
      <w:r w:rsidRPr="00C15B54">
        <w:t xml:space="preserve"> of the 10 m</w:t>
      </w:r>
      <w:r>
        <w:t>M Phosphate Standard into 990 µL</w:t>
      </w:r>
      <w:r w:rsidRPr="00C15B54">
        <w:t xml:space="preserve"> dH</w:t>
      </w:r>
      <w:r w:rsidRPr="00C15B54">
        <w:rPr>
          <w:vertAlign w:val="subscript"/>
        </w:rPr>
        <w:t>2</w:t>
      </w:r>
      <w:r w:rsidRPr="00C15B54">
        <w:t xml:space="preserve">O, mix well to generate 100 µM working Phosphate Standard. </w:t>
      </w:r>
    </w:p>
    <w:p w14:paraId="1EDD430C" w14:textId="18DA1242" w:rsidR="00C15B54" w:rsidRDefault="00AF532C" w:rsidP="00C15B54">
      <w:pPr>
        <w:pStyle w:val="111Abcam"/>
        <w:numPr>
          <w:ilvl w:val="0"/>
          <w:numId w:val="18"/>
        </w:numPr>
      </w:pPr>
      <w:r>
        <w:t xml:space="preserve">Add 0, 10, 20, 30, 40 and 50 </w:t>
      </w:r>
      <w:proofErr w:type="spellStart"/>
      <w:r>
        <w:t>μL</w:t>
      </w:r>
      <w:proofErr w:type="spellEnd"/>
      <w:r w:rsidR="00C15B54" w:rsidRPr="00C15B54">
        <w:t xml:space="preserve"> of 100 µM Phosphate Standard to individual wells to generate 0, 1, 2, 3, 4 and 5 nmol/well of Phosphate Standard. </w:t>
      </w:r>
    </w:p>
    <w:p w14:paraId="5BE78DC3" w14:textId="612DCBFF" w:rsidR="006853BC" w:rsidRDefault="00C15B54" w:rsidP="00C15B54">
      <w:pPr>
        <w:pStyle w:val="111Abcam"/>
        <w:numPr>
          <w:ilvl w:val="0"/>
          <w:numId w:val="18"/>
        </w:numPr>
      </w:pPr>
      <w:r>
        <w:t xml:space="preserve">Adjust volume to 200 </w:t>
      </w:r>
      <w:proofErr w:type="spellStart"/>
      <w:r>
        <w:t>μL</w:t>
      </w:r>
      <w:proofErr w:type="spellEnd"/>
      <w:r w:rsidRPr="00C15B54">
        <w:t>/well with ATPase Assay Buffer.</w:t>
      </w:r>
    </w:p>
    <w:p w14:paraId="34F7E0A3" w14:textId="7E5D7C72" w:rsidR="00BB0017" w:rsidRDefault="00BB0017" w:rsidP="00BB0017">
      <w:pPr>
        <w:pStyle w:val="111Abcam"/>
        <w:numPr>
          <w:ilvl w:val="0"/>
          <w:numId w:val="0"/>
        </w:numPr>
        <w:ind w:left="360"/>
      </w:pPr>
    </w:p>
    <w:p w14:paraId="637C0C56" w14:textId="7643035E" w:rsidR="00BB0017" w:rsidRDefault="00BB0017" w:rsidP="00BB0017">
      <w:pPr>
        <w:pStyle w:val="111Abcam"/>
        <w:numPr>
          <w:ilvl w:val="0"/>
          <w:numId w:val="0"/>
        </w:numPr>
        <w:ind w:left="360"/>
      </w:pPr>
      <w:r w:rsidRPr="00BB0017">
        <w:rPr>
          <w:b/>
        </w:rPr>
        <w:sym w:font="Symbol" w:char="F044"/>
      </w:r>
      <w:r w:rsidRPr="00BB0017">
        <w:rPr>
          <w:b/>
        </w:rPr>
        <w:t xml:space="preserve"> Note</w:t>
      </w:r>
      <w:r w:rsidRPr="00BB0017">
        <w:t xml:space="preserve">: Many detergents commonly found in laboratories contain high amounts of phosphates which can adhere to clean glassware. It is highly recommended to use disposable plastic labware for all samples, </w:t>
      </w:r>
      <w:proofErr w:type="gramStart"/>
      <w:r w:rsidRPr="00BB0017">
        <w:t>standards</w:t>
      </w:r>
      <w:proofErr w:type="gramEnd"/>
      <w:r w:rsidRPr="00BB0017">
        <w:t xml:space="preserve"> and reagents to avoid contamination.</w:t>
      </w:r>
    </w:p>
    <w:p w14:paraId="473E0583" w14:textId="77777777" w:rsidR="008E420C" w:rsidRPr="002A066A" w:rsidRDefault="008E420C" w:rsidP="008E420C">
      <w:pPr>
        <w:spacing w:before="0" w:after="0"/>
      </w:pPr>
      <w:bookmarkStart w:id="14" w:name="_Toc446403821"/>
      <w:bookmarkEnd w:id="14"/>
      <w:r w:rsidRPr="002A066A">
        <w:br w:type="page"/>
      </w:r>
    </w:p>
    <w:p w14:paraId="3166472F" w14:textId="77777777" w:rsidR="008E420C" w:rsidRPr="002A066A" w:rsidRDefault="008E420C" w:rsidP="008E420C">
      <w:pPr>
        <w:pStyle w:val="1Abcamheading"/>
      </w:pPr>
      <w:bookmarkStart w:id="15" w:name="_Toc495055758"/>
      <w:bookmarkStart w:id="16" w:name="_Toc511839362"/>
      <w:r w:rsidRPr="002A066A">
        <w:lastRenderedPageBreak/>
        <w:t>Sample Preparation</w:t>
      </w:r>
      <w:bookmarkEnd w:id="15"/>
      <w:bookmarkEnd w:id="16"/>
    </w:p>
    <w:p w14:paraId="5F820E49" w14:textId="77777777" w:rsidR="00DB581B" w:rsidRPr="00DB581B" w:rsidRDefault="00DB581B" w:rsidP="00DB581B">
      <w:pPr>
        <w:pStyle w:val="111Abcam"/>
        <w:numPr>
          <w:ilvl w:val="0"/>
          <w:numId w:val="19"/>
        </w:numPr>
        <w:spacing w:before="0" w:after="0"/>
        <w:rPr>
          <w:b/>
        </w:rPr>
      </w:pPr>
      <w:r w:rsidRPr="00DB581B">
        <w:t>For whole cells or tissue lysate, rapidly homogenize tissue (40 mg) or cells (2 x 10</w:t>
      </w:r>
      <w:r w:rsidRPr="00DB581B">
        <w:rPr>
          <w:vertAlign w:val="superscript"/>
        </w:rPr>
        <w:t>6</w:t>
      </w:r>
      <w:r>
        <w:t>) with 400 µL</w:t>
      </w:r>
      <w:r w:rsidRPr="00DB581B">
        <w:t xml:space="preserve"> ice cold ATPase Assay Buffer, and place sample on ice for 10 minutes. </w:t>
      </w:r>
    </w:p>
    <w:p w14:paraId="2EC9D641" w14:textId="77777777" w:rsidR="005B66A7" w:rsidRPr="005B66A7" w:rsidRDefault="00DB581B" w:rsidP="00DB581B">
      <w:pPr>
        <w:pStyle w:val="111Abcam"/>
        <w:numPr>
          <w:ilvl w:val="0"/>
          <w:numId w:val="19"/>
        </w:numPr>
        <w:spacing w:before="0" w:after="0"/>
        <w:rPr>
          <w:b/>
        </w:rPr>
      </w:pPr>
      <w:r w:rsidRPr="00DB581B">
        <w:t>Centrifuge at 10,000 x g at 4°C for 10 min</w:t>
      </w:r>
      <w:r>
        <w:t>utes</w:t>
      </w:r>
      <w:r w:rsidRPr="00DB581B">
        <w:t xml:space="preserve"> and collect the supernatant. </w:t>
      </w:r>
    </w:p>
    <w:p w14:paraId="065C0241" w14:textId="344ABE7F" w:rsidR="00DB581B" w:rsidRPr="00DB581B" w:rsidRDefault="00DB581B" w:rsidP="00DB581B">
      <w:pPr>
        <w:pStyle w:val="111Abcam"/>
        <w:numPr>
          <w:ilvl w:val="0"/>
          <w:numId w:val="19"/>
        </w:numPr>
        <w:spacing w:before="0" w:after="0"/>
        <w:rPr>
          <w:b/>
        </w:rPr>
      </w:pPr>
      <w:r w:rsidRPr="00DB581B">
        <w:t>Important: The phosphate in tissue samples and cell lysates will interfere with assa</w:t>
      </w:r>
      <w:r w:rsidR="005B66A7">
        <w:t xml:space="preserve">y. Remove endogenous phosphate </w:t>
      </w:r>
      <w:r w:rsidRPr="00DB581B">
        <w:t>by using ammonium sulfate method: Al</w:t>
      </w:r>
      <w:r>
        <w:t>iquot the tissue samples (100 µL</w:t>
      </w:r>
      <w:r w:rsidRPr="00DB581B">
        <w:t xml:space="preserve">) to a clean centrifuge tube, </w:t>
      </w:r>
      <w:r>
        <w:t>add saturated ammonium sulfate</w:t>
      </w:r>
      <w:r w:rsidRPr="00DB581B">
        <w:t xml:space="preserve"> </w:t>
      </w:r>
      <w:r w:rsidR="00DE31ED">
        <w:t>(such as</w:t>
      </w:r>
      <w:r w:rsidR="00A34A88">
        <w:t xml:space="preserve"> ab273568)</w:t>
      </w:r>
      <w:r w:rsidR="00DE31ED">
        <w:t xml:space="preserve"> </w:t>
      </w:r>
      <w:r w:rsidRPr="00DB581B">
        <w:t xml:space="preserve">to a final concentration of 3.2 M and place on ice for 20 mins. Spin down samples at 10,000 g at 4°C for 10 mins, discard the supernatant, and resuspend the pellet back to the original volume. </w:t>
      </w:r>
    </w:p>
    <w:p w14:paraId="1FF69801" w14:textId="08C9572C" w:rsidR="00C6349E" w:rsidRPr="00BB0017" w:rsidRDefault="00237A51" w:rsidP="00DB581B">
      <w:pPr>
        <w:pStyle w:val="111Abcam"/>
        <w:numPr>
          <w:ilvl w:val="0"/>
          <w:numId w:val="19"/>
        </w:numPr>
        <w:spacing w:before="0" w:after="0"/>
        <w:rPr>
          <w:b/>
        </w:rPr>
      </w:pPr>
      <w:r>
        <w:t xml:space="preserve">Add samples (2-20 </w:t>
      </w:r>
      <w:proofErr w:type="spellStart"/>
      <w:r>
        <w:t>μL</w:t>
      </w:r>
      <w:proofErr w:type="spellEnd"/>
      <w:r w:rsidR="00DB581B" w:rsidRPr="00DB581B">
        <w:t>) in duplicates onto a clear 96-well plate (labeled “background control”, and sample ATPase activity”).</w:t>
      </w:r>
      <w:r w:rsidR="001045CA">
        <w:t xml:space="preserve"> Adjust final volume to 100 µL</w:t>
      </w:r>
      <w:r w:rsidR="001045CA" w:rsidRPr="001045CA">
        <w:t xml:space="preserve"> with ATPase Assay Buffer.</w:t>
      </w:r>
    </w:p>
    <w:p w14:paraId="37EBFBCD" w14:textId="77777777" w:rsidR="00BB0017" w:rsidRPr="00C6349E" w:rsidRDefault="00BB0017" w:rsidP="00BB0017">
      <w:pPr>
        <w:pStyle w:val="111Abcam"/>
        <w:numPr>
          <w:ilvl w:val="0"/>
          <w:numId w:val="0"/>
        </w:numPr>
        <w:spacing w:before="0" w:after="0"/>
        <w:ind w:left="360"/>
        <w:rPr>
          <w:b/>
        </w:rPr>
      </w:pPr>
    </w:p>
    <w:p w14:paraId="37E6ABD5" w14:textId="65A2AC42" w:rsidR="008E420C" w:rsidRDefault="00BB0017" w:rsidP="008E420C">
      <w:pPr>
        <w:pStyle w:val="111Abcam"/>
        <w:numPr>
          <w:ilvl w:val="0"/>
          <w:numId w:val="0"/>
        </w:numPr>
        <w:spacing w:before="0" w:after="0"/>
        <w:ind w:left="357"/>
      </w:pPr>
      <w:r w:rsidRPr="00BB0017">
        <w:rPr>
          <w:b/>
        </w:rPr>
        <w:sym w:font="Symbol" w:char="F044"/>
      </w:r>
      <w:r w:rsidRPr="00BB0017">
        <w:rPr>
          <w:b/>
        </w:rPr>
        <w:t xml:space="preserve"> Note</w:t>
      </w:r>
      <w:r w:rsidRPr="00BB0017">
        <w:t>: For unknown samples, we suggest testing several volumes to ensure the readings are within the standard curve range.</w:t>
      </w:r>
    </w:p>
    <w:p w14:paraId="75E07789" w14:textId="14674817" w:rsidR="00C6349E" w:rsidRDefault="00C6349E">
      <w:pPr>
        <w:spacing w:before="0" w:after="0"/>
        <w:rPr>
          <w:rFonts w:eastAsiaTheme="minorHAnsi" w:cstheme="minorBidi"/>
          <w:szCs w:val="20"/>
        </w:rPr>
      </w:pPr>
      <w:r>
        <w:br w:type="page"/>
      </w:r>
    </w:p>
    <w:p w14:paraId="10E39FC0" w14:textId="77777777" w:rsidR="00B86D77" w:rsidRPr="002A066A" w:rsidRDefault="00174FD5" w:rsidP="00380497">
      <w:pPr>
        <w:pStyle w:val="1Abcamheading"/>
      </w:pPr>
      <w:bookmarkStart w:id="17" w:name="_Toc511839363"/>
      <w:r w:rsidRPr="002A066A">
        <w:lastRenderedPageBreak/>
        <w:t>Assay Procedure</w:t>
      </w:r>
      <w:bookmarkEnd w:id="2"/>
      <w:bookmarkEnd w:id="17"/>
    </w:p>
    <w:p w14:paraId="08CA45C4" w14:textId="77777777" w:rsidR="00604435" w:rsidRPr="002A066A" w:rsidRDefault="00604435" w:rsidP="00604435">
      <w:pPr>
        <w:pStyle w:val="ListParagraph"/>
        <w:numPr>
          <w:ilvl w:val="0"/>
          <w:numId w:val="9"/>
        </w:numPr>
        <w:spacing w:before="60" w:after="60"/>
        <w:ind w:left="357" w:hanging="357"/>
        <w:contextualSpacing w:val="0"/>
      </w:pPr>
      <w:bookmarkStart w:id="18" w:name="_Toc271554832"/>
      <w:bookmarkStart w:id="19" w:name="_Toc273532551"/>
      <w:r w:rsidRPr="002A066A">
        <w:t>Equilibrate all materials and prepared reagents to room temperature</w:t>
      </w:r>
      <w:r>
        <w:t xml:space="preserve"> just</w:t>
      </w:r>
      <w:r w:rsidRPr="002A066A">
        <w:t xml:space="preserve"> prior to use</w:t>
      </w:r>
      <w:r>
        <w:t xml:space="preserve"> and gently agitate</w:t>
      </w:r>
      <w:r w:rsidRPr="002A066A">
        <w:t>.</w:t>
      </w:r>
    </w:p>
    <w:p w14:paraId="52E33643" w14:textId="77777777" w:rsidR="00604435" w:rsidRPr="002A066A" w:rsidRDefault="00604435" w:rsidP="00604435">
      <w:pPr>
        <w:pStyle w:val="ListParagraph"/>
        <w:numPr>
          <w:ilvl w:val="0"/>
          <w:numId w:val="9"/>
        </w:numPr>
        <w:spacing w:before="60" w:after="60"/>
        <w:ind w:left="357" w:hanging="357"/>
        <w:contextualSpacing w:val="0"/>
      </w:pPr>
      <w:r>
        <w:t>A</w:t>
      </w:r>
      <w:r w:rsidRPr="002A066A">
        <w:t xml:space="preserve">ssay all standards, </w:t>
      </w:r>
      <w:proofErr w:type="gramStart"/>
      <w:r w:rsidRPr="002A066A">
        <w:t>controls</w:t>
      </w:r>
      <w:proofErr w:type="gramEnd"/>
      <w:r w:rsidRPr="002A066A">
        <w:t xml:space="preserve"> and samples in duplicate.</w:t>
      </w:r>
    </w:p>
    <w:p w14:paraId="71A57BCF" w14:textId="77777777" w:rsidR="00604435" w:rsidRPr="002A066A" w:rsidRDefault="00604435" w:rsidP="00604435">
      <w:pPr>
        <w:pStyle w:val="MediumGrid1-Accent21"/>
        <w:numPr>
          <w:ilvl w:val="0"/>
          <w:numId w:val="0"/>
        </w:numPr>
        <w:spacing w:before="60" w:after="60"/>
      </w:pPr>
    </w:p>
    <w:p w14:paraId="748B9B5F" w14:textId="7701144B" w:rsidR="00604435" w:rsidRPr="002A066A" w:rsidRDefault="001045CA" w:rsidP="00C36F74">
      <w:pPr>
        <w:pStyle w:val="11Abcambold"/>
      </w:pPr>
      <w:r>
        <w:t>Reagent Control and ATPase Positive Control</w:t>
      </w:r>
      <w:r w:rsidR="00604435">
        <w:t>:</w:t>
      </w:r>
    </w:p>
    <w:p w14:paraId="16032B8D" w14:textId="61FACBA5" w:rsidR="00237A51" w:rsidRDefault="00237A51" w:rsidP="001045CA">
      <w:pPr>
        <w:pStyle w:val="ListParagraph"/>
        <w:numPr>
          <w:ilvl w:val="0"/>
          <w:numId w:val="27"/>
        </w:numPr>
        <w:spacing w:before="0" w:after="0"/>
      </w:pPr>
      <w:r>
        <w:t>For R</w:t>
      </w:r>
      <w:r w:rsidR="001045CA">
        <w:t>eagent control: add 100 µL</w:t>
      </w:r>
      <w:r w:rsidR="001045CA" w:rsidRPr="001045CA">
        <w:t xml:space="preserve"> ATPase Assay Buffe</w:t>
      </w:r>
      <w:r w:rsidR="001045CA">
        <w:t xml:space="preserve">r. </w:t>
      </w:r>
    </w:p>
    <w:p w14:paraId="7F3CD892" w14:textId="63209375" w:rsidR="00C36F74" w:rsidRDefault="001045CA" w:rsidP="001045CA">
      <w:pPr>
        <w:pStyle w:val="ListParagraph"/>
        <w:numPr>
          <w:ilvl w:val="0"/>
          <w:numId w:val="27"/>
        </w:numPr>
        <w:spacing w:before="0" w:after="0"/>
      </w:pPr>
      <w:r w:rsidRPr="001045CA">
        <w:t>For ATPas</w:t>
      </w:r>
      <w:r w:rsidR="00237A51">
        <w:t>e Positive Control: dilute 10 µL</w:t>
      </w:r>
      <w:r w:rsidRPr="001045CA">
        <w:t xml:space="preserve"> of ATPa</w:t>
      </w:r>
      <w:r w:rsidR="00237A51">
        <w:t>se Positive Control into 190 µL</w:t>
      </w:r>
      <w:r w:rsidR="00D62608">
        <w:t xml:space="preserve"> </w:t>
      </w:r>
      <w:r w:rsidRPr="001045CA">
        <w:t xml:space="preserve">of </w:t>
      </w:r>
      <w:r w:rsidR="00237A51">
        <w:t xml:space="preserve">ATPase Assay Buffer. Add 2-20 </w:t>
      </w:r>
      <w:proofErr w:type="spellStart"/>
      <w:r w:rsidR="00237A51">
        <w:t>μL</w:t>
      </w:r>
      <w:proofErr w:type="spellEnd"/>
      <w:r w:rsidRPr="001045CA">
        <w:t xml:space="preserve"> of ATPase Positive Control into wells a</w:t>
      </w:r>
      <w:r w:rsidR="00237A51">
        <w:t>nd adjust final volume to 100 µL</w:t>
      </w:r>
      <w:r w:rsidRPr="001045CA">
        <w:t xml:space="preserve"> with ATPase assay buffer.</w:t>
      </w:r>
    </w:p>
    <w:p w14:paraId="0BF313F4" w14:textId="54ADDBBA" w:rsidR="007E7A3B" w:rsidRDefault="007E7A3B" w:rsidP="007E7A3B">
      <w:pPr>
        <w:pStyle w:val="ListParagraph"/>
        <w:spacing w:before="0" w:after="0"/>
        <w:ind w:left="720"/>
      </w:pPr>
    </w:p>
    <w:p w14:paraId="10D2FD84" w14:textId="27A3BE95" w:rsidR="006566C4" w:rsidRPr="002A066A" w:rsidRDefault="00EF59D5" w:rsidP="00EF59D5">
      <w:pPr>
        <w:pStyle w:val="11Abcambold"/>
      </w:pPr>
      <w:r w:rsidRPr="00EF59D5">
        <w:t>Reaction Mix</w:t>
      </w:r>
      <w:r w:rsidR="006566C4">
        <w:t>:</w:t>
      </w:r>
    </w:p>
    <w:p w14:paraId="6AF9115D" w14:textId="1812624A" w:rsidR="006566C4" w:rsidRDefault="00EF59D5" w:rsidP="00EF59D5">
      <w:pPr>
        <w:pStyle w:val="ListParagraph"/>
        <w:numPr>
          <w:ilvl w:val="0"/>
          <w:numId w:val="33"/>
        </w:numPr>
        <w:spacing w:before="0" w:after="0"/>
      </w:pPr>
      <w:r w:rsidRPr="00EF59D5">
        <w:t xml:space="preserve">Prepare </w:t>
      </w:r>
      <w:r w:rsidR="00C778CE">
        <w:t>100</w:t>
      </w:r>
      <w:r w:rsidRPr="00EF59D5">
        <w:t xml:space="preserve"> µL of Reaction Mix and Background Mix for each reaction. Prepare a master mix to ensure consistency.</w:t>
      </w:r>
    </w:p>
    <w:p w14:paraId="3121104F" w14:textId="77777777" w:rsidR="00EF59D5" w:rsidRPr="002A066A" w:rsidRDefault="00EF59D5" w:rsidP="00EF59D5">
      <w:pPr>
        <w:pStyle w:val="1AbcamStandardtext"/>
        <w:ind w:left="720"/>
      </w:pPr>
    </w:p>
    <w:tbl>
      <w:tblPr>
        <w:tblW w:w="5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417"/>
        <w:gridCol w:w="1417"/>
      </w:tblGrid>
      <w:tr w:rsidR="00EF59D5" w:rsidRPr="002A066A" w14:paraId="0CF7A759" w14:textId="77777777" w:rsidTr="00106773">
        <w:trPr>
          <w:trHeight w:val="306"/>
          <w:jc w:val="center"/>
        </w:trPr>
        <w:tc>
          <w:tcPr>
            <w:tcW w:w="2835" w:type="dxa"/>
            <w:vAlign w:val="center"/>
          </w:tcPr>
          <w:p w14:paraId="5C7B6C3B" w14:textId="77777777" w:rsidR="00EF59D5" w:rsidRPr="002A066A" w:rsidRDefault="00EF59D5" w:rsidP="00106773">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Component</w:t>
            </w:r>
          </w:p>
        </w:tc>
        <w:tc>
          <w:tcPr>
            <w:tcW w:w="1417" w:type="dxa"/>
            <w:vAlign w:val="center"/>
          </w:tcPr>
          <w:p w14:paraId="05F402DB" w14:textId="77777777" w:rsidR="00EF59D5" w:rsidRPr="002A066A" w:rsidRDefault="00EF59D5" w:rsidP="00106773">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Reaction Mix (µL)</w:t>
            </w:r>
          </w:p>
        </w:tc>
        <w:tc>
          <w:tcPr>
            <w:tcW w:w="1417" w:type="dxa"/>
            <w:vAlign w:val="center"/>
          </w:tcPr>
          <w:p w14:paraId="7D1E42DA" w14:textId="77777777" w:rsidR="00EF59D5" w:rsidRPr="002A066A" w:rsidRDefault="00EF59D5" w:rsidP="00106773">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Background Reaction Mix (µL)</w:t>
            </w:r>
          </w:p>
        </w:tc>
      </w:tr>
      <w:tr w:rsidR="00EF59D5" w:rsidRPr="002A066A" w14:paraId="797090D7" w14:textId="77777777" w:rsidTr="00106773">
        <w:trPr>
          <w:trHeight w:val="306"/>
          <w:jc w:val="center"/>
        </w:trPr>
        <w:tc>
          <w:tcPr>
            <w:tcW w:w="2835" w:type="dxa"/>
            <w:vAlign w:val="center"/>
          </w:tcPr>
          <w:p w14:paraId="13DBC871" w14:textId="35356831" w:rsidR="00EF59D5" w:rsidRPr="002A066A" w:rsidRDefault="00C778CE" w:rsidP="00106773">
            <w:pPr>
              <w:autoSpaceDE w:val="0"/>
              <w:autoSpaceDN w:val="0"/>
              <w:adjustRightInd w:val="0"/>
              <w:spacing w:before="60" w:after="60"/>
              <w:rPr>
                <w:rFonts w:cs="Arial"/>
                <w:b/>
                <w:bCs/>
                <w:color w:val="000000"/>
                <w:sz w:val="18"/>
                <w:szCs w:val="18"/>
                <w:lang w:val="en-GB"/>
              </w:rPr>
            </w:pPr>
            <w:r>
              <w:rPr>
                <w:rFonts w:cs="Arial"/>
                <w:bCs/>
                <w:color w:val="000000"/>
                <w:sz w:val="18"/>
                <w:szCs w:val="18"/>
              </w:rPr>
              <w:t>ATPase</w:t>
            </w:r>
            <w:r w:rsidR="00EF59D5" w:rsidRPr="002A066A">
              <w:rPr>
                <w:rFonts w:cs="Arial"/>
                <w:bCs/>
                <w:color w:val="000000"/>
                <w:sz w:val="18"/>
                <w:szCs w:val="18"/>
              </w:rPr>
              <w:t xml:space="preserve"> Assay Buffer</w:t>
            </w:r>
          </w:p>
        </w:tc>
        <w:tc>
          <w:tcPr>
            <w:tcW w:w="1417" w:type="dxa"/>
            <w:vAlign w:val="center"/>
          </w:tcPr>
          <w:p w14:paraId="71A558FC" w14:textId="3465FD8C" w:rsidR="00EF59D5" w:rsidRPr="002A066A" w:rsidRDefault="00C778CE" w:rsidP="0010677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98</w:t>
            </w:r>
          </w:p>
        </w:tc>
        <w:tc>
          <w:tcPr>
            <w:tcW w:w="1417" w:type="dxa"/>
            <w:vAlign w:val="center"/>
          </w:tcPr>
          <w:p w14:paraId="6F53B5C1" w14:textId="48B9E0E2" w:rsidR="00EF59D5" w:rsidRPr="002A066A" w:rsidRDefault="00C778CE" w:rsidP="0010677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100</w:t>
            </w:r>
          </w:p>
        </w:tc>
      </w:tr>
      <w:tr w:rsidR="00EF59D5" w:rsidRPr="002A066A" w14:paraId="20834E93" w14:textId="77777777" w:rsidTr="00106773">
        <w:trPr>
          <w:trHeight w:val="306"/>
          <w:jc w:val="center"/>
        </w:trPr>
        <w:tc>
          <w:tcPr>
            <w:tcW w:w="2835" w:type="dxa"/>
            <w:vAlign w:val="center"/>
          </w:tcPr>
          <w:p w14:paraId="6E717F50" w14:textId="188C0EC5" w:rsidR="00EF59D5" w:rsidRPr="002A066A" w:rsidRDefault="005A4704" w:rsidP="00106773">
            <w:pPr>
              <w:autoSpaceDE w:val="0"/>
              <w:autoSpaceDN w:val="0"/>
              <w:adjustRightInd w:val="0"/>
              <w:spacing w:before="60" w:after="60"/>
              <w:rPr>
                <w:rFonts w:cs="Arial"/>
                <w:bCs/>
                <w:color w:val="000000"/>
                <w:sz w:val="18"/>
                <w:szCs w:val="18"/>
              </w:rPr>
            </w:pPr>
            <w:r>
              <w:rPr>
                <w:rFonts w:cs="Arial"/>
                <w:bCs/>
                <w:color w:val="000000"/>
                <w:sz w:val="18"/>
                <w:szCs w:val="18"/>
              </w:rPr>
              <w:t>ATP Standard II/</w:t>
            </w:r>
            <w:r w:rsidR="00C778CE">
              <w:rPr>
                <w:rFonts w:cs="Arial"/>
                <w:bCs/>
                <w:color w:val="000000"/>
                <w:sz w:val="18"/>
                <w:szCs w:val="18"/>
              </w:rPr>
              <w:t>ATPase Substrate</w:t>
            </w:r>
          </w:p>
        </w:tc>
        <w:tc>
          <w:tcPr>
            <w:tcW w:w="1417" w:type="dxa"/>
            <w:vAlign w:val="center"/>
          </w:tcPr>
          <w:p w14:paraId="132E1FF8" w14:textId="7BF94169" w:rsidR="00EF59D5" w:rsidRPr="002A066A" w:rsidRDefault="00C778CE" w:rsidP="0010677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vAlign w:val="center"/>
          </w:tcPr>
          <w:p w14:paraId="6B8D22F7" w14:textId="7531B53D" w:rsidR="00EF59D5" w:rsidRPr="002A066A" w:rsidRDefault="00C778CE" w:rsidP="0010677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bl>
    <w:p w14:paraId="3B452883" w14:textId="77777777" w:rsidR="00EF59D5" w:rsidRPr="002A066A" w:rsidRDefault="00EF59D5" w:rsidP="00EF59D5">
      <w:pPr>
        <w:pStyle w:val="1AbcamStandardtext"/>
        <w:ind w:left="720"/>
      </w:pPr>
    </w:p>
    <w:p w14:paraId="1831CDF4" w14:textId="48991683" w:rsidR="00EF59D5" w:rsidRDefault="00EF59D5" w:rsidP="00C778CE">
      <w:pPr>
        <w:pStyle w:val="ListParagraph"/>
        <w:numPr>
          <w:ilvl w:val="0"/>
          <w:numId w:val="33"/>
        </w:numPr>
        <w:spacing w:before="0" w:after="0"/>
      </w:pPr>
      <w:r>
        <w:t xml:space="preserve">Add </w:t>
      </w:r>
      <w:r w:rsidR="00C778CE">
        <w:t>100</w:t>
      </w:r>
      <w:r>
        <w:t xml:space="preserve"> µL of Reaction Mix into </w:t>
      </w:r>
      <w:r w:rsidR="00C778CE" w:rsidRPr="00C778CE">
        <w:t>each well containing the Pos</w:t>
      </w:r>
      <w:r w:rsidR="00C778CE">
        <w:t xml:space="preserve">itive Control, Reagent </w:t>
      </w:r>
      <w:proofErr w:type="gramStart"/>
      <w:r w:rsidR="00C778CE">
        <w:t>Control</w:t>
      </w:r>
      <w:proofErr w:type="gramEnd"/>
      <w:r w:rsidR="00C778CE" w:rsidRPr="00C778CE">
        <w:t xml:space="preserve"> and test samples</w:t>
      </w:r>
      <w:r w:rsidR="00C778CE">
        <w:t xml:space="preserve">. </w:t>
      </w:r>
      <w:r w:rsidR="00C778CE" w:rsidRPr="00C778CE">
        <w:t>Do not add Reaction Mix to the Standards.</w:t>
      </w:r>
    </w:p>
    <w:p w14:paraId="02F85E59" w14:textId="65D50CD4" w:rsidR="006566C4" w:rsidRDefault="00C778CE" w:rsidP="00C778CE">
      <w:pPr>
        <w:pStyle w:val="ListParagraph"/>
        <w:numPr>
          <w:ilvl w:val="0"/>
          <w:numId w:val="33"/>
        </w:numPr>
        <w:spacing w:before="0" w:after="0"/>
      </w:pPr>
      <w:r w:rsidRPr="00C778CE">
        <w:t>Incubate at 25°C for 30 min</w:t>
      </w:r>
      <w:r>
        <w:t>utes</w:t>
      </w:r>
      <w:r w:rsidRPr="00C778CE">
        <w:t>.</w:t>
      </w:r>
    </w:p>
    <w:p w14:paraId="395A17DA" w14:textId="50F6E22E" w:rsidR="00C778CE" w:rsidRDefault="00C778CE" w:rsidP="00C778CE">
      <w:pPr>
        <w:pStyle w:val="ListParagraph"/>
        <w:spacing w:before="0" w:after="0"/>
        <w:ind w:left="720"/>
      </w:pPr>
    </w:p>
    <w:p w14:paraId="2A4FD854" w14:textId="7A1DDB39" w:rsidR="00C778CE" w:rsidRDefault="00C778CE" w:rsidP="00C778CE">
      <w:pPr>
        <w:pStyle w:val="ListParagraph"/>
        <w:spacing w:before="0" w:after="0"/>
        <w:ind w:left="720"/>
      </w:pPr>
      <w:r w:rsidRPr="00BB0017">
        <w:rPr>
          <w:b/>
        </w:rPr>
        <w:sym w:font="Symbol" w:char="F044"/>
      </w:r>
      <w:r w:rsidRPr="00BB0017">
        <w:rPr>
          <w:b/>
        </w:rPr>
        <w:t xml:space="preserve"> Note</w:t>
      </w:r>
      <w:r w:rsidRPr="00BB0017">
        <w:t xml:space="preserve">: </w:t>
      </w:r>
      <w:r w:rsidRPr="00C778CE">
        <w:t>For sampl</w:t>
      </w:r>
      <w:r>
        <w:t>e background control, add 100 µL</w:t>
      </w:r>
      <w:r w:rsidRPr="00C778CE">
        <w:t xml:space="preserve"> of Background Contro</w:t>
      </w:r>
      <w:r>
        <w:t>l mix to each well and mix well</w:t>
      </w:r>
      <w:r w:rsidRPr="00BB0017">
        <w:t>.</w:t>
      </w:r>
    </w:p>
    <w:p w14:paraId="2CD3573F" w14:textId="3ECE8CD7" w:rsidR="006566C4" w:rsidRDefault="006566C4" w:rsidP="007E7A3B">
      <w:pPr>
        <w:pStyle w:val="ListParagraph"/>
        <w:spacing w:before="0" w:after="0"/>
        <w:ind w:left="720"/>
      </w:pPr>
    </w:p>
    <w:p w14:paraId="6072274C" w14:textId="7C17C64D" w:rsidR="005801EF" w:rsidRPr="002A066A" w:rsidRDefault="00E44588" w:rsidP="00E44588">
      <w:pPr>
        <w:pStyle w:val="11Abcambold"/>
      </w:pPr>
      <w:r w:rsidRPr="00E44588">
        <w:t>Measurement</w:t>
      </w:r>
      <w:r w:rsidR="005801EF">
        <w:t>:</w:t>
      </w:r>
    </w:p>
    <w:p w14:paraId="79A68D2A" w14:textId="55CFFDE4" w:rsidR="00C2383C" w:rsidRDefault="00C2383C" w:rsidP="00C2383C">
      <w:pPr>
        <w:pStyle w:val="ListParagraph"/>
        <w:numPr>
          <w:ilvl w:val="0"/>
          <w:numId w:val="34"/>
        </w:numPr>
        <w:spacing w:before="0" w:after="0"/>
      </w:pPr>
      <w:r>
        <w:t>Add 30 µL</w:t>
      </w:r>
      <w:r w:rsidRPr="00C2383C">
        <w:t xml:space="preserve"> ATPase Assay Developer to all standards, ATPase Positive Control</w:t>
      </w:r>
      <w:r>
        <w:t xml:space="preserve">, </w:t>
      </w:r>
      <w:r w:rsidRPr="00C2383C">
        <w:t>Test Samples</w:t>
      </w:r>
      <w:r w:rsidR="00106773">
        <w:t>,</w:t>
      </w:r>
      <w:r w:rsidRPr="00C2383C">
        <w:t xml:space="preserve"> Sample Background Controls</w:t>
      </w:r>
      <w:r w:rsidR="00B91D69">
        <w:t xml:space="preserve"> </w:t>
      </w:r>
      <w:r w:rsidR="00B91D69" w:rsidRPr="00C2383C">
        <w:t>and</w:t>
      </w:r>
      <w:r w:rsidR="00B91D69">
        <w:t xml:space="preserve"> Reagent control wells</w:t>
      </w:r>
      <w:r w:rsidRPr="00C2383C">
        <w:t xml:space="preserve">. </w:t>
      </w:r>
    </w:p>
    <w:p w14:paraId="7F3DFB0E" w14:textId="3147E896" w:rsidR="00676DCA" w:rsidRPr="00C2383C" w:rsidRDefault="00C2383C" w:rsidP="00C2383C">
      <w:pPr>
        <w:pStyle w:val="ListParagraph"/>
        <w:numPr>
          <w:ilvl w:val="0"/>
          <w:numId w:val="34"/>
        </w:numPr>
        <w:spacing w:before="0" w:after="0"/>
      </w:pPr>
      <w:r w:rsidRPr="00C2383C">
        <w:t>Incubate at 25°C for 30 min and measure O</w:t>
      </w:r>
      <w:r w:rsidR="00AD24FA">
        <w:t>D at 650 nm in Endpoint mode (</w:t>
      </w:r>
      <w:proofErr w:type="spellStart"/>
      <w:r w:rsidR="00AD24FA">
        <w:t>ie</w:t>
      </w:r>
      <w:proofErr w:type="spellEnd"/>
      <w:r w:rsidR="00AD24FA">
        <w:t>.</w:t>
      </w:r>
      <w:r w:rsidRPr="00C2383C">
        <w:t xml:space="preserve"> at the end of incubation time).</w:t>
      </w:r>
      <w:r w:rsidR="00676DCA">
        <w:br w:type="page"/>
      </w:r>
    </w:p>
    <w:p w14:paraId="35EEE8E3" w14:textId="4CFC2225" w:rsidR="00FA7490" w:rsidRPr="002A066A" w:rsidRDefault="00FA7490" w:rsidP="00FA7490">
      <w:pPr>
        <w:pStyle w:val="1Abcamheading"/>
      </w:pPr>
      <w:bookmarkStart w:id="20" w:name="_Toc511839364"/>
      <w:r w:rsidRPr="00FA7490">
        <w:lastRenderedPageBreak/>
        <w:t>Data Analysis</w:t>
      </w:r>
      <w:bookmarkEnd w:id="20"/>
    </w:p>
    <w:p w14:paraId="797C3D59" w14:textId="77777777" w:rsidR="005011EB" w:rsidRPr="000A2DCC" w:rsidRDefault="005011EB" w:rsidP="005011EB">
      <w:pPr>
        <w:pStyle w:val="1AbcamStandardtext"/>
        <w:rPr>
          <w:highlight w:val="yellow"/>
        </w:rPr>
      </w:pPr>
    </w:p>
    <w:p w14:paraId="3BBFD245" w14:textId="77777777" w:rsidR="005011EB" w:rsidRPr="00EB6CB8" w:rsidRDefault="005011EB" w:rsidP="005011EB">
      <w:pPr>
        <w:pStyle w:val="11Abcam"/>
        <w:numPr>
          <w:ilvl w:val="0"/>
          <w:numId w:val="22"/>
        </w:numPr>
      </w:pPr>
      <w:r w:rsidRPr="00EB6CB8">
        <w:t xml:space="preserve">Subtract the </w:t>
      </w:r>
      <w:proofErr w:type="gramStart"/>
      <w:r w:rsidRPr="00EB6CB8">
        <w:t>0 standard</w:t>
      </w:r>
      <w:proofErr w:type="gramEnd"/>
      <w:r w:rsidRPr="00EB6CB8">
        <w:t xml:space="preserve"> reading from all standard readings.</w:t>
      </w:r>
    </w:p>
    <w:p w14:paraId="56ACB9C1" w14:textId="77777777" w:rsidR="005011EB" w:rsidRPr="00EB6CB8" w:rsidRDefault="005011EB" w:rsidP="005011EB">
      <w:pPr>
        <w:pStyle w:val="11Abcam"/>
        <w:numPr>
          <w:ilvl w:val="0"/>
          <w:numId w:val="22"/>
        </w:numPr>
      </w:pPr>
      <w:r w:rsidRPr="00EB6CB8">
        <w:t>Plot the phosphate standard curve.</w:t>
      </w:r>
    </w:p>
    <w:p w14:paraId="6B9FFD54" w14:textId="77777777" w:rsidR="005011EB" w:rsidRPr="00EB6CB8" w:rsidRDefault="005011EB" w:rsidP="005011EB">
      <w:pPr>
        <w:pStyle w:val="11Abcam"/>
        <w:numPr>
          <w:ilvl w:val="0"/>
          <w:numId w:val="22"/>
        </w:numPr>
      </w:pPr>
      <w:r w:rsidRPr="00EB6CB8">
        <w:t xml:space="preserve">Correct sample background by subtracting the higher value derived from the background control or reagent control from all sample readings (Experimental results indicated that reagent background control shows higher absorbance values). </w:t>
      </w:r>
    </w:p>
    <w:p w14:paraId="22F2AD3E" w14:textId="68ADAFBE" w:rsidR="005011EB" w:rsidRPr="00EB6CB8" w:rsidRDefault="00DE7930" w:rsidP="005011EB">
      <w:pPr>
        <w:pStyle w:val="11Abcam"/>
        <w:numPr>
          <w:ilvl w:val="0"/>
          <w:numId w:val="22"/>
        </w:numPr>
      </w:pPr>
      <w:r w:rsidRPr="00DE7930">
        <w:t>Calculate the ATPase activity of the Sample: ∆OD = A2 – A1 where A2 is the raw sample absorbance and A1 is the higher value derived from the Background Control or Reagent Control for all Sample readings (Experimental results indicated that Reagent Background Control shows higher absorbance values)</w:t>
      </w:r>
      <w:r w:rsidR="005011EB" w:rsidRPr="00EB6CB8">
        <w:t xml:space="preserve">. </w:t>
      </w:r>
    </w:p>
    <w:p w14:paraId="2E4A6875" w14:textId="1CBFA6C2" w:rsidR="005011EB" w:rsidRPr="00EB6CB8" w:rsidRDefault="005011EB" w:rsidP="005011EB">
      <w:pPr>
        <w:pStyle w:val="11Abcam"/>
        <w:numPr>
          <w:ilvl w:val="0"/>
          <w:numId w:val="22"/>
        </w:numPr>
      </w:pPr>
      <w:r w:rsidRPr="00EB6CB8">
        <w:t>Apply the ∆OD to the Phosphate standard curve to get B nmol of phosphate generated by ATPase during the reaction time (</w:t>
      </w:r>
      <w:proofErr w:type="gramStart"/>
      <w:r w:rsidRPr="00EB6CB8">
        <w:t>e.g.</w:t>
      </w:r>
      <w:proofErr w:type="gramEnd"/>
      <w:r w:rsidRPr="00EB6CB8">
        <w:t xml:space="preserve"> t = 30 min).</w:t>
      </w:r>
    </w:p>
    <w:p w14:paraId="6EF200DF" w14:textId="44E7CE2D" w:rsidR="005011EB" w:rsidRPr="00EB6CB8" w:rsidRDefault="005011EB" w:rsidP="005011EB">
      <w:pPr>
        <w:pStyle w:val="zStyleLatinCambriaMathItalicLeft12cm"/>
        <w:ind w:left="320"/>
        <w:rPr>
          <w:rStyle w:val="zStyleLatinCambriaMathItalic"/>
          <w:rFonts w:ascii="Century Gothic" w:hAnsi="Century Gothic"/>
          <w:sz w:val="18"/>
          <w:szCs w:val="18"/>
        </w:rPr>
      </w:pPr>
      <m:oMathPara>
        <m:oMath>
          <m:r>
            <w:rPr>
              <w:sz w:val="18"/>
              <w:szCs w:val="18"/>
            </w:rPr>
            <m:t>Sample ATPase Activity</m:t>
          </m:r>
          <m:r>
            <w:rPr>
              <w:rStyle w:val="zStyleLatinCambriaMathItalic"/>
              <w:sz w:val="18"/>
              <w:szCs w:val="18"/>
            </w:rPr>
            <m:t>=</m:t>
          </m:r>
          <m:f>
            <m:fPr>
              <m:ctrlPr>
                <w:rPr>
                  <w:rStyle w:val="zStyleLatinCambriaMathItalic"/>
                  <w:i/>
                  <w:iCs/>
                  <w:sz w:val="18"/>
                  <w:szCs w:val="18"/>
                </w:rPr>
              </m:ctrlPr>
            </m:fPr>
            <m:num>
              <m:r>
                <w:rPr>
                  <w:rStyle w:val="zStyleLatinCambriaMathItalic"/>
                  <w:sz w:val="18"/>
                  <w:szCs w:val="18"/>
                </w:rPr>
                <m:t>B</m:t>
              </m:r>
            </m:num>
            <m:den>
              <m:r>
                <w:rPr>
                  <w:rStyle w:val="zStyleLatinCambriaMathItalic"/>
                  <w:sz w:val="18"/>
                  <w:szCs w:val="18"/>
                </w:rPr>
                <m:t xml:space="preserve">(tX V) </m:t>
              </m:r>
            </m:den>
          </m:f>
          <m:r>
            <w:rPr>
              <w:rStyle w:val="zStyleLatinCambriaMathItalic"/>
              <w:sz w:val="18"/>
              <w:szCs w:val="18"/>
            </w:rPr>
            <m:t xml:space="preserve">*D= = nmol/min/μL = mU/μL = U/mL </m:t>
          </m:r>
        </m:oMath>
      </m:oMathPara>
    </w:p>
    <w:p w14:paraId="551854E2" w14:textId="77777777" w:rsidR="005011EB" w:rsidRPr="00EB6CB8" w:rsidRDefault="005011EB" w:rsidP="005011EB">
      <w:pPr>
        <w:pStyle w:val="1AbcamStandardtext"/>
      </w:pPr>
      <w:r w:rsidRPr="00EB6CB8">
        <w:t>Where:</w:t>
      </w:r>
    </w:p>
    <w:p w14:paraId="217D5545" w14:textId="79A81CE2" w:rsidR="005011EB" w:rsidRPr="00EB6CB8" w:rsidRDefault="005011EB" w:rsidP="005011EB">
      <w:pPr>
        <w:pStyle w:val="1AbcamStandardtext"/>
      </w:pPr>
      <w:r w:rsidRPr="00EB6CB8">
        <w:t xml:space="preserve">B = amount of </w:t>
      </w:r>
      <w:r w:rsidR="00745D59" w:rsidRPr="00EB6CB8">
        <w:t>Phosphate</w:t>
      </w:r>
      <w:r w:rsidRPr="00EB6CB8">
        <w:t xml:space="preserve"> in the sample well calcul</w:t>
      </w:r>
      <w:r w:rsidR="00745D59" w:rsidRPr="00EB6CB8">
        <w:t>ated from standard curve in [nmol]</w:t>
      </w:r>
      <w:r w:rsidRPr="00EB6CB8">
        <w:t>.</w:t>
      </w:r>
    </w:p>
    <w:p w14:paraId="603CF282" w14:textId="2F2BD974" w:rsidR="005011EB" w:rsidRPr="00EB6CB8" w:rsidRDefault="005011EB" w:rsidP="005011EB">
      <w:pPr>
        <w:pStyle w:val="1AbcamStandardtext"/>
      </w:pPr>
      <w:r w:rsidRPr="00EB6CB8">
        <w:t>V = sample volume added in the sample wells [</w:t>
      </w:r>
      <w:proofErr w:type="spellStart"/>
      <w:r w:rsidR="00745D59" w:rsidRPr="00EB6CB8">
        <w:t>μL</w:t>
      </w:r>
      <w:proofErr w:type="spellEnd"/>
      <w:r w:rsidRPr="00EB6CB8">
        <w:t>].</w:t>
      </w:r>
    </w:p>
    <w:p w14:paraId="1D305925" w14:textId="1406F48B" w:rsidR="005011EB" w:rsidRPr="00EB6CB8" w:rsidRDefault="005011EB" w:rsidP="005011EB">
      <w:pPr>
        <w:pStyle w:val="1AbcamBulletpoints"/>
        <w:ind w:left="360" w:hanging="360"/>
      </w:pPr>
      <w:r w:rsidRPr="00EB6CB8">
        <w:t>D = sample dilution factor if sample is diluted to fit within the standard curve range (prior to reaction well set up).</w:t>
      </w:r>
    </w:p>
    <w:p w14:paraId="69E027D9" w14:textId="77777777" w:rsidR="00EB6CB8" w:rsidRPr="00EB6CB8" w:rsidRDefault="00EB6CB8" w:rsidP="005011EB">
      <w:pPr>
        <w:pStyle w:val="1AbcamBulletpoints"/>
        <w:ind w:left="360" w:hanging="360"/>
      </w:pPr>
    </w:p>
    <w:p w14:paraId="62D893D7" w14:textId="655D33BF" w:rsidR="005011EB" w:rsidRPr="00EB6CB8" w:rsidRDefault="00EB6CB8" w:rsidP="00EB6CB8">
      <w:pPr>
        <w:pStyle w:val="1AbcamBulletpoints"/>
      </w:pPr>
      <w:r w:rsidRPr="00EB6CB8">
        <w:t>Unit Definition: One unit of ATPase is the amount of enzyme that will generate 1.0 µmol of phosphate per min at pH 7.5 at 25°C.</w:t>
      </w:r>
    </w:p>
    <w:p w14:paraId="1B36B2BD" w14:textId="77777777" w:rsidR="00826A4D" w:rsidRDefault="00826A4D">
      <w:pPr>
        <w:spacing w:before="0" w:after="0"/>
        <w:rPr>
          <w:rFonts w:eastAsiaTheme="minorHAnsi" w:cstheme="minorBidi"/>
          <w:szCs w:val="20"/>
        </w:rPr>
      </w:pPr>
      <w:r>
        <w:br w:type="page"/>
      </w:r>
    </w:p>
    <w:p w14:paraId="1437D623" w14:textId="77777777" w:rsidR="006B255F" w:rsidRDefault="006B255F" w:rsidP="001E2DD7">
      <w:pPr>
        <w:pStyle w:val="1Abcamheading"/>
      </w:pPr>
      <w:bookmarkStart w:id="21" w:name="_Toc511839365"/>
      <w:bookmarkEnd w:id="18"/>
      <w:bookmarkEnd w:id="19"/>
      <w:r>
        <w:lastRenderedPageBreak/>
        <w:t>FAQs / Troubleshooting</w:t>
      </w:r>
      <w:bookmarkEnd w:id="21"/>
    </w:p>
    <w:p w14:paraId="3D1EB2AA" w14:textId="45BA6A19" w:rsidR="006B255F" w:rsidRDefault="00610A37">
      <w:pPr>
        <w:spacing w:before="0" w:after="0"/>
        <w:rPr>
          <w:rFonts w:eastAsia="Times New Roman"/>
          <w:b/>
          <w:bCs/>
          <w:sz w:val="24"/>
          <w:szCs w:val="28"/>
        </w:rPr>
      </w:pPr>
      <w:r w:rsidRPr="00DA2006">
        <w:t xml:space="preserve">General troubleshooting points can be found at </w:t>
      </w:r>
      <w:hyperlink r:id="rId15" w:history="1">
        <w:r w:rsidRPr="00DA2006">
          <w:rPr>
            <w:rStyle w:val="Hyperlink"/>
          </w:rPr>
          <w:t>www.abcam.com/assaykitguidelines</w:t>
        </w:r>
      </w:hyperlink>
      <w:r>
        <w:rPr>
          <w:rStyle w:val="Hyperlink"/>
        </w:rPr>
        <w:t>.</w:t>
      </w:r>
      <w:r w:rsidR="006B255F">
        <w:br w:type="page"/>
      </w:r>
    </w:p>
    <w:p w14:paraId="5DB8F534" w14:textId="77777777" w:rsidR="00B86D77" w:rsidRPr="002A066A" w:rsidRDefault="00E44FA4" w:rsidP="001E2DD7">
      <w:pPr>
        <w:pStyle w:val="1Abcamheading"/>
      </w:pPr>
      <w:bookmarkStart w:id="22" w:name="_Toc511839366"/>
      <w:r w:rsidRPr="002A066A">
        <w:lastRenderedPageBreak/>
        <w:t xml:space="preserve">Typical </w:t>
      </w:r>
      <w:r w:rsidR="00B86D77" w:rsidRPr="002A066A">
        <w:t>Data</w:t>
      </w:r>
      <w:bookmarkEnd w:id="22"/>
    </w:p>
    <w:p w14:paraId="1BA3B6BE" w14:textId="77777777" w:rsidR="00B86D77" w:rsidRDefault="006B255F" w:rsidP="00D530F3">
      <w:pPr>
        <w:spacing w:before="60" w:after="60"/>
        <w:rPr>
          <w:lang w:val="en-GB"/>
        </w:rPr>
      </w:pPr>
      <w:r>
        <w:rPr>
          <w:lang w:val="en-GB"/>
        </w:rPr>
        <w:t>D</w:t>
      </w:r>
      <w:r w:rsidR="00E44FA4" w:rsidRPr="002A066A">
        <w:rPr>
          <w:lang w:val="en-GB"/>
        </w:rPr>
        <w:t xml:space="preserve">ata provided </w:t>
      </w:r>
      <w:r w:rsidR="00E44FA4" w:rsidRPr="002A066A">
        <w:rPr>
          <w:b/>
          <w:lang w:val="en-GB"/>
        </w:rPr>
        <w:t>for demonstration purposes only</w:t>
      </w:r>
      <w:r w:rsidR="00E44FA4" w:rsidRPr="002A066A">
        <w:rPr>
          <w:lang w:val="en-GB"/>
        </w:rPr>
        <w:t xml:space="preserve">. </w:t>
      </w:r>
    </w:p>
    <w:p w14:paraId="2F3696C9" w14:textId="77777777" w:rsidR="002C041E" w:rsidRDefault="002C041E" w:rsidP="002C041E">
      <w:pPr>
        <w:spacing w:before="60" w:after="60"/>
        <w:rPr>
          <w:lang w:val="en-GB"/>
        </w:rPr>
      </w:pPr>
    </w:p>
    <w:p w14:paraId="5C4360FA" w14:textId="77777777" w:rsidR="002C041E" w:rsidRDefault="002C041E" w:rsidP="005A4E4A">
      <w:pPr>
        <w:spacing w:before="60" w:after="60"/>
        <w:jc w:val="center"/>
        <w:rPr>
          <w:lang w:val="en-GB"/>
        </w:rPr>
      </w:pPr>
      <w:r>
        <w:rPr>
          <w:noProof/>
          <w:lang w:val="en-GB"/>
        </w:rPr>
        <w:drawing>
          <wp:inline distT="0" distB="0" distL="0" distR="0" wp14:anchorId="2B9D36C8" wp14:editId="4FFFD76B">
            <wp:extent cx="3996000" cy="264795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2855_1.jpg"/>
                    <pic:cNvPicPr/>
                  </pic:nvPicPr>
                  <pic:blipFill>
                    <a:blip r:embed="rId16"/>
                    <a:stretch>
                      <a:fillRect/>
                    </a:stretch>
                  </pic:blipFill>
                  <pic:spPr>
                    <a:xfrm>
                      <a:off x="0" y="0"/>
                      <a:ext cx="3996000" cy="2647951"/>
                    </a:xfrm>
                    <a:prstGeom prst="rect">
                      <a:avLst/>
                    </a:prstGeom>
                  </pic:spPr>
                </pic:pic>
              </a:graphicData>
            </a:graphic>
          </wp:inline>
        </w:drawing>
      </w:r>
    </w:p>
    <w:p w14:paraId="5CA2F2B0" w14:textId="64FCBD21" w:rsidR="002C041E" w:rsidRDefault="002C041E" w:rsidP="005A4E4A">
      <w:pPr>
        <w:pStyle w:val="1AbcamStandardtext"/>
        <w:ind w:left="-227"/>
        <w:jc w:val="center"/>
        <w:rPr>
          <w:noProof/>
        </w:rPr>
      </w:pPr>
    </w:p>
    <w:p w14:paraId="745BEAC1" w14:textId="792CB792" w:rsidR="003722E2" w:rsidRDefault="002C041E" w:rsidP="00874820">
      <w:pPr>
        <w:pStyle w:val="1AbcamImageLegend"/>
      </w:pPr>
      <w:r w:rsidRPr="008A2F6E">
        <w:rPr>
          <w:b/>
        </w:rPr>
        <w:t xml:space="preserve">Figure </w:t>
      </w:r>
      <w:r w:rsidR="005A4E4A">
        <w:rPr>
          <w:b/>
        </w:rPr>
        <w:t>1</w:t>
      </w:r>
      <w:r w:rsidRPr="008A2F6E">
        <w:t xml:space="preserve">. </w:t>
      </w:r>
      <w:r w:rsidR="00EB6CB8" w:rsidRPr="00EB6CB8">
        <w:t>Phosphate Standard Curve</w:t>
      </w:r>
      <w:r w:rsidR="00EB1069" w:rsidRPr="00EB1069">
        <w:t>.</w:t>
      </w:r>
      <w:r w:rsidR="003722E2" w:rsidRPr="002A066A">
        <w:br w:type="page"/>
      </w:r>
    </w:p>
    <w:p w14:paraId="3CF55C89" w14:textId="042E6949" w:rsidR="00EB6CB8" w:rsidRDefault="00EB6CB8" w:rsidP="000656E0">
      <w:pPr>
        <w:spacing w:before="60" w:after="60"/>
        <w:rPr>
          <w:lang w:val="en-GB"/>
        </w:rPr>
      </w:pPr>
    </w:p>
    <w:p w14:paraId="1BEC6691" w14:textId="0D9A72A4" w:rsidR="000656E0" w:rsidRDefault="000656E0" w:rsidP="000656E0">
      <w:pPr>
        <w:spacing w:before="60" w:after="60"/>
        <w:jc w:val="center"/>
        <w:rPr>
          <w:lang w:val="en-GB"/>
        </w:rPr>
      </w:pPr>
      <w:r>
        <w:rPr>
          <w:noProof/>
          <w:lang w:val="en-GB"/>
        </w:rPr>
        <w:drawing>
          <wp:inline distT="0" distB="0" distL="0" distR="0" wp14:anchorId="2F2FA89E" wp14:editId="5202E36E">
            <wp:extent cx="3554665" cy="2255373"/>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2855_1.jpg"/>
                    <pic:cNvPicPr/>
                  </pic:nvPicPr>
                  <pic:blipFill>
                    <a:blip r:embed="rId17"/>
                    <a:stretch>
                      <a:fillRect/>
                    </a:stretch>
                  </pic:blipFill>
                  <pic:spPr>
                    <a:xfrm>
                      <a:off x="0" y="0"/>
                      <a:ext cx="3554665" cy="2255373"/>
                    </a:xfrm>
                    <a:prstGeom prst="rect">
                      <a:avLst/>
                    </a:prstGeom>
                  </pic:spPr>
                </pic:pic>
              </a:graphicData>
            </a:graphic>
          </wp:inline>
        </w:drawing>
      </w:r>
    </w:p>
    <w:p w14:paraId="572777F4" w14:textId="32D0F3CA" w:rsidR="000656E0" w:rsidRDefault="000656E0" w:rsidP="000656E0">
      <w:pPr>
        <w:pStyle w:val="1AbcamStandardtext"/>
        <w:ind w:left="-227"/>
        <w:jc w:val="center"/>
        <w:rPr>
          <w:noProof/>
        </w:rPr>
      </w:pPr>
    </w:p>
    <w:p w14:paraId="267B133B" w14:textId="20BDF79D" w:rsidR="000656E0" w:rsidRPr="002A066A" w:rsidRDefault="000656E0" w:rsidP="000656E0">
      <w:pPr>
        <w:pStyle w:val="1AbcamImageLegend"/>
      </w:pPr>
      <w:r w:rsidRPr="008A2F6E">
        <w:rPr>
          <w:b/>
        </w:rPr>
        <w:t xml:space="preserve">Figure </w:t>
      </w:r>
      <w:r w:rsidR="00EA6B93">
        <w:rPr>
          <w:b/>
        </w:rPr>
        <w:t>2</w:t>
      </w:r>
      <w:r w:rsidRPr="008A2F6E">
        <w:t xml:space="preserve">. </w:t>
      </w:r>
      <w:r w:rsidR="009A3903" w:rsidRPr="009A3903">
        <w:t xml:space="preserve">Specific ATPase Activity were calculated in lysates prepared from Rat Heart (35 </w:t>
      </w:r>
      <w:r w:rsidR="00125BD9">
        <w:t>µg), Rat Kidney (15 µg), and HeL</w:t>
      </w:r>
      <w:r w:rsidR="009A3903" w:rsidRPr="009A3903">
        <w:t>a Cell Lysate (5.4 µg). Assays were p</w:t>
      </w:r>
      <w:r w:rsidR="009A3903">
        <w:t>erformed following kit protocol</w:t>
      </w:r>
      <w:r w:rsidRPr="000656E0">
        <w:t>.</w:t>
      </w:r>
      <w:r w:rsidRPr="002A066A">
        <w:br w:type="page"/>
      </w:r>
    </w:p>
    <w:p w14:paraId="0549F477" w14:textId="77777777" w:rsidR="00FE4E16" w:rsidRDefault="00FE4E16" w:rsidP="001E2DD7">
      <w:pPr>
        <w:pStyle w:val="1Abcamheading"/>
      </w:pPr>
      <w:bookmarkStart w:id="23" w:name="_Toc475603240"/>
      <w:bookmarkStart w:id="24" w:name="_Toc511839367"/>
      <w:r w:rsidRPr="002A066A">
        <w:lastRenderedPageBreak/>
        <w:t>Notes</w:t>
      </w:r>
      <w:bookmarkEnd w:id="23"/>
      <w:bookmarkEnd w:id="24"/>
    </w:p>
    <w:p w14:paraId="01342092" w14:textId="77777777" w:rsidR="00645B4B" w:rsidRDefault="00645B4B" w:rsidP="00645B4B">
      <w:pPr>
        <w:pStyle w:val="1Abcamheading"/>
        <w:numPr>
          <w:ilvl w:val="0"/>
          <w:numId w:val="0"/>
        </w:numPr>
        <w:ind w:left="927" w:hanging="360"/>
      </w:pPr>
    </w:p>
    <w:p w14:paraId="05D52BB3" w14:textId="77777777" w:rsidR="0079206C" w:rsidRPr="002A066A" w:rsidRDefault="0079206C" w:rsidP="008A2F6E">
      <w:pPr>
        <w:pStyle w:val="1AbcamStandardtext"/>
        <w:rPr>
          <w:lang w:val="en-AU"/>
        </w:rPr>
        <w:sectPr w:rsidR="0079206C" w:rsidRPr="002A066A" w:rsidSect="007F1A39">
          <w:footerReference w:type="default" r:id="rId18"/>
          <w:footerReference w:type="first" r:id="rId19"/>
          <w:pgSz w:w="8400" w:h="11900"/>
          <w:pgMar w:top="737" w:right="737" w:bottom="737" w:left="1021" w:header="0" w:footer="0" w:gutter="0"/>
          <w:pgNumType w:start="1"/>
          <w:cols w:space="708"/>
          <w:docGrid w:linePitch="272"/>
        </w:sectPr>
      </w:pPr>
    </w:p>
    <w:p w14:paraId="6C3320F4" w14:textId="6ED52F70" w:rsidR="00A34A88" w:rsidRDefault="00A34A88" w:rsidP="004C5D77">
      <w:pPr>
        <w:pStyle w:val="NormalWeb"/>
        <w:spacing w:before="240" w:beforeAutospacing="0" w:after="240" w:afterAutospacing="0"/>
        <w:rPr>
          <w:rFonts w:ascii="Century Gothic" w:hAnsi="Century Gothic" w:cs="Calibri"/>
          <w:b/>
          <w:bCs/>
          <w:lang w:val="en-US"/>
        </w:rPr>
      </w:pPr>
    </w:p>
    <w:p w14:paraId="66EBA753" w14:textId="77777777" w:rsidR="00A34A88" w:rsidRDefault="00A34A88" w:rsidP="004C5D77">
      <w:pPr>
        <w:pStyle w:val="NormalWeb"/>
        <w:spacing w:before="240" w:beforeAutospacing="0" w:after="240" w:afterAutospacing="0"/>
        <w:rPr>
          <w:rFonts w:ascii="Century Gothic" w:hAnsi="Century Gothic" w:cs="Calibri"/>
          <w:b/>
          <w:bCs/>
          <w:lang w:val="en-US"/>
        </w:rPr>
      </w:pPr>
    </w:p>
    <w:p w14:paraId="19A00DD9" w14:textId="77777777" w:rsidR="00A34A88" w:rsidRDefault="00A34A88" w:rsidP="004C5D77">
      <w:pPr>
        <w:pStyle w:val="NormalWeb"/>
        <w:spacing w:before="240" w:beforeAutospacing="0" w:after="240" w:afterAutospacing="0"/>
        <w:rPr>
          <w:rFonts w:ascii="Century Gothic" w:hAnsi="Century Gothic" w:cs="Calibri"/>
          <w:b/>
          <w:bCs/>
          <w:lang w:val="en-US"/>
        </w:rPr>
      </w:pPr>
    </w:p>
    <w:p w14:paraId="2D7DA556" w14:textId="77777777" w:rsidR="00A34A88" w:rsidRDefault="00A34A88" w:rsidP="004C5D77">
      <w:pPr>
        <w:pStyle w:val="NormalWeb"/>
        <w:spacing w:before="240" w:beforeAutospacing="0" w:after="240" w:afterAutospacing="0"/>
        <w:rPr>
          <w:rFonts w:ascii="Century Gothic" w:hAnsi="Century Gothic" w:cs="Calibri"/>
          <w:b/>
          <w:bCs/>
          <w:lang w:val="en-US"/>
        </w:rPr>
      </w:pPr>
    </w:p>
    <w:p w14:paraId="59068349" w14:textId="77777777" w:rsidR="00A34A88" w:rsidRDefault="00A34A88" w:rsidP="004C5D77">
      <w:pPr>
        <w:pStyle w:val="NormalWeb"/>
        <w:spacing w:before="240" w:beforeAutospacing="0" w:after="240" w:afterAutospacing="0"/>
        <w:rPr>
          <w:rFonts w:ascii="Century Gothic" w:hAnsi="Century Gothic" w:cs="Calibri"/>
          <w:b/>
          <w:bCs/>
          <w:lang w:val="en-US"/>
        </w:rPr>
      </w:pPr>
    </w:p>
    <w:p w14:paraId="0704A76B" w14:textId="5E0F7076" w:rsidR="00A34A88" w:rsidRDefault="00A34A88" w:rsidP="004C5D77">
      <w:pPr>
        <w:pStyle w:val="NormalWeb"/>
        <w:spacing w:before="240" w:beforeAutospacing="0" w:after="240" w:afterAutospacing="0"/>
        <w:rPr>
          <w:rFonts w:ascii="Century Gothic" w:hAnsi="Century Gothic" w:cs="Calibri"/>
          <w:b/>
          <w:bCs/>
          <w:lang w:val="en-US"/>
        </w:rPr>
      </w:pPr>
    </w:p>
    <w:p w14:paraId="115A58C7" w14:textId="520C9213" w:rsidR="009567D9" w:rsidRDefault="009567D9" w:rsidP="004C5D77">
      <w:pPr>
        <w:pStyle w:val="NormalWeb"/>
        <w:spacing w:before="240" w:beforeAutospacing="0" w:after="240" w:afterAutospacing="0"/>
        <w:rPr>
          <w:rFonts w:ascii="Century Gothic" w:hAnsi="Century Gothic" w:cs="Calibri"/>
          <w:b/>
          <w:bCs/>
          <w:lang w:val="en-US"/>
        </w:rPr>
      </w:pPr>
    </w:p>
    <w:p w14:paraId="474CBD31" w14:textId="6602D5EB" w:rsidR="009567D9" w:rsidRDefault="009567D9" w:rsidP="004C5D77">
      <w:pPr>
        <w:pStyle w:val="NormalWeb"/>
        <w:spacing w:before="240" w:beforeAutospacing="0" w:after="240" w:afterAutospacing="0"/>
        <w:rPr>
          <w:rFonts w:ascii="Century Gothic" w:hAnsi="Century Gothic" w:cs="Calibri"/>
          <w:b/>
          <w:bCs/>
          <w:lang w:val="en-US"/>
        </w:rPr>
      </w:pPr>
    </w:p>
    <w:p w14:paraId="15D57F67" w14:textId="3A853C87" w:rsidR="009567D9" w:rsidRDefault="009567D9" w:rsidP="004C5D77">
      <w:pPr>
        <w:pStyle w:val="NormalWeb"/>
        <w:spacing w:before="240" w:beforeAutospacing="0" w:after="240" w:afterAutospacing="0"/>
        <w:rPr>
          <w:rFonts w:ascii="Century Gothic" w:hAnsi="Century Gothic" w:cs="Calibri"/>
          <w:b/>
          <w:bCs/>
          <w:lang w:val="en-US"/>
        </w:rPr>
      </w:pPr>
    </w:p>
    <w:p w14:paraId="246FE408" w14:textId="738BCA57" w:rsidR="009567D9" w:rsidRDefault="009567D9" w:rsidP="004C5D77">
      <w:pPr>
        <w:pStyle w:val="NormalWeb"/>
        <w:spacing w:before="240" w:beforeAutospacing="0" w:after="240" w:afterAutospacing="0"/>
        <w:rPr>
          <w:rFonts w:ascii="Century Gothic" w:hAnsi="Century Gothic" w:cs="Calibri"/>
          <w:b/>
          <w:bCs/>
          <w:lang w:val="en-US"/>
        </w:rPr>
      </w:pPr>
    </w:p>
    <w:p w14:paraId="54DE57BA" w14:textId="70D8589A" w:rsidR="009567D9" w:rsidRDefault="009567D9" w:rsidP="004C5D77">
      <w:pPr>
        <w:pStyle w:val="NormalWeb"/>
        <w:spacing w:before="240" w:beforeAutospacing="0" w:after="240" w:afterAutospacing="0"/>
        <w:rPr>
          <w:rFonts w:ascii="Century Gothic" w:hAnsi="Century Gothic" w:cs="Calibri"/>
          <w:b/>
          <w:bCs/>
          <w:lang w:val="en-US"/>
        </w:rPr>
      </w:pPr>
    </w:p>
    <w:p w14:paraId="439B34BF" w14:textId="77777777" w:rsidR="009567D9" w:rsidRDefault="009567D9" w:rsidP="004C5D77">
      <w:pPr>
        <w:pStyle w:val="NormalWeb"/>
        <w:spacing w:before="240" w:beforeAutospacing="0" w:after="240" w:afterAutospacing="0"/>
        <w:rPr>
          <w:rFonts w:ascii="Century Gothic" w:hAnsi="Century Gothic" w:cs="Calibri"/>
          <w:b/>
          <w:bCs/>
          <w:lang w:val="en-US"/>
        </w:rPr>
      </w:pPr>
    </w:p>
    <w:p w14:paraId="41DAC4B9" w14:textId="77777777" w:rsidR="00A34A88" w:rsidRDefault="00A34A88" w:rsidP="004C5D77">
      <w:pPr>
        <w:pStyle w:val="NormalWeb"/>
        <w:spacing w:before="240" w:beforeAutospacing="0" w:after="240" w:afterAutospacing="0"/>
        <w:rPr>
          <w:rFonts w:ascii="Century Gothic" w:hAnsi="Century Gothic" w:cs="Calibri"/>
          <w:b/>
          <w:bCs/>
          <w:lang w:val="en-US"/>
        </w:rPr>
      </w:pPr>
    </w:p>
    <w:p w14:paraId="7FF15B4C" w14:textId="41078E24" w:rsidR="004C5D77" w:rsidRDefault="004C5D77" w:rsidP="004C5D77">
      <w:pPr>
        <w:pStyle w:val="NormalWeb"/>
        <w:spacing w:before="240" w:beforeAutospacing="0" w:after="240" w:afterAutospacing="0"/>
        <w:rPr>
          <w:rFonts w:ascii="Century Gothic" w:hAnsi="Century Gothic" w:cs="Calibri"/>
          <w:lang w:val="en-US"/>
        </w:rPr>
      </w:pPr>
      <w:r>
        <w:rPr>
          <w:rFonts w:ascii="Century Gothic" w:hAnsi="Century Gothic" w:cs="Calibri"/>
          <w:b/>
          <w:bCs/>
          <w:lang w:val="en-US"/>
        </w:rPr>
        <w:t>Technical Support</w:t>
      </w:r>
    </w:p>
    <w:p w14:paraId="69487535" w14:textId="798A388A" w:rsidR="004C5D77" w:rsidRDefault="004C5D77" w:rsidP="004C5D77">
      <w:pPr>
        <w:pStyle w:val="NormalWeb"/>
        <w:spacing w:before="0" w:beforeAutospacing="0" w:after="0" w:afterAutospacing="0"/>
        <w:rPr>
          <w:rFonts w:ascii="Century Gothic" w:hAnsi="Century Gothic" w:cs="Calibri"/>
          <w:sz w:val="18"/>
          <w:szCs w:val="18"/>
          <w:lang w:val="en-US"/>
        </w:rPr>
      </w:pPr>
      <w:r>
        <w:rPr>
          <w:rFonts w:ascii="Century Gothic" w:hAnsi="Century Gothic" w:cs="Calibri"/>
          <w:sz w:val="18"/>
          <w:szCs w:val="18"/>
          <w:lang w:val="en-US"/>
        </w:rPr>
        <w:t>Copyright © 202</w:t>
      </w:r>
      <w:r w:rsidR="00DE7930">
        <w:rPr>
          <w:rFonts w:ascii="Century Gothic" w:hAnsi="Century Gothic" w:cs="Calibri"/>
          <w:sz w:val="18"/>
          <w:szCs w:val="18"/>
          <w:lang w:val="en-US"/>
        </w:rPr>
        <w:t>3</w:t>
      </w:r>
      <w:r>
        <w:rPr>
          <w:rFonts w:ascii="Century Gothic" w:hAnsi="Century Gothic" w:cs="Calibri"/>
          <w:sz w:val="18"/>
          <w:szCs w:val="18"/>
          <w:lang w:val="en-US"/>
        </w:rPr>
        <w:t xml:space="preserve"> Abcam. All Rights Reserved. The Abcam logo is a registered trademark. All information / detail is correct at time of going to print.</w:t>
      </w:r>
    </w:p>
    <w:p w14:paraId="1BC5632C" w14:textId="77777777" w:rsidR="004C5D77" w:rsidRDefault="004C5D77" w:rsidP="004C5D77">
      <w:pPr>
        <w:pStyle w:val="NormalWeb"/>
        <w:spacing w:before="240" w:beforeAutospacing="0" w:after="0" w:afterAutospacing="0"/>
        <w:rPr>
          <w:rFonts w:ascii="Century Gothic" w:hAnsi="Century Gothic" w:cs="Calibri"/>
          <w:sz w:val="18"/>
          <w:szCs w:val="18"/>
          <w:lang w:val="en-US"/>
        </w:rPr>
      </w:pPr>
      <w:r>
        <w:rPr>
          <w:rFonts w:ascii="Century Gothic" w:hAnsi="Century Gothic" w:cs="Calibri"/>
          <w:b/>
          <w:bCs/>
          <w:sz w:val="18"/>
          <w:szCs w:val="18"/>
          <w:lang w:val="en-US"/>
        </w:rPr>
        <w:t>For all technical or commercial enquiries please go to:</w:t>
      </w:r>
    </w:p>
    <w:p w14:paraId="7E7A5E8E" w14:textId="77777777" w:rsidR="004C5D77" w:rsidRPr="00DE31ED" w:rsidRDefault="00333326" w:rsidP="004C5D77">
      <w:pPr>
        <w:pStyle w:val="NormalWeb"/>
        <w:spacing w:before="240" w:beforeAutospacing="0" w:after="0" w:afterAutospacing="0"/>
        <w:rPr>
          <w:rFonts w:ascii="Calibri" w:hAnsi="Calibri" w:cs="Calibri"/>
          <w:color w:val="000000"/>
          <w:sz w:val="18"/>
          <w:szCs w:val="18"/>
          <w:lang w:val="it-IT"/>
        </w:rPr>
      </w:pPr>
      <w:hyperlink r:id="rId20" w:history="1">
        <w:r w:rsidR="004C5D77" w:rsidRPr="00DE31ED">
          <w:rPr>
            <w:rStyle w:val="Hyperlink"/>
            <w:rFonts w:ascii="Century Gothic" w:hAnsi="Century Gothic" w:cs="Calibri"/>
            <w:sz w:val="18"/>
            <w:szCs w:val="18"/>
            <w:lang w:val="it-IT"/>
          </w:rPr>
          <w:t>www.abcam.com/contactus</w:t>
        </w:r>
      </w:hyperlink>
    </w:p>
    <w:p w14:paraId="378A6A0B" w14:textId="77777777" w:rsidR="004C5D77" w:rsidRPr="00DE31ED" w:rsidRDefault="00333326" w:rsidP="004C5D77">
      <w:pPr>
        <w:pStyle w:val="NormalWeb"/>
        <w:spacing w:before="240" w:beforeAutospacing="0" w:after="0" w:afterAutospacing="0"/>
        <w:rPr>
          <w:rFonts w:ascii="Calibri" w:hAnsi="Calibri" w:cs="Calibri"/>
          <w:color w:val="000000"/>
          <w:sz w:val="18"/>
          <w:szCs w:val="18"/>
          <w:lang w:val="it-IT"/>
        </w:rPr>
      </w:pPr>
      <w:hyperlink r:id="rId21" w:history="1">
        <w:r w:rsidR="004C5D77" w:rsidRPr="00DE31ED">
          <w:rPr>
            <w:rStyle w:val="Hyperlink"/>
            <w:rFonts w:ascii="Century Gothic" w:hAnsi="Century Gothic" w:cs="Calibri"/>
            <w:sz w:val="18"/>
            <w:szCs w:val="18"/>
            <w:lang w:val="it-IT"/>
          </w:rPr>
          <w:t>www.abcam.cn/contactus</w:t>
        </w:r>
      </w:hyperlink>
      <w:r w:rsidR="004C5D77" w:rsidRPr="00DE31ED">
        <w:rPr>
          <w:rFonts w:ascii="Century Gothic" w:hAnsi="Century Gothic" w:cs="Calibri"/>
          <w:color w:val="000000"/>
          <w:sz w:val="18"/>
          <w:szCs w:val="18"/>
          <w:lang w:val="it-IT"/>
        </w:rPr>
        <w:t xml:space="preserve"> (China)</w:t>
      </w:r>
    </w:p>
    <w:p w14:paraId="592E4C0A" w14:textId="26343F44" w:rsidR="004C5D77" w:rsidRPr="00DE31ED" w:rsidRDefault="00333326" w:rsidP="009567D9">
      <w:pPr>
        <w:pStyle w:val="NormalWeb"/>
        <w:spacing w:before="240" w:beforeAutospacing="0" w:after="0" w:afterAutospacing="0"/>
        <w:rPr>
          <w:lang w:val="fr-FR"/>
        </w:rPr>
      </w:pPr>
      <w:hyperlink r:id="rId22" w:history="1">
        <w:r w:rsidR="004C5D77" w:rsidRPr="00DE31ED">
          <w:rPr>
            <w:rStyle w:val="Hyperlink"/>
            <w:rFonts w:ascii="Century Gothic" w:hAnsi="Century Gothic" w:cs="Calibri"/>
            <w:sz w:val="18"/>
            <w:szCs w:val="18"/>
            <w:lang w:val="fr-FR"/>
          </w:rPr>
          <w:t>www.abcam.co.jp/contactus</w:t>
        </w:r>
      </w:hyperlink>
      <w:r w:rsidR="004C5D77" w:rsidRPr="00DE31ED">
        <w:rPr>
          <w:rFonts w:ascii="Century Gothic" w:hAnsi="Century Gothic" w:cs="Calibri"/>
          <w:color w:val="000000"/>
          <w:sz w:val="18"/>
          <w:szCs w:val="18"/>
          <w:lang w:val="fr-FR"/>
        </w:rPr>
        <w:t xml:space="preserve"> (Japan)</w:t>
      </w:r>
    </w:p>
    <w:sectPr w:rsidR="004C5D77" w:rsidRPr="00DE31ED" w:rsidSect="007F1A39">
      <w:footerReference w:type="default" r:id="rId23"/>
      <w:footerReference w:type="first" r:id="rId24"/>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59E2C" w14:textId="77777777" w:rsidR="00B32E71" w:rsidRDefault="00B32E71" w:rsidP="00DC1372">
      <w:r>
        <w:separator/>
      </w:r>
    </w:p>
    <w:p w14:paraId="3491CA30" w14:textId="77777777" w:rsidR="00B32E71" w:rsidRDefault="00B32E71"/>
    <w:p w14:paraId="580662DC" w14:textId="77777777" w:rsidR="00B32E71" w:rsidRDefault="00B32E71"/>
  </w:endnote>
  <w:endnote w:type="continuationSeparator" w:id="0">
    <w:p w14:paraId="3C4B45D1" w14:textId="77777777" w:rsidR="00B32E71" w:rsidRDefault="00B32E71" w:rsidP="00DC1372">
      <w:r>
        <w:continuationSeparator/>
      </w:r>
    </w:p>
    <w:p w14:paraId="2EC249CE" w14:textId="77777777" w:rsidR="00B32E71" w:rsidRDefault="00B32E71"/>
    <w:p w14:paraId="6E96265F" w14:textId="77777777" w:rsidR="00B32E71" w:rsidRDefault="00B32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CCC7" w14:textId="77777777" w:rsidR="00106773" w:rsidRDefault="00106773"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00D5BF12" w14:textId="77777777" w:rsidR="00106773" w:rsidRDefault="00106773" w:rsidP="00DC1372">
    <w:pPr>
      <w:pStyle w:val="Footer"/>
      <w:ind w:right="360"/>
    </w:pPr>
  </w:p>
  <w:p w14:paraId="230FC1AD" w14:textId="77777777" w:rsidR="00106773" w:rsidRDefault="001067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D73B" w14:textId="6A6C13E6" w:rsidR="00106773" w:rsidRPr="003B15FA" w:rsidRDefault="00106773" w:rsidP="003B15FA">
    <w:pPr>
      <w:pStyle w:val="Footer"/>
    </w:pPr>
    <w:r w:rsidRPr="006D4E00">
      <w:rPr>
        <w:sz w:val="16"/>
        <w:szCs w:val="16"/>
      </w:rPr>
      <w:t>Copyright © 20</w:t>
    </w:r>
    <w:r w:rsidR="004C5D77">
      <w:rPr>
        <w:sz w:val="16"/>
        <w:szCs w:val="16"/>
      </w:rPr>
      <w:t>2</w:t>
    </w:r>
    <w:r w:rsidR="00DE7930">
      <w:rPr>
        <w:sz w:val="16"/>
        <w:szCs w:val="16"/>
      </w:rPr>
      <w:t>3</w:t>
    </w:r>
    <w:r w:rsidRPr="006D4E00">
      <w:rPr>
        <w:sz w:val="16"/>
        <w:szCs w:val="16"/>
      </w:rPr>
      <w:t xml:space="preserve"> Abcam. All rights </w:t>
    </w:r>
    <w:proofErr w:type="gramStart"/>
    <w:r w:rsidRPr="006D4E00">
      <w:rPr>
        <w:sz w:val="16"/>
        <w:szCs w:val="16"/>
      </w:rPr>
      <w:t>reserved</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12FB" w14:textId="77777777" w:rsidR="00106773" w:rsidRPr="00471BB0" w:rsidRDefault="00106773" w:rsidP="00471BB0">
    <w:pPr>
      <w:pStyle w:val="Footer"/>
    </w:pPr>
    <w:r w:rsidRPr="006D4E00">
      <w:rPr>
        <w:sz w:val="16"/>
        <w:szCs w:val="16"/>
      </w:rPr>
      <w:t xml:space="preserve">Copyright © 2016 Abcam. All rights </w:t>
    </w:r>
    <w:proofErr w:type="gramStart"/>
    <w:r w:rsidRPr="006D4E00">
      <w:rPr>
        <w:sz w:val="16"/>
        <w:szCs w:val="16"/>
      </w:rPr>
      <w:t>reserved</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3700" w14:textId="69EBD39E" w:rsidR="00106773" w:rsidRPr="003B15FA" w:rsidRDefault="00106773" w:rsidP="003B15FA">
    <w:pPr>
      <w:tabs>
        <w:tab w:val="center" w:pos="4320"/>
        <w:tab w:val="right" w:pos="8640"/>
      </w:tabs>
    </w:pPr>
    <w:r>
      <w:rPr>
        <w:sz w:val="16"/>
        <w:szCs w:val="16"/>
      </w:rPr>
      <w:t xml:space="preserve">ab234055 </w:t>
    </w:r>
    <w:r w:rsidRPr="000B6103">
      <w:rPr>
        <w:sz w:val="16"/>
        <w:szCs w:val="16"/>
      </w:rPr>
      <w:t>ATPase Assay Kit (Colorimetric)</w:t>
    </w:r>
    <w:r>
      <w:rPr>
        <w:sz w:val="16"/>
        <w:szCs w:val="16"/>
      </w:rPr>
      <w:tab/>
    </w:r>
    <w:r w:rsidRPr="003B15FA">
      <w:rPr>
        <w:sz w:val="16"/>
        <w:szCs w:val="16"/>
      </w:rPr>
      <w:ptab w:relativeTo="margin" w:alignment="right" w:leader="none"/>
    </w:r>
    <w:r w:rsidRPr="003B15FA">
      <w:rPr>
        <w:sz w:val="16"/>
        <w:szCs w:val="16"/>
      </w:rPr>
      <w:fldChar w:fldCharType="begin"/>
    </w:r>
    <w:r w:rsidRPr="003B15FA">
      <w:rPr>
        <w:sz w:val="16"/>
        <w:szCs w:val="16"/>
      </w:rPr>
      <w:instrText xml:space="preserve"> PAGE  \* Arabic  \* MERGEFORMAT </w:instrText>
    </w:r>
    <w:r w:rsidRPr="003B15FA">
      <w:rPr>
        <w:sz w:val="16"/>
        <w:szCs w:val="16"/>
      </w:rPr>
      <w:fldChar w:fldCharType="separate"/>
    </w:r>
    <w:r>
      <w:rPr>
        <w:noProof/>
        <w:sz w:val="16"/>
        <w:szCs w:val="16"/>
      </w:rPr>
      <w:t>13</w:t>
    </w:r>
    <w:r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FD2A" w14:textId="77777777" w:rsidR="00106773" w:rsidRPr="00471BB0" w:rsidRDefault="00106773"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86D7" w14:textId="70938F12" w:rsidR="00106773" w:rsidRPr="001F3104" w:rsidRDefault="00106773" w:rsidP="001F3104">
    <w:pPr>
      <w:pStyle w:val="Footer"/>
    </w:pPr>
    <w:r w:rsidRPr="006D4E00">
      <w:rPr>
        <w:sz w:val="16"/>
        <w:szCs w:val="16"/>
      </w:rPr>
      <w:t>Copyright © 20</w:t>
    </w:r>
    <w:r w:rsidR="004C5D77">
      <w:rPr>
        <w:sz w:val="16"/>
        <w:szCs w:val="16"/>
      </w:rPr>
      <w:t>2</w:t>
    </w:r>
    <w:r w:rsidR="00DE7930">
      <w:rPr>
        <w:sz w:val="16"/>
        <w:szCs w:val="16"/>
      </w:rPr>
      <w:t>3</w:t>
    </w:r>
    <w:r w:rsidRPr="006D4E00">
      <w:rPr>
        <w:sz w:val="16"/>
        <w:szCs w:val="16"/>
      </w:rPr>
      <w:t xml:space="preserve"> Abcam. All rights </w:t>
    </w:r>
    <w:proofErr w:type="gramStart"/>
    <w:r w:rsidRPr="006D4E00">
      <w:rPr>
        <w:sz w:val="16"/>
        <w:szCs w:val="16"/>
      </w:rPr>
      <w:t>reserved</w:t>
    </w:r>
    <w:proofErr w:type="gramEnd"/>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F812" w14:textId="77777777" w:rsidR="00106773" w:rsidRPr="00471BB0" w:rsidRDefault="00106773"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773B4" w14:textId="77777777" w:rsidR="00B32E71" w:rsidRDefault="00B32E71" w:rsidP="00DC1372">
      <w:r>
        <w:separator/>
      </w:r>
    </w:p>
    <w:p w14:paraId="07CE9F2E" w14:textId="77777777" w:rsidR="00B32E71" w:rsidRDefault="00B32E71"/>
    <w:p w14:paraId="1CBD5293" w14:textId="77777777" w:rsidR="00B32E71" w:rsidRDefault="00B32E71"/>
  </w:footnote>
  <w:footnote w:type="continuationSeparator" w:id="0">
    <w:p w14:paraId="22020423" w14:textId="77777777" w:rsidR="00B32E71" w:rsidRDefault="00B32E71" w:rsidP="00DC1372">
      <w:r>
        <w:continuationSeparator/>
      </w:r>
    </w:p>
    <w:p w14:paraId="42657C38" w14:textId="77777777" w:rsidR="00B32E71" w:rsidRDefault="00B32E71"/>
    <w:p w14:paraId="4A5B5173" w14:textId="77777777" w:rsidR="00B32E71" w:rsidRDefault="00B32E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DFA5" w14:textId="77777777" w:rsidR="00106773" w:rsidRDefault="00333326">
    <w:pPr>
      <w:pStyle w:val="Header"/>
    </w:pPr>
    <w:r>
      <w:rPr>
        <w:noProof/>
      </w:rPr>
      <w:pict w14:anchorId="4773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2DB3BF18" w14:textId="77777777" w:rsidR="00106773" w:rsidRDefault="001067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00F3" w14:textId="77777777" w:rsidR="00106773" w:rsidRDefault="00106773"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A0E14"/>
    <w:multiLevelType w:val="hybridMultilevel"/>
    <w:tmpl w:val="701C5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FE6851"/>
    <w:multiLevelType w:val="hybridMultilevel"/>
    <w:tmpl w:val="BC7EB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931FB"/>
    <w:multiLevelType w:val="hybridMultilevel"/>
    <w:tmpl w:val="4D947A8A"/>
    <w:lvl w:ilvl="0" w:tplc="108E914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92268"/>
    <w:multiLevelType w:val="hybridMultilevel"/>
    <w:tmpl w:val="61185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282255"/>
    <w:multiLevelType w:val="hybridMultilevel"/>
    <w:tmpl w:val="69681C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6B7557"/>
    <w:multiLevelType w:val="hybridMultilevel"/>
    <w:tmpl w:val="C4DCA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0E40190"/>
    <w:multiLevelType w:val="hybridMultilevel"/>
    <w:tmpl w:val="39BC3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D60BB1"/>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E427F9"/>
    <w:multiLevelType w:val="hybridMultilevel"/>
    <w:tmpl w:val="9064C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BDE254F"/>
    <w:multiLevelType w:val="hybridMultilevel"/>
    <w:tmpl w:val="69681C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002BB"/>
    <w:multiLevelType w:val="hybridMultilevel"/>
    <w:tmpl w:val="BDBA0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1B11ED"/>
    <w:multiLevelType w:val="hybridMultilevel"/>
    <w:tmpl w:val="BC7EB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4E58B9"/>
    <w:multiLevelType w:val="hybridMultilevel"/>
    <w:tmpl w:val="F58A38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5" w15:restartNumberingAfterBreak="0">
    <w:nsid w:val="49E21DDD"/>
    <w:multiLevelType w:val="hybridMultilevel"/>
    <w:tmpl w:val="BC7EB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286DB0"/>
    <w:multiLevelType w:val="hybridMultilevel"/>
    <w:tmpl w:val="73502612"/>
    <w:lvl w:ilvl="0" w:tplc="90D0219C">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15:restartNumberingAfterBreak="0">
    <w:nsid w:val="57983D44"/>
    <w:multiLevelType w:val="hybridMultilevel"/>
    <w:tmpl w:val="988824C4"/>
    <w:lvl w:ilvl="0" w:tplc="41C491C4">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8"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9" w15:restartNumberingAfterBreak="0">
    <w:nsid w:val="5BF22E85"/>
    <w:multiLevelType w:val="multilevel"/>
    <w:tmpl w:val="4FA02610"/>
    <w:lvl w:ilvl="0">
      <w:start w:val="1"/>
      <w:numFmt w:val="decimal"/>
      <w:pStyle w:val="1Abcamheading"/>
      <w:lvlText w:val="%1."/>
      <w:lvlJc w:val="left"/>
      <w:pPr>
        <w:ind w:left="927" w:hanging="360"/>
      </w:pPr>
      <w:rPr>
        <w:rFonts w:ascii="Century Gothic" w:hAnsi="Century Gothic" w:hint="default"/>
        <w:b/>
      </w:rPr>
    </w:lvl>
    <w:lvl w:ilvl="1">
      <w:start w:val="1"/>
      <w:numFmt w:val="decimal"/>
      <w:pStyle w:val="11Abcam"/>
      <w:lvlText w:val="%1.%2"/>
      <w:lvlJc w:val="left"/>
      <w:pPr>
        <w:tabs>
          <w:tab w:val="num" w:pos="6521"/>
        </w:tabs>
        <w:ind w:left="7088"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946"/>
        </w:tabs>
        <w:ind w:left="7342"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24524A"/>
    <w:multiLevelType w:val="hybridMultilevel"/>
    <w:tmpl w:val="6A3E3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2C4C44"/>
    <w:multiLevelType w:val="multilevel"/>
    <w:tmpl w:val="38568EE4"/>
    <w:lvl w:ilvl="0">
      <w:start w:val="1"/>
      <w:numFmt w:val="decimal"/>
      <w:lvlText w:val="%1."/>
      <w:lvlJc w:val="left"/>
      <w:pPr>
        <w:ind w:left="360" w:hanging="360"/>
      </w:pPr>
      <w:rPr>
        <w:rFonts w:ascii="Century Gothic" w:hAnsi="Century Gothic" w:hint="default"/>
        <w:b w:val="0"/>
      </w:rPr>
    </w:lvl>
    <w:lvl w:ilvl="1">
      <w:start w:val="1"/>
      <w:numFmt w:val="decimal"/>
      <w:lvlText w:val="%1.%2"/>
      <w:lvlJc w:val="left"/>
      <w:pPr>
        <w:tabs>
          <w:tab w:val="num" w:pos="6095"/>
        </w:tabs>
        <w:ind w:left="6662"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379"/>
        </w:tabs>
        <w:ind w:left="6775" w:hanging="680"/>
      </w:pPr>
      <w:rPr>
        <w:rFonts w:hint="default"/>
      </w:rPr>
    </w:lvl>
    <w:lvl w:ilvl="3">
      <w:start w:val="1"/>
      <w:numFmt w:val="decimal"/>
      <w:lvlRestart w:val="0"/>
      <w:lvlText w:val="%1.%2.%3.%4"/>
      <w:lvlJc w:val="left"/>
      <w:pPr>
        <w:ind w:left="227" w:hanging="794"/>
      </w:pPr>
      <w:rPr>
        <w:rFonts w:hint="default"/>
      </w:rPr>
    </w:lvl>
    <w:lvl w:ilvl="4">
      <w:start w:val="1"/>
      <w:numFmt w:val="decimal"/>
      <w:lvlText w:val="%1.%2.%3.%4.%5"/>
      <w:lvlJc w:val="left"/>
      <w:pPr>
        <w:ind w:left="513" w:hanging="1080"/>
      </w:pPr>
      <w:rPr>
        <w:rFonts w:hint="default"/>
      </w:rPr>
    </w:lvl>
    <w:lvl w:ilvl="5">
      <w:start w:val="1"/>
      <w:numFmt w:val="decimal"/>
      <w:lvlText w:val="%1.%2.%3.%4.%5.%6"/>
      <w:lvlJc w:val="left"/>
      <w:pPr>
        <w:ind w:left="513" w:hanging="1080"/>
      </w:pPr>
      <w:rPr>
        <w:rFonts w:hint="default"/>
      </w:rPr>
    </w:lvl>
    <w:lvl w:ilvl="6">
      <w:start w:val="1"/>
      <w:numFmt w:val="decimal"/>
      <w:lvlText w:val="%1.%2.%3.%4.%5.%6.%7"/>
      <w:lvlJc w:val="left"/>
      <w:pPr>
        <w:ind w:left="873" w:hanging="1440"/>
      </w:pPr>
      <w:rPr>
        <w:rFonts w:hint="default"/>
      </w:rPr>
    </w:lvl>
    <w:lvl w:ilvl="7">
      <w:start w:val="1"/>
      <w:numFmt w:val="decimal"/>
      <w:lvlText w:val="%1.%2.%3.%4.%5.%6.%7.%8"/>
      <w:lvlJc w:val="left"/>
      <w:pPr>
        <w:ind w:left="873" w:hanging="1440"/>
      </w:pPr>
      <w:rPr>
        <w:rFonts w:hint="default"/>
      </w:rPr>
    </w:lvl>
    <w:lvl w:ilvl="8">
      <w:start w:val="1"/>
      <w:numFmt w:val="decimal"/>
      <w:lvlText w:val="%1.%2.%3.%4.%5.%6.%7.%8.%9"/>
      <w:lvlJc w:val="left"/>
      <w:pPr>
        <w:ind w:left="1233" w:hanging="1800"/>
      </w:pPr>
      <w:rPr>
        <w:rFonts w:hint="default"/>
      </w:rPr>
    </w:lvl>
  </w:abstractNum>
  <w:abstractNum w:abstractNumId="32" w15:restartNumberingAfterBreak="0">
    <w:nsid w:val="792010B8"/>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5" w15:restartNumberingAfterBreak="0">
    <w:nsid w:val="7EFC4EE8"/>
    <w:multiLevelType w:val="hybridMultilevel"/>
    <w:tmpl w:val="BC7EB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746640">
    <w:abstractNumId w:val="1"/>
  </w:num>
  <w:num w:numId="2" w16cid:durableId="1797597978">
    <w:abstractNumId w:val="22"/>
  </w:num>
  <w:num w:numId="3" w16cid:durableId="237398475">
    <w:abstractNumId w:val="17"/>
  </w:num>
  <w:num w:numId="4" w16cid:durableId="640616184">
    <w:abstractNumId w:val="2"/>
  </w:num>
  <w:num w:numId="5" w16cid:durableId="340006884">
    <w:abstractNumId w:val="9"/>
  </w:num>
  <w:num w:numId="6" w16cid:durableId="495607281">
    <w:abstractNumId w:val="31"/>
  </w:num>
  <w:num w:numId="7" w16cid:durableId="1290550261">
    <w:abstractNumId w:val="34"/>
  </w:num>
  <w:num w:numId="8" w16cid:durableId="1921022670">
    <w:abstractNumId w:val="26"/>
  </w:num>
  <w:num w:numId="9" w16cid:durableId="626012066">
    <w:abstractNumId w:val="28"/>
  </w:num>
  <w:num w:numId="10" w16cid:durableId="294986288">
    <w:abstractNumId w:val="21"/>
  </w:num>
  <w:num w:numId="11" w16cid:durableId="2027830095">
    <w:abstractNumId w:val="24"/>
  </w:num>
  <w:num w:numId="12" w16cid:durableId="2007123404">
    <w:abstractNumId w:val="29"/>
  </w:num>
  <w:num w:numId="13" w16cid:durableId="522281516">
    <w:abstractNumId w:val="5"/>
  </w:num>
  <w:num w:numId="14" w16cid:durableId="1564220350">
    <w:abstractNumId w:val="4"/>
  </w:num>
  <w:num w:numId="15" w16cid:durableId="1356419206">
    <w:abstractNumId w:val="33"/>
  </w:num>
  <w:num w:numId="16" w16cid:durableId="484660895">
    <w:abstractNumId w:val="3"/>
  </w:num>
  <w:num w:numId="17" w16cid:durableId="1328510448">
    <w:abstractNumId w:val="0"/>
  </w:num>
  <w:num w:numId="18" w16cid:durableId="1599480212">
    <w:abstractNumId w:val="13"/>
  </w:num>
  <w:num w:numId="19" w16cid:durableId="1900164522">
    <w:abstractNumId w:val="8"/>
  </w:num>
  <w:num w:numId="20" w16cid:durableId="1205482106">
    <w:abstractNumId w:val="23"/>
  </w:num>
  <w:num w:numId="21" w16cid:durableId="1049065002">
    <w:abstractNumId w:val="15"/>
  </w:num>
  <w:num w:numId="22" w16cid:durableId="1605377093">
    <w:abstractNumId w:val="16"/>
  </w:num>
  <w:num w:numId="23" w16cid:durableId="876047172">
    <w:abstractNumId w:val="32"/>
  </w:num>
  <w:num w:numId="24" w16cid:durableId="1688869639">
    <w:abstractNumId w:val="10"/>
  </w:num>
  <w:num w:numId="25" w16cid:durableId="277953058">
    <w:abstractNumId w:val="18"/>
  </w:num>
  <w:num w:numId="26" w16cid:durableId="534272616">
    <w:abstractNumId w:val="12"/>
  </w:num>
  <w:num w:numId="27" w16cid:durableId="1284964395">
    <w:abstractNumId w:val="25"/>
  </w:num>
  <w:num w:numId="28" w16cid:durableId="325404862">
    <w:abstractNumId w:val="11"/>
  </w:num>
  <w:num w:numId="29" w16cid:durableId="2001618645">
    <w:abstractNumId w:val="19"/>
  </w:num>
  <w:num w:numId="30" w16cid:durableId="205606525">
    <w:abstractNumId w:val="6"/>
  </w:num>
  <w:num w:numId="31" w16cid:durableId="1030837172">
    <w:abstractNumId w:val="14"/>
  </w:num>
  <w:num w:numId="32" w16cid:durableId="707291751">
    <w:abstractNumId w:val="30"/>
  </w:num>
  <w:num w:numId="33" w16cid:durableId="1872065319">
    <w:abstractNumId w:val="7"/>
  </w:num>
  <w:num w:numId="34" w16cid:durableId="1743141393">
    <w:abstractNumId w:val="20"/>
  </w:num>
  <w:num w:numId="35" w16cid:durableId="814488169">
    <w:abstractNumId w:val="35"/>
  </w:num>
  <w:num w:numId="36" w16cid:durableId="40530452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557"/>
    <w:rsid w:val="00001864"/>
    <w:rsid w:val="00005CD3"/>
    <w:rsid w:val="00007205"/>
    <w:rsid w:val="00007D03"/>
    <w:rsid w:val="00013984"/>
    <w:rsid w:val="00013D0A"/>
    <w:rsid w:val="00014148"/>
    <w:rsid w:val="0003337F"/>
    <w:rsid w:val="00043E6C"/>
    <w:rsid w:val="000519C2"/>
    <w:rsid w:val="00052D70"/>
    <w:rsid w:val="00052E61"/>
    <w:rsid w:val="000656E0"/>
    <w:rsid w:val="000740F7"/>
    <w:rsid w:val="000808FC"/>
    <w:rsid w:val="0008778F"/>
    <w:rsid w:val="000A2DCC"/>
    <w:rsid w:val="000A5842"/>
    <w:rsid w:val="000B6103"/>
    <w:rsid w:val="000B75FC"/>
    <w:rsid w:val="000B7DFC"/>
    <w:rsid w:val="000C25E5"/>
    <w:rsid w:val="000C46A1"/>
    <w:rsid w:val="000D1BC7"/>
    <w:rsid w:val="000D5A13"/>
    <w:rsid w:val="000D606D"/>
    <w:rsid w:val="000D76E3"/>
    <w:rsid w:val="000E1B75"/>
    <w:rsid w:val="000E4FA8"/>
    <w:rsid w:val="000E5E2C"/>
    <w:rsid w:val="000F0173"/>
    <w:rsid w:val="000F0972"/>
    <w:rsid w:val="00103404"/>
    <w:rsid w:val="001045CA"/>
    <w:rsid w:val="00106773"/>
    <w:rsid w:val="001110FC"/>
    <w:rsid w:val="00115F96"/>
    <w:rsid w:val="00116EC6"/>
    <w:rsid w:val="00125BD9"/>
    <w:rsid w:val="001326E7"/>
    <w:rsid w:val="00134B2D"/>
    <w:rsid w:val="00135041"/>
    <w:rsid w:val="001352EB"/>
    <w:rsid w:val="001402DA"/>
    <w:rsid w:val="00146054"/>
    <w:rsid w:val="00147FFC"/>
    <w:rsid w:val="001560CB"/>
    <w:rsid w:val="001611C7"/>
    <w:rsid w:val="0017248F"/>
    <w:rsid w:val="00174FD5"/>
    <w:rsid w:val="00176175"/>
    <w:rsid w:val="0018707A"/>
    <w:rsid w:val="00187415"/>
    <w:rsid w:val="001879A9"/>
    <w:rsid w:val="00193ACE"/>
    <w:rsid w:val="001A329F"/>
    <w:rsid w:val="001A4A94"/>
    <w:rsid w:val="001A629A"/>
    <w:rsid w:val="001B583F"/>
    <w:rsid w:val="001C6CF5"/>
    <w:rsid w:val="001C6DDF"/>
    <w:rsid w:val="001C766D"/>
    <w:rsid w:val="001C766F"/>
    <w:rsid w:val="001E09D0"/>
    <w:rsid w:val="001E2DD7"/>
    <w:rsid w:val="001E6D23"/>
    <w:rsid w:val="001E6F52"/>
    <w:rsid w:val="001F3104"/>
    <w:rsid w:val="001F46D1"/>
    <w:rsid w:val="001F5484"/>
    <w:rsid w:val="00212491"/>
    <w:rsid w:val="00213F65"/>
    <w:rsid w:val="0021509B"/>
    <w:rsid w:val="00220404"/>
    <w:rsid w:val="00222423"/>
    <w:rsid w:val="002242A7"/>
    <w:rsid w:val="00227F9F"/>
    <w:rsid w:val="00231117"/>
    <w:rsid w:val="00237A51"/>
    <w:rsid w:val="00244627"/>
    <w:rsid w:val="002460FF"/>
    <w:rsid w:val="002505B4"/>
    <w:rsid w:val="00255E25"/>
    <w:rsid w:val="00255FE2"/>
    <w:rsid w:val="002603D1"/>
    <w:rsid w:val="00260B00"/>
    <w:rsid w:val="00262F3B"/>
    <w:rsid w:val="00264DBC"/>
    <w:rsid w:val="002743BD"/>
    <w:rsid w:val="00277074"/>
    <w:rsid w:val="002830C3"/>
    <w:rsid w:val="00284035"/>
    <w:rsid w:val="00284B94"/>
    <w:rsid w:val="002A066A"/>
    <w:rsid w:val="002A6C5E"/>
    <w:rsid w:val="002B0C23"/>
    <w:rsid w:val="002B48B4"/>
    <w:rsid w:val="002C041E"/>
    <w:rsid w:val="002C08B2"/>
    <w:rsid w:val="002C0A8F"/>
    <w:rsid w:val="002D18B4"/>
    <w:rsid w:val="002D28E9"/>
    <w:rsid w:val="002E19B0"/>
    <w:rsid w:val="002F0A89"/>
    <w:rsid w:val="00302BD8"/>
    <w:rsid w:val="0030365A"/>
    <w:rsid w:val="00307C98"/>
    <w:rsid w:val="00326E64"/>
    <w:rsid w:val="0032714C"/>
    <w:rsid w:val="00331AEA"/>
    <w:rsid w:val="00333326"/>
    <w:rsid w:val="003357EB"/>
    <w:rsid w:val="0033728C"/>
    <w:rsid w:val="00346E9A"/>
    <w:rsid w:val="003475EB"/>
    <w:rsid w:val="00354811"/>
    <w:rsid w:val="00365C65"/>
    <w:rsid w:val="003722E2"/>
    <w:rsid w:val="00380497"/>
    <w:rsid w:val="003810BB"/>
    <w:rsid w:val="003839FE"/>
    <w:rsid w:val="0038506A"/>
    <w:rsid w:val="00387DA1"/>
    <w:rsid w:val="00391C31"/>
    <w:rsid w:val="00397108"/>
    <w:rsid w:val="003975F2"/>
    <w:rsid w:val="00397F0D"/>
    <w:rsid w:val="003A11AA"/>
    <w:rsid w:val="003A3AFE"/>
    <w:rsid w:val="003B15FA"/>
    <w:rsid w:val="003B34E8"/>
    <w:rsid w:val="003B538C"/>
    <w:rsid w:val="003B67FB"/>
    <w:rsid w:val="003D0DEF"/>
    <w:rsid w:val="003D0E2B"/>
    <w:rsid w:val="003D7FB7"/>
    <w:rsid w:val="003E1BB6"/>
    <w:rsid w:val="003E2AFE"/>
    <w:rsid w:val="003E4ABF"/>
    <w:rsid w:val="003E69E9"/>
    <w:rsid w:val="003F0FF6"/>
    <w:rsid w:val="00405915"/>
    <w:rsid w:val="0040749E"/>
    <w:rsid w:val="004113F1"/>
    <w:rsid w:val="00412E6B"/>
    <w:rsid w:val="0041325B"/>
    <w:rsid w:val="00414435"/>
    <w:rsid w:val="00424432"/>
    <w:rsid w:val="0043186A"/>
    <w:rsid w:val="00434D22"/>
    <w:rsid w:val="00435C08"/>
    <w:rsid w:val="00440C9B"/>
    <w:rsid w:val="00441EC7"/>
    <w:rsid w:val="00445BED"/>
    <w:rsid w:val="00447981"/>
    <w:rsid w:val="0045027E"/>
    <w:rsid w:val="004658FB"/>
    <w:rsid w:val="00471BB0"/>
    <w:rsid w:val="00482EFC"/>
    <w:rsid w:val="00491AA0"/>
    <w:rsid w:val="004925B4"/>
    <w:rsid w:val="004A09CA"/>
    <w:rsid w:val="004A5286"/>
    <w:rsid w:val="004A73BA"/>
    <w:rsid w:val="004B7B21"/>
    <w:rsid w:val="004C5D77"/>
    <w:rsid w:val="004D56D8"/>
    <w:rsid w:val="004D79B3"/>
    <w:rsid w:val="004F2E85"/>
    <w:rsid w:val="004F5B1C"/>
    <w:rsid w:val="005011EB"/>
    <w:rsid w:val="005033B1"/>
    <w:rsid w:val="00504A2A"/>
    <w:rsid w:val="00504A8E"/>
    <w:rsid w:val="005137BA"/>
    <w:rsid w:val="0051552B"/>
    <w:rsid w:val="00533084"/>
    <w:rsid w:val="00534531"/>
    <w:rsid w:val="00536AE4"/>
    <w:rsid w:val="00550065"/>
    <w:rsid w:val="00550EE8"/>
    <w:rsid w:val="00563AB5"/>
    <w:rsid w:val="005801EF"/>
    <w:rsid w:val="00590BEC"/>
    <w:rsid w:val="00592267"/>
    <w:rsid w:val="00595684"/>
    <w:rsid w:val="00596403"/>
    <w:rsid w:val="005A3ECF"/>
    <w:rsid w:val="005A4704"/>
    <w:rsid w:val="005A4E4A"/>
    <w:rsid w:val="005B1CFA"/>
    <w:rsid w:val="005B2C7C"/>
    <w:rsid w:val="005B2FE0"/>
    <w:rsid w:val="005B4251"/>
    <w:rsid w:val="005B66A7"/>
    <w:rsid w:val="005B76AB"/>
    <w:rsid w:val="005D3F39"/>
    <w:rsid w:val="005D4A4E"/>
    <w:rsid w:val="005D5667"/>
    <w:rsid w:val="005D7734"/>
    <w:rsid w:val="005E07C9"/>
    <w:rsid w:val="005E3152"/>
    <w:rsid w:val="005F4732"/>
    <w:rsid w:val="00604435"/>
    <w:rsid w:val="00610A37"/>
    <w:rsid w:val="006119B8"/>
    <w:rsid w:val="00633C55"/>
    <w:rsid w:val="00633CE7"/>
    <w:rsid w:val="00644BFA"/>
    <w:rsid w:val="00645B4B"/>
    <w:rsid w:val="00645C98"/>
    <w:rsid w:val="0064794E"/>
    <w:rsid w:val="00647BFA"/>
    <w:rsid w:val="00651395"/>
    <w:rsid w:val="00651AD0"/>
    <w:rsid w:val="00655E93"/>
    <w:rsid w:val="006566C4"/>
    <w:rsid w:val="00661167"/>
    <w:rsid w:val="0066405D"/>
    <w:rsid w:val="00664487"/>
    <w:rsid w:val="00665893"/>
    <w:rsid w:val="006664D9"/>
    <w:rsid w:val="006675DB"/>
    <w:rsid w:val="00667F20"/>
    <w:rsid w:val="00673240"/>
    <w:rsid w:val="00676DCA"/>
    <w:rsid w:val="00680476"/>
    <w:rsid w:val="0068107B"/>
    <w:rsid w:val="006853BC"/>
    <w:rsid w:val="00694CBE"/>
    <w:rsid w:val="00697363"/>
    <w:rsid w:val="006A2B41"/>
    <w:rsid w:val="006B255F"/>
    <w:rsid w:val="006B2A3A"/>
    <w:rsid w:val="006B6677"/>
    <w:rsid w:val="006C1D16"/>
    <w:rsid w:val="006C3D15"/>
    <w:rsid w:val="006C58C2"/>
    <w:rsid w:val="006D0A3C"/>
    <w:rsid w:val="006D35A0"/>
    <w:rsid w:val="006D4E00"/>
    <w:rsid w:val="006E40FB"/>
    <w:rsid w:val="006F4FFF"/>
    <w:rsid w:val="00700BAF"/>
    <w:rsid w:val="007078E4"/>
    <w:rsid w:val="0073217A"/>
    <w:rsid w:val="007351F4"/>
    <w:rsid w:val="00737A70"/>
    <w:rsid w:val="00745D59"/>
    <w:rsid w:val="00746382"/>
    <w:rsid w:val="007539DD"/>
    <w:rsid w:val="007557C1"/>
    <w:rsid w:val="00755831"/>
    <w:rsid w:val="007613F3"/>
    <w:rsid w:val="00761710"/>
    <w:rsid w:val="007619E2"/>
    <w:rsid w:val="00764467"/>
    <w:rsid w:val="0079206C"/>
    <w:rsid w:val="007A60F2"/>
    <w:rsid w:val="007B1E09"/>
    <w:rsid w:val="007C6B23"/>
    <w:rsid w:val="007D48CD"/>
    <w:rsid w:val="007D5672"/>
    <w:rsid w:val="007D6657"/>
    <w:rsid w:val="007E5C0E"/>
    <w:rsid w:val="007E7A3B"/>
    <w:rsid w:val="007F072E"/>
    <w:rsid w:val="007F1A39"/>
    <w:rsid w:val="007F21D7"/>
    <w:rsid w:val="007F5EBC"/>
    <w:rsid w:val="00800999"/>
    <w:rsid w:val="00804703"/>
    <w:rsid w:val="00826A4D"/>
    <w:rsid w:val="00833AA8"/>
    <w:rsid w:val="00833EC4"/>
    <w:rsid w:val="00846338"/>
    <w:rsid w:val="00855612"/>
    <w:rsid w:val="0085567B"/>
    <w:rsid w:val="00864E92"/>
    <w:rsid w:val="00870932"/>
    <w:rsid w:val="008727A9"/>
    <w:rsid w:val="00873D8C"/>
    <w:rsid w:val="00874820"/>
    <w:rsid w:val="00875A74"/>
    <w:rsid w:val="0088153B"/>
    <w:rsid w:val="008839DC"/>
    <w:rsid w:val="0089310A"/>
    <w:rsid w:val="00897A52"/>
    <w:rsid w:val="008A2F6E"/>
    <w:rsid w:val="008A4473"/>
    <w:rsid w:val="008B2920"/>
    <w:rsid w:val="008B4D57"/>
    <w:rsid w:val="008C0DA4"/>
    <w:rsid w:val="008C5D5E"/>
    <w:rsid w:val="008D155B"/>
    <w:rsid w:val="008D2524"/>
    <w:rsid w:val="008D3BB0"/>
    <w:rsid w:val="008E0945"/>
    <w:rsid w:val="008E182C"/>
    <w:rsid w:val="008E420C"/>
    <w:rsid w:val="008E653F"/>
    <w:rsid w:val="008F6B0E"/>
    <w:rsid w:val="00901E8F"/>
    <w:rsid w:val="00904876"/>
    <w:rsid w:val="00920CA4"/>
    <w:rsid w:val="0092360B"/>
    <w:rsid w:val="00943077"/>
    <w:rsid w:val="00946FA4"/>
    <w:rsid w:val="00954FAB"/>
    <w:rsid w:val="009558F2"/>
    <w:rsid w:val="009564C7"/>
    <w:rsid w:val="009567D9"/>
    <w:rsid w:val="009567DC"/>
    <w:rsid w:val="0096742B"/>
    <w:rsid w:val="00967CE2"/>
    <w:rsid w:val="00971D31"/>
    <w:rsid w:val="009752DA"/>
    <w:rsid w:val="00977A58"/>
    <w:rsid w:val="00984B38"/>
    <w:rsid w:val="00993C34"/>
    <w:rsid w:val="009A3903"/>
    <w:rsid w:val="009B472D"/>
    <w:rsid w:val="009C6AB1"/>
    <w:rsid w:val="009D40A6"/>
    <w:rsid w:val="009D6099"/>
    <w:rsid w:val="00A13501"/>
    <w:rsid w:val="00A13E14"/>
    <w:rsid w:val="00A20163"/>
    <w:rsid w:val="00A217EC"/>
    <w:rsid w:val="00A218C1"/>
    <w:rsid w:val="00A31460"/>
    <w:rsid w:val="00A31492"/>
    <w:rsid w:val="00A34A88"/>
    <w:rsid w:val="00A407C6"/>
    <w:rsid w:val="00A40EA9"/>
    <w:rsid w:val="00A4487B"/>
    <w:rsid w:val="00A544A8"/>
    <w:rsid w:val="00A61EE0"/>
    <w:rsid w:val="00A65A64"/>
    <w:rsid w:val="00A75412"/>
    <w:rsid w:val="00A80899"/>
    <w:rsid w:val="00A808E3"/>
    <w:rsid w:val="00A810B0"/>
    <w:rsid w:val="00A81998"/>
    <w:rsid w:val="00A81E25"/>
    <w:rsid w:val="00A835F2"/>
    <w:rsid w:val="00A9248A"/>
    <w:rsid w:val="00A93842"/>
    <w:rsid w:val="00A94ADA"/>
    <w:rsid w:val="00A95987"/>
    <w:rsid w:val="00AA2058"/>
    <w:rsid w:val="00AB2B9A"/>
    <w:rsid w:val="00AC3F23"/>
    <w:rsid w:val="00AC590B"/>
    <w:rsid w:val="00AD24FA"/>
    <w:rsid w:val="00AD2A65"/>
    <w:rsid w:val="00AD5456"/>
    <w:rsid w:val="00AE3B29"/>
    <w:rsid w:val="00AF4786"/>
    <w:rsid w:val="00AF51C0"/>
    <w:rsid w:val="00AF532C"/>
    <w:rsid w:val="00AF697C"/>
    <w:rsid w:val="00B02B56"/>
    <w:rsid w:val="00B13CC8"/>
    <w:rsid w:val="00B32E71"/>
    <w:rsid w:val="00B44F2B"/>
    <w:rsid w:val="00B47D3A"/>
    <w:rsid w:val="00B553F7"/>
    <w:rsid w:val="00B6093A"/>
    <w:rsid w:val="00B65B1D"/>
    <w:rsid w:val="00B73032"/>
    <w:rsid w:val="00B74805"/>
    <w:rsid w:val="00B8255E"/>
    <w:rsid w:val="00B8423B"/>
    <w:rsid w:val="00B86BEB"/>
    <w:rsid w:val="00B86D77"/>
    <w:rsid w:val="00B91D69"/>
    <w:rsid w:val="00B9305B"/>
    <w:rsid w:val="00BA030F"/>
    <w:rsid w:val="00BA155C"/>
    <w:rsid w:val="00BA4F42"/>
    <w:rsid w:val="00BA77F0"/>
    <w:rsid w:val="00BB0017"/>
    <w:rsid w:val="00BB488D"/>
    <w:rsid w:val="00BB5447"/>
    <w:rsid w:val="00BD0364"/>
    <w:rsid w:val="00BD261A"/>
    <w:rsid w:val="00BD36DA"/>
    <w:rsid w:val="00BD3B8B"/>
    <w:rsid w:val="00BF4659"/>
    <w:rsid w:val="00BF5975"/>
    <w:rsid w:val="00BF65CB"/>
    <w:rsid w:val="00C01E6B"/>
    <w:rsid w:val="00C11A7F"/>
    <w:rsid w:val="00C12998"/>
    <w:rsid w:val="00C12EBE"/>
    <w:rsid w:val="00C15B54"/>
    <w:rsid w:val="00C2383C"/>
    <w:rsid w:val="00C25063"/>
    <w:rsid w:val="00C25A7F"/>
    <w:rsid w:val="00C32ECF"/>
    <w:rsid w:val="00C36F74"/>
    <w:rsid w:val="00C52378"/>
    <w:rsid w:val="00C6349E"/>
    <w:rsid w:val="00C708D5"/>
    <w:rsid w:val="00C7670C"/>
    <w:rsid w:val="00C76D97"/>
    <w:rsid w:val="00C778CE"/>
    <w:rsid w:val="00C82B34"/>
    <w:rsid w:val="00C82C3F"/>
    <w:rsid w:val="00C867B5"/>
    <w:rsid w:val="00C86BB0"/>
    <w:rsid w:val="00C95950"/>
    <w:rsid w:val="00C966CF"/>
    <w:rsid w:val="00C978F4"/>
    <w:rsid w:val="00CA633F"/>
    <w:rsid w:val="00CB1835"/>
    <w:rsid w:val="00CB5776"/>
    <w:rsid w:val="00CD4AB4"/>
    <w:rsid w:val="00CE7217"/>
    <w:rsid w:val="00CF6941"/>
    <w:rsid w:val="00D20822"/>
    <w:rsid w:val="00D22A4D"/>
    <w:rsid w:val="00D231CF"/>
    <w:rsid w:val="00D332B4"/>
    <w:rsid w:val="00D36450"/>
    <w:rsid w:val="00D4244D"/>
    <w:rsid w:val="00D44835"/>
    <w:rsid w:val="00D50132"/>
    <w:rsid w:val="00D530F3"/>
    <w:rsid w:val="00D62608"/>
    <w:rsid w:val="00D6414F"/>
    <w:rsid w:val="00D65517"/>
    <w:rsid w:val="00D67976"/>
    <w:rsid w:val="00D72864"/>
    <w:rsid w:val="00D751DA"/>
    <w:rsid w:val="00D77C0B"/>
    <w:rsid w:val="00D90E72"/>
    <w:rsid w:val="00D91FA7"/>
    <w:rsid w:val="00D93865"/>
    <w:rsid w:val="00DA316D"/>
    <w:rsid w:val="00DB39E6"/>
    <w:rsid w:val="00DB581B"/>
    <w:rsid w:val="00DC1372"/>
    <w:rsid w:val="00DC1BE4"/>
    <w:rsid w:val="00DD2A5B"/>
    <w:rsid w:val="00DD50AC"/>
    <w:rsid w:val="00DE31ED"/>
    <w:rsid w:val="00DE7930"/>
    <w:rsid w:val="00DF2200"/>
    <w:rsid w:val="00DF5155"/>
    <w:rsid w:val="00DF648D"/>
    <w:rsid w:val="00E043D5"/>
    <w:rsid w:val="00E05441"/>
    <w:rsid w:val="00E1415E"/>
    <w:rsid w:val="00E212C7"/>
    <w:rsid w:val="00E23871"/>
    <w:rsid w:val="00E23F59"/>
    <w:rsid w:val="00E26CC5"/>
    <w:rsid w:val="00E27D3F"/>
    <w:rsid w:val="00E304A3"/>
    <w:rsid w:val="00E328B4"/>
    <w:rsid w:val="00E351A1"/>
    <w:rsid w:val="00E44588"/>
    <w:rsid w:val="00E44FA4"/>
    <w:rsid w:val="00E50DB1"/>
    <w:rsid w:val="00E50E27"/>
    <w:rsid w:val="00E56AC7"/>
    <w:rsid w:val="00E625BC"/>
    <w:rsid w:val="00E625F4"/>
    <w:rsid w:val="00E7323C"/>
    <w:rsid w:val="00E75A3C"/>
    <w:rsid w:val="00E80001"/>
    <w:rsid w:val="00E8117D"/>
    <w:rsid w:val="00E83618"/>
    <w:rsid w:val="00E90961"/>
    <w:rsid w:val="00E90BE0"/>
    <w:rsid w:val="00E94675"/>
    <w:rsid w:val="00EA3B13"/>
    <w:rsid w:val="00EA6B93"/>
    <w:rsid w:val="00EA7A2A"/>
    <w:rsid w:val="00EB1069"/>
    <w:rsid w:val="00EB29BD"/>
    <w:rsid w:val="00EB6596"/>
    <w:rsid w:val="00EB6CB8"/>
    <w:rsid w:val="00EC5878"/>
    <w:rsid w:val="00ED21B9"/>
    <w:rsid w:val="00EE3AF6"/>
    <w:rsid w:val="00EE3D9C"/>
    <w:rsid w:val="00EE740B"/>
    <w:rsid w:val="00EE7AF5"/>
    <w:rsid w:val="00EF07C7"/>
    <w:rsid w:val="00EF59D5"/>
    <w:rsid w:val="00F10083"/>
    <w:rsid w:val="00F107B1"/>
    <w:rsid w:val="00F1129A"/>
    <w:rsid w:val="00F132CD"/>
    <w:rsid w:val="00F2362D"/>
    <w:rsid w:val="00F23F25"/>
    <w:rsid w:val="00F246CE"/>
    <w:rsid w:val="00F248A2"/>
    <w:rsid w:val="00F25981"/>
    <w:rsid w:val="00F45E53"/>
    <w:rsid w:val="00F47BCF"/>
    <w:rsid w:val="00F52D8E"/>
    <w:rsid w:val="00F54055"/>
    <w:rsid w:val="00F57CCB"/>
    <w:rsid w:val="00F6044E"/>
    <w:rsid w:val="00F66B2E"/>
    <w:rsid w:val="00F67C5E"/>
    <w:rsid w:val="00F74E68"/>
    <w:rsid w:val="00F75DA0"/>
    <w:rsid w:val="00F8500B"/>
    <w:rsid w:val="00F963B9"/>
    <w:rsid w:val="00FA0E17"/>
    <w:rsid w:val="00FA7490"/>
    <w:rsid w:val="00FC3AC9"/>
    <w:rsid w:val="00FD0ED8"/>
    <w:rsid w:val="00FD30C7"/>
    <w:rsid w:val="00FD3511"/>
    <w:rsid w:val="00FD382B"/>
    <w:rsid w:val="00FD53DA"/>
    <w:rsid w:val="00FE476C"/>
    <w:rsid w:val="00FE4E16"/>
    <w:rsid w:val="00FE64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4D57F1"/>
  <w15:docId w15:val="{3F2303B1-B677-41F1-86BC-7B0FC733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595684"/>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15"/>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2"/>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2"/>
      </w:numPr>
      <w:tabs>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2"/>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F1129A"/>
    <w:pPr>
      <w:numPr>
        <w:numId w:val="13"/>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14"/>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2"/>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6"/>
      </w:numPr>
      <w:spacing w:before="60" w:after="60"/>
    </w:pPr>
    <w:rPr>
      <w:b/>
      <w:bCs/>
    </w:rPr>
  </w:style>
  <w:style w:type="paragraph" w:styleId="ListBullet">
    <w:name w:val="List Bullet"/>
    <w:basedOn w:val="Normal"/>
    <w:semiHidden/>
    <w:unhideWhenUsed/>
    <w:rsid w:val="001E2DD7"/>
    <w:pPr>
      <w:numPr>
        <w:numId w:val="17"/>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F1129A"/>
    <w:rPr>
      <w:rFonts w:ascii="Century Gothic" w:hAnsi="Century Gothic"/>
      <w:szCs w:val="24"/>
    </w:rPr>
  </w:style>
  <w:style w:type="paragraph" w:styleId="Revision">
    <w:name w:val="Revision"/>
    <w:hidden/>
    <w:semiHidden/>
    <w:rsid w:val="00262F3B"/>
    <w:rPr>
      <w:rFonts w:ascii="Century Gothic" w:hAnsi="Century Gothic"/>
      <w:szCs w:val="24"/>
    </w:rPr>
  </w:style>
  <w:style w:type="character" w:styleId="Mention">
    <w:name w:val="Mention"/>
    <w:basedOn w:val="DefaultParagraphFont"/>
    <w:uiPriority w:val="99"/>
    <w:semiHidden/>
    <w:unhideWhenUsed/>
    <w:rsid w:val="00397F0D"/>
    <w:rPr>
      <w:color w:val="2B579A"/>
      <w:shd w:val="clear" w:color="auto" w:fill="E6E6E6"/>
    </w:rPr>
  </w:style>
  <w:style w:type="paragraph" w:styleId="NormalWeb">
    <w:name w:val="Normal (Web)"/>
    <w:basedOn w:val="Normal"/>
    <w:uiPriority w:val="99"/>
    <w:unhideWhenUsed/>
    <w:rsid w:val="004C5D77"/>
    <w:pPr>
      <w:spacing w:before="100" w:beforeAutospacing="1" w:after="100" w:afterAutospacing="1"/>
    </w:pPr>
    <w:rPr>
      <w:rFonts w:ascii="Times New Roman" w:eastAsia="Times New Roman" w:hAnsi="Times New Roman"/>
      <w:sz w:val="24"/>
      <w:lang w:val="en-GB" w:eastAsia="en-GB"/>
    </w:rPr>
  </w:style>
  <w:style w:type="character" w:styleId="Emphasis">
    <w:name w:val="Emphasis"/>
    <w:basedOn w:val="DefaultParagraphFont"/>
    <w:uiPriority w:val="20"/>
    <w:qFormat/>
    <w:rsid w:val="001A32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30762">
      <w:bodyDiv w:val="1"/>
      <w:marLeft w:val="0"/>
      <w:marRight w:val="0"/>
      <w:marTop w:val="0"/>
      <w:marBottom w:val="0"/>
      <w:divBdr>
        <w:top w:val="none" w:sz="0" w:space="0" w:color="auto"/>
        <w:left w:val="none" w:sz="0" w:space="0" w:color="auto"/>
        <w:bottom w:val="none" w:sz="0" w:space="0" w:color="auto"/>
        <w:right w:val="none" w:sz="0" w:space="0" w:color="auto"/>
      </w:divBdr>
      <w:divsChild>
        <w:div w:id="621614570">
          <w:marLeft w:val="0"/>
          <w:marRight w:val="0"/>
          <w:marTop w:val="0"/>
          <w:marBottom w:val="0"/>
          <w:divBdr>
            <w:top w:val="none" w:sz="0" w:space="0" w:color="auto"/>
            <w:left w:val="none" w:sz="0" w:space="0" w:color="auto"/>
            <w:bottom w:val="none" w:sz="0" w:space="0" w:color="auto"/>
            <w:right w:val="none" w:sz="0" w:space="0" w:color="auto"/>
          </w:divBdr>
          <w:divsChild>
            <w:div w:id="1438715792">
              <w:marLeft w:val="0"/>
              <w:marRight w:val="0"/>
              <w:marTop w:val="0"/>
              <w:marBottom w:val="0"/>
              <w:divBdr>
                <w:top w:val="none" w:sz="0" w:space="0" w:color="auto"/>
                <w:left w:val="none" w:sz="0" w:space="0" w:color="auto"/>
                <w:bottom w:val="none" w:sz="0" w:space="0" w:color="auto"/>
                <w:right w:val="none" w:sz="0" w:space="0" w:color="auto"/>
              </w:divBdr>
              <w:divsChild>
                <w:div w:id="1585147253">
                  <w:marLeft w:val="0"/>
                  <w:marRight w:val="0"/>
                  <w:marTop w:val="0"/>
                  <w:marBottom w:val="0"/>
                  <w:divBdr>
                    <w:top w:val="none" w:sz="0" w:space="0" w:color="auto"/>
                    <w:left w:val="none" w:sz="0" w:space="0" w:color="auto"/>
                    <w:bottom w:val="single" w:sz="6" w:space="0" w:color="B1CFE9"/>
                    <w:right w:val="none" w:sz="0" w:space="0" w:color="auto"/>
                  </w:divBdr>
                  <w:divsChild>
                    <w:div w:id="1654338192">
                      <w:marLeft w:val="0"/>
                      <w:marRight w:val="0"/>
                      <w:marTop w:val="0"/>
                      <w:marBottom w:val="0"/>
                      <w:divBdr>
                        <w:top w:val="none" w:sz="0" w:space="0" w:color="auto"/>
                        <w:left w:val="none" w:sz="0" w:space="0" w:color="auto"/>
                        <w:bottom w:val="none" w:sz="0" w:space="0" w:color="auto"/>
                        <w:right w:val="none" w:sz="0" w:space="0" w:color="auto"/>
                      </w:divBdr>
                      <w:divsChild>
                        <w:div w:id="1036932148">
                          <w:marLeft w:val="0"/>
                          <w:marRight w:val="0"/>
                          <w:marTop w:val="0"/>
                          <w:marBottom w:val="150"/>
                          <w:divBdr>
                            <w:top w:val="single" w:sz="6" w:space="0" w:color="A1BFD9"/>
                            <w:left w:val="single" w:sz="6" w:space="0" w:color="A1BFD9"/>
                            <w:bottom w:val="single" w:sz="6" w:space="0" w:color="A1BFD9"/>
                            <w:right w:val="single" w:sz="6" w:space="0" w:color="A1BFD9"/>
                          </w:divBdr>
                          <w:divsChild>
                            <w:div w:id="305626960">
                              <w:marLeft w:val="0"/>
                              <w:marRight w:val="0"/>
                              <w:marTop w:val="0"/>
                              <w:marBottom w:val="0"/>
                              <w:divBdr>
                                <w:top w:val="none" w:sz="0" w:space="0" w:color="auto"/>
                                <w:left w:val="none" w:sz="0" w:space="0" w:color="auto"/>
                                <w:bottom w:val="none" w:sz="0" w:space="0" w:color="auto"/>
                                <w:right w:val="none" w:sz="0" w:space="0" w:color="auto"/>
                              </w:divBdr>
                              <w:divsChild>
                                <w:div w:id="2052685219">
                                  <w:marLeft w:val="0"/>
                                  <w:marRight w:val="0"/>
                                  <w:marTop w:val="0"/>
                                  <w:marBottom w:val="0"/>
                                  <w:divBdr>
                                    <w:top w:val="none" w:sz="0" w:space="0" w:color="auto"/>
                                    <w:left w:val="none" w:sz="0" w:space="0" w:color="auto"/>
                                    <w:bottom w:val="none" w:sz="0" w:space="0" w:color="auto"/>
                                    <w:right w:val="none" w:sz="0" w:space="0" w:color="auto"/>
                                  </w:divBdr>
                                  <w:divsChild>
                                    <w:div w:id="1142884766">
                                      <w:marLeft w:val="0"/>
                                      <w:marRight w:val="0"/>
                                      <w:marTop w:val="0"/>
                                      <w:marBottom w:val="0"/>
                                      <w:divBdr>
                                        <w:top w:val="none" w:sz="0" w:space="0" w:color="auto"/>
                                        <w:left w:val="none" w:sz="0" w:space="0" w:color="auto"/>
                                        <w:bottom w:val="none" w:sz="0" w:space="0" w:color="auto"/>
                                        <w:right w:val="none" w:sz="0" w:space="0" w:color="auto"/>
                                      </w:divBdr>
                                      <w:divsChild>
                                        <w:div w:id="1253510253">
                                          <w:marLeft w:val="0"/>
                                          <w:marRight w:val="0"/>
                                          <w:marTop w:val="0"/>
                                          <w:marBottom w:val="0"/>
                                          <w:divBdr>
                                            <w:top w:val="none" w:sz="0" w:space="0" w:color="auto"/>
                                            <w:left w:val="none" w:sz="0" w:space="0" w:color="auto"/>
                                            <w:bottom w:val="none" w:sz="0" w:space="0" w:color="auto"/>
                                            <w:right w:val="none" w:sz="0" w:space="0" w:color="auto"/>
                                          </w:divBdr>
                                          <w:divsChild>
                                            <w:div w:id="1127355449">
                                              <w:marLeft w:val="0"/>
                                              <w:marRight w:val="0"/>
                                              <w:marTop w:val="0"/>
                                              <w:marBottom w:val="0"/>
                                              <w:divBdr>
                                                <w:top w:val="none" w:sz="0" w:space="0" w:color="auto"/>
                                                <w:left w:val="none" w:sz="0" w:space="0" w:color="auto"/>
                                                <w:bottom w:val="none" w:sz="0" w:space="0" w:color="auto"/>
                                                <w:right w:val="none" w:sz="0" w:space="0" w:color="auto"/>
                                              </w:divBdr>
                                              <w:divsChild>
                                                <w:div w:id="58792790">
                                                  <w:marLeft w:val="0"/>
                                                  <w:marRight w:val="0"/>
                                                  <w:marTop w:val="0"/>
                                                  <w:marBottom w:val="0"/>
                                                  <w:divBdr>
                                                    <w:top w:val="none" w:sz="0" w:space="0" w:color="auto"/>
                                                    <w:left w:val="none" w:sz="0" w:space="0" w:color="auto"/>
                                                    <w:bottom w:val="none" w:sz="0" w:space="0" w:color="auto"/>
                                                    <w:right w:val="none" w:sz="0" w:space="0" w:color="auto"/>
                                                  </w:divBdr>
                                                  <w:divsChild>
                                                    <w:div w:id="1334454512">
                                                      <w:marLeft w:val="0"/>
                                                      <w:marRight w:val="0"/>
                                                      <w:marTop w:val="0"/>
                                                      <w:marBottom w:val="0"/>
                                                      <w:divBdr>
                                                        <w:top w:val="none" w:sz="0" w:space="0" w:color="auto"/>
                                                        <w:left w:val="none" w:sz="0" w:space="0" w:color="auto"/>
                                                        <w:bottom w:val="none" w:sz="0" w:space="0" w:color="auto"/>
                                                        <w:right w:val="none" w:sz="0" w:space="0" w:color="auto"/>
                                                      </w:divBdr>
                                                      <w:divsChild>
                                                        <w:div w:id="501506610">
                                                          <w:marLeft w:val="0"/>
                                                          <w:marRight w:val="0"/>
                                                          <w:marTop w:val="0"/>
                                                          <w:marBottom w:val="0"/>
                                                          <w:divBdr>
                                                            <w:top w:val="none" w:sz="0" w:space="0" w:color="auto"/>
                                                            <w:left w:val="none" w:sz="0" w:space="0" w:color="auto"/>
                                                            <w:bottom w:val="none" w:sz="0" w:space="0" w:color="auto"/>
                                                            <w:right w:val="none" w:sz="0" w:space="0" w:color="auto"/>
                                                          </w:divBdr>
                                                          <w:divsChild>
                                                            <w:div w:id="2000423911">
                                                              <w:marLeft w:val="0"/>
                                                              <w:marRight w:val="0"/>
                                                              <w:marTop w:val="0"/>
                                                              <w:marBottom w:val="0"/>
                                                              <w:divBdr>
                                                                <w:top w:val="single" w:sz="6" w:space="2" w:color="AAAAAA"/>
                                                                <w:left w:val="single" w:sz="6" w:space="2" w:color="AAAAAA"/>
                                                                <w:bottom w:val="single" w:sz="6" w:space="2" w:color="AAAAAA"/>
                                                                <w:right w:val="single" w:sz="6" w:space="2" w:color="AAAAAA"/>
                                                              </w:divBdr>
                                                            </w:div>
                                                          </w:divsChild>
                                                        </w:div>
                                                      </w:divsChild>
                                                    </w:div>
                                                  </w:divsChild>
                                                </w:div>
                                              </w:divsChild>
                                            </w:div>
                                          </w:divsChild>
                                        </w:div>
                                      </w:divsChild>
                                    </w:div>
                                  </w:divsChild>
                                </w:div>
                              </w:divsChild>
                            </w:div>
                          </w:divsChild>
                        </w:div>
                      </w:divsChild>
                    </w:div>
                  </w:divsChild>
                </w:div>
              </w:divsChild>
            </w:div>
          </w:divsChild>
        </w:div>
      </w:divsChild>
    </w:div>
    <w:div w:id="1234972571">
      <w:bodyDiv w:val="1"/>
      <w:marLeft w:val="0"/>
      <w:marRight w:val="0"/>
      <w:marTop w:val="0"/>
      <w:marBottom w:val="0"/>
      <w:divBdr>
        <w:top w:val="none" w:sz="0" w:space="0" w:color="auto"/>
        <w:left w:val="none" w:sz="0" w:space="0" w:color="auto"/>
        <w:bottom w:val="none" w:sz="0" w:space="0" w:color="auto"/>
        <w:right w:val="none" w:sz="0" w:space="0" w:color="auto"/>
      </w:divBdr>
    </w:div>
    <w:div w:id="1483959535">
      <w:bodyDiv w:val="1"/>
      <w:marLeft w:val="0"/>
      <w:marRight w:val="0"/>
      <w:marTop w:val="0"/>
      <w:marBottom w:val="0"/>
      <w:divBdr>
        <w:top w:val="none" w:sz="0" w:space="0" w:color="auto"/>
        <w:left w:val="none" w:sz="0" w:space="0" w:color="auto"/>
        <w:bottom w:val="none" w:sz="0" w:space="0" w:color="auto"/>
        <w:right w:val="none" w:sz="0" w:space="0" w:color="auto"/>
      </w:divBdr>
    </w:div>
    <w:div w:id="1548184381">
      <w:bodyDiv w:val="1"/>
      <w:marLeft w:val="0"/>
      <w:marRight w:val="0"/>
      <w:marTop w:val="0"/>
      <w:marBottom w:val="0"/>
      <w:divBdr>
        <w:top w:val="none" w:sz="0" w:space="0" w:color="auto"/>
        <w:left w:val="none" w:sz="0" w:space="0" w:color="auto"/>
        <w:bottom w:val="none" w:sz="0" w:space="0" w:color="auto"/>
        <w:right w:val="none" w:sz="0" w:space="0" w:color="auto"/>
      </w:divBdr>
    </w:div>
    <w:div w:id="1669286985">
      <w:bodyDiv w:val="1"/>
      <w:marLeft w:val="0"/>
      <w:marRight w:val="0"/>
      <w:marTop w:val="0"/>
      <w:marBottom w:val="0"/>
      <w:divBdr>
        <w:top w:val="none" w:sz="0" w:space="0" w:color="auto"/>
        <w:left w:val="none" w:sz="0" w:space="0" w:color="auto"/>
        <w:bottom w:val="none" w:sz="0" w:space="0" w:color="auto"/>
        <w:right w:val="none" w:sz="0" w:space="0" w:color="auto"/>
      </w:divBdr>
      <w:divsChild>
        <w:div w:id="1563177496">
          <w:marLeft w:val="0"/>
          <w:marRight w:val="0"/>
          <w:marTop w:val="0"/>
          <w:marBottom w:val="0"/>
          <w:divBdr>
            <w:top w:val="none" w:sz="0" w:space="0" w:color="auto"/>
            <w:left w:val="none" w:sz="0" w:space="0" w:color="auto"/>
            <w:bottom w:val="none" w:sz="0" w:space="0" w:color="auto"/>
            <w:right w:val="none" w:sz="0" w:space="0" w:color="auto"/>
          </w:divBdr>
          <w:divsChild>
            <w:div w:id="161430608">
              <w:marLeft w:val="0"/>
              <w:marRight w:val="0"/>
              <w:marTop w:val="0"/>
              <w:marBottom w:val="0"/>
              <w:divBdr>
                <w:top w:val="none" w:sz="0" w:space="0" w:color="auto"/>
                <w:left w:val="none" w:sz="0" w:space="0" w:color="auto"/>
                <w:bottom w:val="none" w:sz="0" w:space="0" w:color="auto"/>
                <w:right w:val="none" w:sz="0" w:space="0" w:color="auto"/>
              </w:divBdr>
              <w:divsChild>
                <w:div w:id="85419035">
                  <w:marLeft w:val="0"/>
                  <w:marRight w:val="0"/>
                  <w:marTop w:val="0"/>
                  <w:marBottom w:val="0"/>
                  <w:divBdr>
                    <w:top w:val="none" w:sz="0" w:space="0" w:color="auto"/>
                    <w:left w:val="none" w:sz="0" w:space="0" w:color="auto"/>
                    <w:bottom w:val="single" w:sz="6" w:space="0" w:color="B1CFE9"/>
                    <w:right w:val="none" w:sz="0" w:space="0" w:color="auto"/>
                  </w:divBdr>
                  <w:divsChild>
                    <w:div w:id="1185290091">
                      <w:marLeft w:val="0"/>
                      <w:marRight w:val="0"/>
                      <w:marTop w:val="0"/>
                      <w:marBottom w:val="0"/>
                      <w:divBdr>
                        <w:top w:val="none" w:sz="0" w:space="0" w:color="auto"/>
                        <w:left w:val="none" w:sz="0" w:space="0" w:color="auto"/>
                        <w:bottom w:val="none" w:sz="0" w:space="0" w:color="auto"/>
                        <w:right w:val="none" w:sz="0" w:space="0" w:color="auto"/>
                      </w:divBdr>
                      <w:divsChild>
                        <w:div w:id="819923740">
                          <w:marLeft w:val="0"/>
                          <w:marRight w:val="0"/>
                          <w:marTop w:val="0"/>
                          <w:marBottom w:val="150"/>
                          <w:divBdr>
                            <w:top w:val="single" w:sz="6" w:space="0" w:color="A1BFD9"/>
                            <w:left w:val="single" w:sz="6" w:space="0" w:color="A1BFD9"/>
                            <w:bottom w:val="single" w:sz="6" w:space="0" w:color="A1BFD9"/>
                            <w:right w:val="single" w:sz="6" w:space="0" w:color="A1BFD9"/>
                          </w:divBdr>
                          <w:divsChild>
                            <w:div w:id="868879615">
                              <w:marLeft w:val="0"/>
                              <w:marRight w:val="0"/>
                              <w:marTop w:val="0"/>
                              <w:marBottom w:val="0"/>
                              <w:divBdr>
                                <w:top w:val="none" w:sz="0" w:space="0" w:color="auto"/>
                                <w:left w:val="none" w:sz="0" w:space="0" w:color="auto"/>
                                <w:bottom w:val="none" w:sz="0" w:space="0" w:color="auto"/>
                                <w:right w:val="none" w:sz="0" w:space="0" w:color="auto"/>
                              </w:divBdr>
                              <w:divsChild>
                                <w:div w:id="55668375">
                                  <w:marLeft w:val="0"/>
                                  <w:marRight w:val="0"/>
                                  <w:marTop w:val="0"/>
                                  <w:marBottom w:val="0"/>
                                  <w:divBdr>
                                    <w:top w:val="none" w:sz="0" w:space="0" w:color="auto"/>
                                    <w:left w:val="none" w:sz="0" w:space="0" w:color="auto"/>
                                    <w:bottom w:val="none" w:sz="0" w:space="0" w:color="auto"/>
                                    <w:right w:val="none" w:sz="0" w:space="0" w:color="auto"/>
                                  </w:divBdr>
                                  <w:divsChild>
                                    <w:div w:id="643316273">
                                      <w:marLeft w:val="0"/>
                                      <w:marRight w:val="0"/>
                                      <w:marTop w:val="0"/>
                                      <w:marBottom w:val="0"/>
                                      <w:divBdr>
                                        <w:top w:val="none" w:sz="0" w:space="0" w:color="auto"/>
                                        <w:left w:val="none" w:sz="0" w:space="0" w:color="auto"/>
                                        <w:bottom w:val="none" w:sz="0" w:space="0" w:color="auto"/>
                                        <w:right w:val="none" w:sz="0" w:space="0" w:color="auto"/>
                                      </w:divBdr>
                                      <w:divsChild>
                                        <w:div w:id="1996296281">
                                          <w:marLeft w:val="0"/>
                                          <w:marRight w:val="0"/>
                                          <w:marTop w:val="0"/>
                                          <w:marBottom w:val="0"/>
                                          <w:divBdr>
                                            <w:top w:val="none" w:sz="0" w:space="0" w:color="auto"/>
                                            <w:left w:val="none" w:sz="0" w:space="0" w:color="auto"/>
                                            <w:bottom w:val="none" w:sz="0" w:space="0" w:color="auto"/>
                                            <w:right w:val="none" w:sz="0" w:space="0" w:color="auto"/>
                                          </w:divBdr>
                                          <w:divsChild>
                                            <w:div w:id="698046733">
                                              <w:marLeft w:val="0"/>
                                              <w:marRight w:val="0"/>
                                              <w:marTop w:val="0"/>
                                              <w:marBottom w:val="0"/>
                                              <w:divBdr>
                                                <w:top w:val="none" w:sz="0" w:space="0" w:color="auto"/>
                                                <w:left w:val="none" w:sz="0" w:space="0" w:color="auto"/>
                                                <w:bottom w:val="none" w:sz="0" w:space="0" w:color="auto"/>
                                                <w:right w:val="none" w:sz="0" w:space="0" w:color="auto"/>
                                              </w:divBdr>
                                              <w:divsChild>
                                                <w:div w:id="833762882">
                                                  <w:marLeft w:val="0"/>
                                                  <w:marRight w:val="0"/>
                                                  <w:marTop w:val="0"/>
                                                  <w:marBottom w:val="0"/>
                                                  <w:divBdr>
                                                    <w:top w:val="none" w:sz="0" w:space="0" w:color="auto"/>
                                                    <w:left w:val="none" w:sz="0" w:space="0" w:color="auto"/>
                                                    <w:bottom w:val="none" w:sz="0" w:space="0" w:color="auto"/>
                                                    <w:right w:val="none" w:sz="0" w:space="0" w:color="auto"/>
                                                  </w:divBdr>
                                                  <w:divsChild>
                                                    <w:div w:id="838353846">
                                                      <w:marLeft w:val="0"/>
                                                      <w:marRight w:val="0"/>
                                                      <w:marTop w:val="0"/>
                                                      <w:marBottom w:val="0"/>
                                                      <w:divBdr>
                                                        <w:top w:val="none" w:sz="0" w:space="0" w:color="auto"/>
                                                        <w:left w:val="none" w:sz="0" w:space="0" w:color="auto"/>
                                                        <w:bottom w:val="none" w:sz="0" w:space="0" w:color="auto"/>
                                                        <w:right w:val="none" w:sz="0" w:space="0" w:color="auto"/>
                                                      </w:divBdr>
                                                      <w:divsChild>
                                                        <w:div w:id="1903716714">
                                                          <w:marLeft w:val="0"/>
                                                          <w:marRight w:val="0"/>
                                                          <w:marTop w:val="0"/>
                                                          <w:marBottom w:val="0"/>
                                                          <w:divBdr>
                                                            <w:top w:val="none" w:sz="0" w:space="0" w:color="auto"/>
                                                            <w:left w:val="none" w:sz="0" w:space="0" w:color="auto"/>
                                                            <w:bottom w:val="none" w:sz="0" w:space="0" w:color="auto"/>
                                                            <w:right w:val="none" w:sz="0" w:space="0" w:color="auto"/>
                                                          </w:divBdr>
                                                          <w:divsChild>
                                                            <w:div w:id="1611349496">
                                                              <w:marLeft w:val="0"/>
                                                              <w:marRight w:val="0"/>
                                                              <w:marTop w:val="0"/>
                                                              <w:marBottom w:val="0"/>
                                                              <w:divBdr>
                                                                <w:top w:val="single" w:sz="6" w:space="2" w:color="AAAAAA"/>
                                                                <w:left w:val="single" w:sz="6" w:space="2" w:color="AAAAAA"/>
                                                                <w:bottom w:val="single" w:sz="6" w:space="2" w:color="AAAAAA"/>
                                                                <w:right w:val="single" w:sz="6" w:space="2" w:color="AAAAAA"/>
                                                              </w:divBdr>
                                                            </w:div>
                                                          </w:divsChild>
                                                        </w:div>
                                                      </w:divsChild>
                                                    </w:div>
                                                  </w:divsChild>
                                                </w:div>
                                              </w:divsChild>
                                            </w:div>
                                          </w:divsChild>
                                        </w:div>
                                      </w:divsChild>
                                    </w:div>
                                  </w:divsChild>
                                </w:div>
                              </w:divsChild>
                            </w:div>
                          </w:divsChild>
                        </w:div>
                      </w:divsChild>
                    </w:div>
                  </w:divsChild>
                </w:div>
              </w:divsChild>
            </w:div>
          </w:divsChild>
        </w:div>
      </w:divsChild>
    </w:div>
    <w:div w:id="1815298190">
      <w:bodyDiv w:val="1"/>
      <w:marLeft w:val="0"/>
      <w:marRight w:val="0"/>
      <w:marTop w:val="0"/>
      <w:marBottom w:val="0"/>
      <w:divBdr>
        <w:top w:val="none" w:sz="0" w:space="0" w:color="auto"/>
        <w:left w:val="none" w:sz="0" w:space="0" w:color="auto"/>
        <w:bottom w:val="none" w:sz="0" w:space="0" w:color="auto"/>
        <w:right w:val="none" w:sz="0" w:space="0" w:color="auto"/>
      </w:divBdr>
    </w:div>
    <w:div w:id="1921670520">
      <w:bodyDiv w:val="1"/>
      <w:marLeft w:val="0"/>
      <w:marRight w:val="0"/>
      <w:marTop w:val="0"/>
      <w:marBottom w:val="0"/>
      <w:divBdr>
        <w:top w:val="none" w:sz="0" w:space="0" w:color="auto"/>
        <w:left w:val="none" w:sz="0" w:space="0" w:color="auto"/>
        <w:bottom w:val="none" w:sz="0" w:space="0" w:color="auto"/>
        <w:right w:val="none" w:sz="0" w:space="0" w:color="auto"/>
      </w:divBdr>
      <w:divsChild>
        <w:div w:id="1800611709">
          <w:marLeft w:val="720"/>
          <w:marRight w:val="0"/>
          <w:marTop w:val="0"/>
          <w:marBottom w:val="480"/>
          <w:divBdr>
            <w:top w:val="none" w:sz="0" w:space="0" w:color="auto"/>
            <w:left w:val="none" w:sz="0" w:space="0" w:color="auto"/>
            <w:bottom w:val="none" w:sz="0" w:space="0" w:color="auto"/>
            <w:right w:val="none" w:sz="0" w:space="0" w:color="auto"/>
          </w:divBdr>
        </w:div>
        <w:div w:id="1468551930">
          <w:marLeft w:val="720"/>
          <w:marRight w:val="0"/>
          <w:marTop w:val="0"/>
          <w:marBottom w:val="480"/>
          <w:divBdr>
            <w:top w:val="none" w:sz="0" w:space="0" w:color="auto"/>
            <w:left w:val="none" w:sz="0" w:space="0" w:color="auto"/>
            <w:bottom w:val="none" w:sz="0" w:space="0" w:color="auto"/>
            <w:right w:val="none" w:sz="0" w:space="0" w:color="auto"/>
          </w:divBdr>
        </w:div>
      </w:divsChild>
    </w:div>
    <w:div w:id="2020303470">
      <w:bodyDiv w:val="1"/>
      <w:marLeft w:val="0"/>
      <w:marRight w:val="0"/>
      <w:marTop w:val="0"/>
      <w:marBottom w:val="0"/>
      <w:divBdr>
        <w:top w:val="none" w:sz="0" w:space="0" w:color="auto"/>
        <w:left w:val="none" w:sz="0" w:space="0" w:color="auto"/>
        <w:bottom w:val="none" w:sz="0" w:space="0" w:color="auto"/>
        <w:right w:val="none" w:sz="0" w:space="0" w:color="auto"/>
      </w:divBdr>
      <w:divsChild>
        <w:div w:id="711423527">
          <w:marLeft w:val="979"/>
          <w:marRight w:val="0"/>
          <w:marTop w:val="0"/>
          <w:marBottom w:val="480"/>
          <w:divBdr>
            <w:top w:val="none" w:sz="0" w:space="0" w:color="auto"/>
            <w:left w:val="none" w:sz="0" w:space="0" w:color="auto"/>
            <w:bottom w:val="none" w:sz="0" w:space="0" w:color="auto"/>
            <w:right w:val="none" w:sz="0" w:space="0" w:color="auto"/>
          </w:divBdr>
        </w:div>
        <w:div w:id="1007517116">
          <w:marLeft w:val="979"/>
          <w:marRight w:val="0"/>
          <w:marTop w:val="0"/>
          <w:marBottom w:val="480"/>
          <w:divBdr>
            <w:top w:val="none" w:sz="0" w:space="0" w:color="auto"/>
            <w:left w:val="none" w:sz="0" w:space="0" w:color="auto"/>
            <w:bottom w:val="none" w:sz="0" w:space="0" w:color="auto"/>
            <w:right w:val="none" w:sz="0" w:space="0" w:color="auto"/>
          </w:divBdr>
        </w:div>
        <w:div w:id="494296707">
          <w:marLeft w:val="979"/>
          <w:marRight w:val="0"/>
          <w:marTop w:val="0"/>
          <w:marBottom w:val="4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bcam.cn/contactu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www.abcam.com/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abcam.com/assaykitguidelines"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bcam.com/assaykitguidelines" TargetMode="External"/><Relationship Id="rId22" Type="http://schemas.openxmlformats.org/officeDocument/2006/relationships/hyperlink" Target="http://www.abcam.co.jp/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3D38D-0241-4014-BF7E-8488CFCD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Jiahui Lin</cp:lastModifiedBy>
  <cp:revision>2</cp:revision>
  <cp:lastPrinted>2016-03-17T15:36:00Z</cp:lastPrinted>
  <dcterms:created xsi:type="dcterms:W3CDTF">2023-12-29T12:13:00Z</dcterms:created>
  <dcterms:modified xsi:type="dcterms:W3CDTF">2023-12-29T12:13:00Z</dcterms:modified>
</cp:coreProperties>
</file>