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F6F9" w14:textId="1B8E704D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D47E70">
        <w:t>3</w:t>
      </w:r>
      <w:r w:rsidR="00AF2783">
        <w:t>a</w:t>
      </w:r>
      <w:r w:rsidR="00D47E70">
        <w:t>,</w:t>
      </w:r>
      <w:r w:rsidR="00A11967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4558EA">
        <w:rPr>
          <w:noProof/>
        </w:rPr>
        <w:t>6 June 2023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p w14:paraId="5E019F18" w14:textId="77777777" w:rsidR="00550EE8" w:rsidRDefault="00550EE8" w:rsidP="00DC1372">
      <w:pPr>
        <w:rPr>
          <w:rFonts w:cs="Arial"/>
          <w:lang w:val="en-GB"/>
        </w:rPr>
      </w:pPr>
    </w:p>
    <w:p w14:paraId="7F4148F6" w14:textId="77777777" w:rsidR="00F132CD" w:rsidRDefault="00F132CD" w:rsidP="00DC1372">
      <w:pPr>
        <w:rPr>
          <w:rFonts w:cs="Arial"/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45"/>
      </w:tblGrid>
      <w:tr w:rsidR="00DC1372" w:rsidRPr="000740F7" w14:paraId="736003C7" w14:textId="77777777" w:rsidTr="00D751DA">
        <w:trPr>
          <w:trHeight w:hRule="exact" w:val="2172"/>
        </w:trPr>
        <w:tc>
          <w:tcPr>
            <w:tcW w:w="5945" w:type="dxa"/>
            <w:vAlign w:val="center"/>
          </w:tcPr>
          <w:p w14:paraId="58DA2909" w14:textId="77777777" w:rsidR="0089650B" w:rsidRPr="006754A5" w:rsidRDefault="0089650B" w:rsidP="0089650B">
            <w:pPr>
              <w:pStyle w:val="Title"/>
              <w:rPr>
                <w:rFonts w:ascii="Century Gothic" w:hAnsi="Century Gothic"/>
                <w:b/>
                <w:sz w:val="44"/>
              </w:rPr>
            </w:pPr>
            <w:bookmarkStart w:id="0" w:name="_Hlk517882168"/>
            <w:r w:rsidRPr="006754A5">
              <w:rPr>
                <w:rFonts w:ascii="Century Gothic" w:hAnsi="Century Gothic"/>
                <w:b/>
                <w:sz w:val="44"/>
              </w:rPr>
              <w:t>ab2</w:t>
            </w:r>
            <w:r>
              <w:rPr>
                <w:rFonts w:ascii="Century Gothic" w:hAnsi="Century Gothic"/>
                <w:b/>
                <w:sz w:val="44"/>
              </w:rPr>
              <w:t>35696</w:t>
            </w:r>
          </w:p>
          <w:p w14:paraId="36804EE9" w14:textId="44651842" w:rsidR="000E4FA8" w:rsidRPr="000740F7" w:rsidRDefault="0089650B" w:rsidP="0089650B">
            <w:pPr>
              <w:pStyle w:val="Title"/>
              <w:rPr>
                <w:rFonts w:ascii="Century Gothic" w:hAnsi="Century Gothic"/>
                <w:b/>
              </w:rPr>
            </w:pPr>
            <w:r w:rsidRPr="006754A5">
              <w:rPr>
                <w:rFonts w:ascii="Century Gothic" w:hAnsi="Century Gothic"/>
                <w:b/>
                <w:sz w:val="44"/>
              </w:rPr>
              <w:t>Cell Mi</w:t>
            </w:r>
            <w:r>
              <w:rPr>
                <w:rFonts w:ascii="Century Gothic" w:hAnsi="Century Gothic"/>
                <w:b/>
                <w:sz w:val="44"/>
              </w:rPr>
              <w:t>gration/Chemotaxis Assay Kit (24-well, 5</w:t>
            </w:r>
            <w:r w:rsidRPr="006754A5">
              <w:rPr>
                <w:rFonts w:ascii="Century Gothic" w:hAnsi="Century Gothic"/>
                <w:b/>
                <w:sz w:val="44"/>
              </w:rPr>
              <w:t xml:space="preserve"> µm)</w:t>
            </w:r>
            <w:bookmarkEnd w:id="0"/>
          </w:p>
        </w:tc>
      </w:tr>
    </w:tbl>
    <w:p w14:paraId="457DDFE8" w14:textId="77777777" w:rsidR="00550EE8" w:rsidRDefault="00550EE8" w:rsidP="00DC1372">
      <w:pPr>
        <w:rPr>
          <w:highlight w:val="yellow"/>
        </w:rPr>
      </w:pPr>
      <w:r>
        <w:br/>
      </w:r>
    </w:p>
    <w:p w14:paraId="09038F71" w14:textId="77777777" w:rsidR="00550EE8" w:rsidRDefault="00550EE8" w:rsidP="00DC1372">
      <w:pPr>
        <w:rPr>
          <w:highlight w:val="yellow"/>
        </w:rPr>
      </w:pPr>
    </w:p>
    <w:p w14:paraId="68A29274" w14:textId="77777777" w:rsidR="00D751DA" w:rsidRDefault="00D751DA" w:rsidP="001B583F">
      <w:pPr>
        <w:pStyle w:val="1AbcamStandardtext"/>
      </w:pPr>
    </w:p>
    <w:p w14:paraId="0F52A95B" w14:textId="15EA1B50" w:rsidR="00BF65CB" w:rsidRPr="001B583F" w:rsidRDefault="0089650B" w:rsidP="001B583F">
      <w:pPr>
        <w:pStyle w:val="1AbcamStandardtext"/>
      </w:pPr>
      <w:r w:rsidRPr="006754A5">
        <w:t>For the measurement of cell migration in response to stimuli.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5E22346D" w:rsidR="00B86D77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6142142F" w14:textId="77777777" w:rsidR="00D47E70" w:rsidRPr="001B583F" w:rsidRDefault="00D47E70" w:rsidP="001B583F">
      <w:pPr>
        <w:pStyle w:val="1AbcamStandardtext"/>
      </w:pPr>
    </w:p>
    <w:p w14:paraId="35BE867E" w14:textId="51CF242F" w:rsidR="008B2920" w:rsidRPr="001B583F" w:rsidRDefault="00D47E70" w:rsidP="0089650B">
      <w:pPr>
        <w:spacing w:before="0" w:after="0"/>
      </w:pPr>
      <w:r>
        <w:rPr>
          <w:rStyle w:val="ui-provider"/>
        </w:rPr>
        <w:t xml:space="preserve">PLEASE NOTE: With the acquisition of </w:t>
      </w:r>
      <w:proofErr w:type="spellStart"/>
      <w:r>
        <w:rPr>
          <w:rStyle w:val="ui-provider"/>
        </w:rPr>
        <w:t>BioVision</w:t>
      </w:r>
      <w:proofErr w:type="spellEnd"/>
      <w:r>
        <w:rPr>
          <w:rStyle w:val="ui-provider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="008B2920" w:rsidRPr="001B583F"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1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1"/>
    </w:p>
    <w:bookmarkStart w:id="2" w:name="_Toc446403811"/>
    <w:bookmarkStart w:id="3" w:name="_Toc315440410"/>
    <w:p w14:paraId="1EF2A9C3" w14:textId="7D391135" w:rsidR="0089650B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89650B">
        <w:rPr>
          <w:noProof/>
        </w:rPr>
        <w:t>1.</w:t>
      </w:r>
      <w:r w:rsidR="0089650B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89650B">
        <w:rPr>
          <w:noProof/>
        </w:rPr>
        <w:t>Overview</w:t>
      </w:r>
      <w:r w:rsidR="0089650B">
        <w:rPr>
          <w:noProof/>
        </w:rPr>
        <w:tab/>
      </w:r>
      <w:r w:rsidR="0089650B">
        <w:rPr>
          <w:noProof/>
        </w:rPr>
        <w:fldChar w:fldCharType="begin"/>
      </w:r>
      <w:r w:rsidR="0089650B">
        <w:rPr>
          <w:noProof/>
        </w:rPr>
        <w:instrText xml:space="preserve"> PAGEREF _Toc517906648 \h </w:instrText>
      </w:r>
      <w:r w:rsidR="0089650B">
        <w:rPr>
          <w:noProof/>
        </w:rPr>
      </w:r>
      <w:r w:rsidR="0089650B">
        <w:rPr>
          <w:noProof/>
        </w:rPr>
        <w:fldChar w:fldCharType="separate"/>
      </w:r>
      <w:r w:rsidR="0089650B">
        <w:rPr>
          <w:noProof/>
        </w:rPr>
        <w:t>1</w:t>
      </w:r>
      <w:r w:rsidR="0089650B">
        <w:rPr>
          <w:noProof/>
        </w:rPr>
        <w:fldChar w:fldCharType="end"/>
      </w:r>
    </w:p>
    <w:p w14:paraId="5E676EE9" w14:textId="2DF2963D" w:rsidR="0089650B" w:rsidRDefault="008965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_Toc517906649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116CF04" w14:textId="48AF634E" w:rsidR="0089650B" w:rsidRDefault="008965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_Toc517906650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3109549" w14:textId="03B27C99" w:rsidR="0089650B" w:rsidRDefault="008965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_Toc517906651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E3BDA46" w14:textId="7392B33A" w:rsidR="0089650B" w:rsidRDefault="008965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_Toc517906652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9319794" w14:textId="4371A8BA" w:rsidR="0089650B" w:rsidRDefault="008965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_Toc517906653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E90F50A" w14:textId="3C462C6D" w:rsidR="0089650B" w:rsidRDefault="008965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_Toc517906654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0A15462B" w14:textId="3DD08A2C" w:rsidR="0089650B" w:rsidRDefault="008965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FAQs /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_Toc517906655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6D31A8AC" w14:textId="485BDA6E" w:rsidR="0089650B" w:rsidRDefault="008965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_Toc517906656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520D283" w14:textId="130371DC" w:rsidR="0089650B" w:rsidRDefault="0089650B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_Toc517906657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7EE20ADD" w14:textId="488B3164" w:rsidR="00B9305B" w:rsidRDefault="001F3104" w:rsidP="00595684">
      <w:pPr>
        <w:pStyle w:val="TOC1"/>
      </w:pPr>
      <w:r>
        <w:fldChar w:fldCharType="end"/>
      </w:r>
    </w:p>
    <w:p w14:paraId="126B0838" w14:textId="2964B632" w:rsidR="00E75A3C" w:rsidRPr="0089650B" w:rsidRDefault="00E75A3C" w:rsidP="00E75A3C">
      <w:pPr>
        <w:rPr>
          <w:highlight w:val="yellow"/>
        </w:rPr>
        <w:sectPr w:rsidR="00E75A3C" w:rsidRPr="0089650B" w:rsidSect="007F1A3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</w:t>
      </w:r>
    </w:p>
    <w:p w14:paraId="2F270870" w14:textId="77777777" w:rsidR="000E4FA8" w:rsidRPr="002A066A" w:rsidRDefault="000E4FA8" w:rsidP="00380497">
      <w:pPr>
        <w:pStyle w:val="1Abcamheading"/>
      </w:pPr>
      <w:bookmarkStart w:id="4" w:name="_Toc517906648"/>
      <w:r w:rsidRPr="002A066A">
        <w:lastRenderedPageBreak/>
        <w:t>Overview</w:t>
      </w:r>
      <w:bookmarkEnd w:id="2"/>
      <w:bookmarkEnd w:id="4"/>
    </w:p>
    <w:p w14:paraId="210DFAB0" w14:textId="77777777" w:rsidR="0089650B" w:rsidRDefault="0089650B" w:rsidP="0089650B">
      <w:pPr>
        <w:pStyle w:val="1AbcamStandardtext"/>
      </w:pPr>
      <w:bookmarkStart w:id="5" w:name="_Hlk517887250"/>
      <w:r w:rsidRPr="00A76A9F">
        <w:t>Cell Migration/</w:t>
      </w:r>
      <w:r>
        <w:t>Chemotaxis Assay Kit (24-well, 5 µm) (ab235696</w:t>
      </w:r>
      <w:r w:rsidRPr="00A76A9F">
        <w:t>) utilizes a Boyden chamber, where the cells migrate through a semi-permeable membrane under different stimuli. Cell migration can be analyzed directly by reading fluorescence (Ex/</w:t>
      </w:r>
      <w:proofErr w:type="spellStart"/>
      <w:r w:rsidRPr="00A76A9F">
        <w:t>Em</w:t>
      </w:r>
      <w:proofErr w:type="spellEnd"/>
      <w:r w:rsidRPr="00A76A9F">
        <w:t xml:space="preserve"> = 530/590 nm) in a plate reader. Our assay is easy to use, sensitive and adaptable to high-throughput systems.</w:t>
      </w:r>
    </w:p>
    <w:bookmarkEnd w:id="5"/>
    <w:p w14:paraId="4D28123F" w14:textId="77777777" w:rsidR="00755831" w:rsidRPr="002A066A" w:rsidRDefault="00755831" w:rsidP="006B2A3A">
      <w:pPr>
        <w:pStyle w:val="1AbcamStandardtext"/>
      </w:pPr>
    </w:p>
    <w:p w14:paraId="4574F2D9" w14:textId="77777777" w:rsidR="0089650B" w:rsidRPr="0089650B" w:rsidRDefault="0089650B" w:rsidP="0089650B">
      <w:pPr>
        <w:spacing w:before="60" w:after="60"/>
        <w:jc w:val="center"/>
      </w:pPr>
      <w:r w:rsidRPr="0089650B">
        <w:t>Prepare cells.</w:t>
      </w:r>
    </w:p>
    <w:p w14:paraId="32955B08" w14:textId="77777777" w:rsidR="0089650B" w:rsidRPr="0089650B" w:rsidRDefault="0089650B" w:rsidP="0089650B">
      <w:pPr>
        <w:spacing w:before="60" w:after="60"/>
        <w:jc w:val="center"/>
      </w:pPr>
      <w:r w:rsidRPr="0089650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59480" wp14:editId="43BEC0A6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8FBE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8DQQ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">
                <w10:wrap anchorx="margin"/>
              </v:shape>
            </w:pict>
          </mc:Fallback>
        </mc:AlternateContent>
      </w:r>
    </w:p>
    <w:p w14:paraId="26D20079" w14:textId="77777777" w:rsidR="0089650B" w:rsidRPr="0089650B" w:rsidRDefault="0089650B" w:rsidP="0089650B">
      <w:pPr>
        <w:spacing w:before="60" w:after="60"/>
        <w:jc w:val="center"/>
      </w:pPr>
    </w:p>
    <w:p w14:paraId="6168EF22" w14:textId="77777777" w:rsidR="0089650B" w:rsidRPr="0089650B" w:rsidRDefault="0089650B" w:rsidP="0089650B">
      <w:pPr>
        <w:spacing w:before="60" w:after="60"/>
        <w:jc w:val="center"/>
      </w:pPr>
      <w:r w:rsidRPr="0089650B">
        <w:t xml:space="preserve">Prior to the assay, starve cells for 18-24 h in serum-free media. </w:t>
      </w:r>
    </w:p>
    <w:p w14:paraId="11AAC8A4" w14:textId="77777777" w:rsidR="0089650B" w:rsidRPr="0089650B" w:rsidRDefault="0089650B" w:rsidP="0089650B">
      <w:pPr>
        <w:spacing w:before="60" w:after="60"/>
        <w:jc w:val="center"/>
      </w:pPr>
      <w:r w:rsidRPr="0089650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F18B75" wp14:editId="587FB13D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E3E8" id="AutoShape 9" o:spid="_x0000_s1026" type="#_x0000_t67" style="position:absolute;margin-left:158.7pt;margin-top:3.85pt;width:14.2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B8xjE1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5FDFF486" w14:textId="77777777" w:rsidR="0089650B" w:rsidRPr="0089650B" w:rsidRDefault="0089650B" w:rsidP="0089650B">
      <w:pPr>
        <w:spacing w:before="60" w:after="60"/>
        <w:jc w:val="center"/>
      </w:pPr>
    </w:p>
    <w:p w14:paraId="2DB49452" w14:textId="640A6748" w:rsidR="0089650B" w:rsidRPr="0089650B" w:rsidRDefault="0089650B" w:rsidP="0089650B">
      <w:pPr>
        <w:spacing w:before="60" w:after="60"/>
        <w:jc w:val="center"/>
      </w:pPr>
      <w:r w:rsidRPr="0089650B">
        <w:t xml:space="preserve">Set up cell migration assay containing desired chemoattractant in the bottom chamber. Incubate the </w:t>
      </w:r>
      <w:r w:rsidR="00D47E70" w:rsidRPr="00D47E70">
        <w:rPr>
          <w:rFonts w:cs="Arial"/>
          <w:bCs/>
          <w:color w:val="000000"/>
          <w:szCs w:val="20"/>
        </w:rPr>
        <w:t>Cell Migration Chamber (12 x 5µm)/</w:t>
      </w:r>
      <w:r w:rsidRPr="0089650B">
        <w:t>Cell Migration Chamber at 37°C in CO</w:t>
      </w:r>
      <w:r w:rsidRPr="0089650B">
        <w:rPr>
          <w:vertAlign w:val="subscript"/>
        </w:rPr>
        <w:t>2</w:t>
      </w:r>
      <w:r w:rsidRPr="0089650B">
        <w:t xml:space="preserve"> incubator for 2-48 h. </w:t>
      </w:r>
    </w:p>
    <w:p w14:paraId="03AAC6E3" w14:textId="77777777" w:rsidR="0089650B" w:rsidRPr="0089650B" w:rsidRDefault="0089650B" w:rsidP="0089650B">
      <w:pPr>
        <w:spacing w:before="60" w:after="60"/>
        <w:jc w:val="center"/>
      </w:pPr>
      <w:r w:rsidRPr="0089650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BF51AB" wp14:editId="07ACE52A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E8A1" id="AutoShape 9" o:spid="_x0000_s1026" type="#_x0000_t67" style="position:absolute;margin-left:158.7pt;margin-top:3.85pt;width:14.25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AU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DG8uAU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499CB5AD" w14:textId="77777777" w:rsidR="0089650B" w:rsidRPr="0089650B" w:rsidRDefault="0089650B" w:rsidP="0089650B">
      <w:pPr>
        <w:spacing w:before="60" w:after="60"/>
        <w:jc w:val="center"/>
      </w:pPr>
    </w:p>
    <w:p w14:paraId="1BF28511" w14:textId="77777777" w:rsidR="0089650B" w:rsidRPr="0089650B" w:rsidRDefault="0089650B" w:rsidP="0089650B">
      <w:pPr>
        <w:spacing w:before="60" w:after="60"/>
        <w:jc w:val="center"/>
      </w:pPr>
      <w:r w:rsidRPr="0089650B">
        <w:t xml:space="preserve">Prepare Standard Curve for each cell type. </w:t>
      </w:r>
    </w:p>
    <w:p w14:paraId="41E7A123" w14:textId="77777777" w:rsidR="0089650B" w:rsidRPr="0089650B" w:rsidRDefault="0089650B" w:rsidP="0089650B">
      <w:pPr>
        <w:spacing w:before="60" w:after="60"/>
        <w:jc w:val="center"/>
      </w:pPr>
      <w:r w:rsidRPr="0089650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E04025" wp14:editId="4C0994A5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A3A2A" id="AutoShape 9" o:spid="_x0000_s1026" type="#_x0000_t67" style="position:absolute;margin-left:158.7pt;margin-top:3.85pt;width:14.25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+WQQ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">
                <w10:wrap anchorx="margin"/>
              </v:shape>
            </w:pict>
          </mc:Fallback>
        </mc:AlternateContent>
      </w:r>
    </w:p>
    <w:p w14:paraId="6E1D8BE3" w14:textId="77777777" w:rsidR="0089650B" w:rsidRPr="0089650B" w:rsidRDefault="0089650B" w:rsidP="0089650B">
      <w:pPr>
        <w:spacing w:before="60" w:after="60"/>
        <w:jc w:val="center"/>
      </w:pPr>
    </w:p>
    <w:p w14:paraId="7E8C6AF0" w14:textId="77777777" w:rsidR="0089650B" w:rsidRPr="0089650B" w:rsidRDefault="0089650B" w:rsidP="0089650B">
      <w:pPr>
        <w:spacing w:before="60" w:after="60"/>
        <w:jc w:val="center"/>
      </w:pPr>
      <w:r w:rsidRPr="0089650B">
        <w:t>Separate Migrated cells.</w:t>
      </w:r>
    </w:p>
    <w:p w14:paraId="6BEF738B" w14:textId="77777777" w:rsidR="0089650B" w:rsidRPr="0089650B" w:rsidRDefault="0089650B" w:rsidP="0089650B">
      <w:pPr>
        <w:spacing w:before="60" w:after="60"/>
        <w:jc w:val="center"/>
      </w:pPr>
      <w:r w:rsidRPr="0089650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8698A" wp14:editId="4015A6AE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47F65" id="AutoShape 9" o:spid="_x0000_s1026" type="#_x0000_t67" style="position:absolute;margin-left:158.7pt;margin-top:3.85pt;width:14.2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/63QQ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">
                <w10:wrap anchorx="margin"/>
              </v:shape>
            </w:pict>
          </mc:Fallback>
        </mc:AlternateContent>
      </w:r>
    </w:p>
    <w:p w14:paraId="5C308D29" w14:textId="77777777" w:rsidR="0089650B" w:rsidRPr="0089650B" w:rsidRDefault="0089650B" w:rsidP="0089650B">
      <w:pPr>
        <w:spacing w:before="60" w:after="60"/>
        <w:jc w:val="center"/>
      </w:pPr>
    </w:p>
    <w:p w14:paraId="4DA44CDD" w14:textId="77777777" w:rsidR="0089650B" w:rsidRPr="0089650B" w:rsidRDefault="0089650B" w:rsidP="0089650B">
      <w:pPr>
        <w:spacing w:before="60" w:after="60"/>
        <w:jc w:val="center"/>
      </w:pPr>
      <w:r w:rsidRPr="0089650B">
        <w:t>Add cell dye and count Migrated cells.</w:t>
      </w:r>
    </w:p>
    <w:p w14:paraId="39818316" w14:textId="77777777" w:rsidR="000E4FA8" w:rsidRDefault="000E4FA8" w:rsidP="0089650B">
      <w:pPr>
        <w:pStyle w:val="1AbcamStandardtext"/>
        <w:jc w:val="center"/>
        <w:rPr>
          <w:lang w:val="en-GB"/>
        </w:rPr>
      </w:pPr>
    </w:p>
    <w:p w14:paraId="388EA4C8" w14:textId="77777777" w:rsidR="00AD2A65" w:rsidRDefault="00AD2A65" w:rsidP="001B583F">
      <w:pPr>
        <w:pStyle w:val="1AbcamStandardtext"/>
        <w:rPr>
          <w:lang w:val="en-GB"/>
        </w:rPr>
      </w:pPr>
    </w:p>
    <w:p w14:paraId="53545290" w14:textId="77777777" w:rsidR="00AD2A65" w:rsidRDefault="00AD2A65" w:rsidP="001B583F">
      <w:pPr>
        <w:pStyle w:val="1AbcamStandardtext"/>
        <w:rPr>
          <w:lang w:val="en-GB"/>
        </w:rPr>
      </w:pPr>
    </w:p>
    <w:p w14:paraId="64F04A35" w14:textId="77777777" w:rsidR="00AD2A65" w:rsidRDefault="00AD2A65" w:rsidP="001B583F">
      <w:pPr>
        <w:pStyle w:val="1AbcamStandardtext"/>
        <w:rPr>
          <w:lang w:val="en-GB"/>
        </w:rPr>
      </w:pPr>
    </w:p>
    <w:p w14:paraId="7E157C28" w14:textId="7B882051" w:rsidR="00231117" w:rsidRPr="0089650B" w:rsidRDefault="00231117" w:rsidP="0089650B">
      <w:pPr>
        <w:spacing w:before="0" w:after="0"/>
        <w:rPr>
          <w:lang w:val="en-GB"/>
        </w:rPr>
      </w:pPr>
      <w:r w:rsidRPr="002A066A">
        <w:br w:type="page"/>
      </w:r>
    </w:p>
    <w:p w14:paraId="1948FF0C" w14:textId="77777777" w:rsidR="000E4FA8" w:rsidRDefault="000E4FA8" w:rsidP="001E2DD7">
      <w:pPr>
        <w:pStyle w:val="1Abcamheading"/>
      </w:pPr>
      <w:bookmarkStart w:id="6" w:name="_Toc446403816"/>
      <w:bookmarkStart w:id="7" w:name="_Toc517906649"/>
      <w:r w:rsidRPr="002A066A">
        <w:lastRenderedPageBreak/>
        <w:t xml:space="preserve">Materials </w:t>
      </w:r>
      <w:r w:rsidR="00174FD5" w:rsidRPr="002A066A">
        <w:t>S</w:t>
      </w:r>
      <w:r w:rsidRPr="002A066A">
        <w:t>upplied</w:t>
      </w:r>
      <w:bookmarkEnd w:id="6"/>
      <w:r w:rsidR="00DC1BE4">
        <w:t xml:space="preserve"> and S</w:t>
      </w:r>
      <w:r w:rsidR="00BA030F">
        <w:t>torage</w:t>
      </w:r>
      <w:bookmarkEnd w:id="7"/>
    </w:p>
    <w:p w14:paraId="4BE87532" w14:textId="77777777" w:rsidR="0089650B" w:rsidRDefault="0089650B" w:rsidP="0089650B">
      <w:r>
        <w:t xml:space="preserve">Store kit at </w:t>
      </w:r>
      <w:r w:rsidRPr="00A76A9F">
        <w:t>20°C in the dark immediately</w:t>
      </w:r>
      <w:r>
        <w:t xml:space="preserve"> on receipt and check below for storage for individual components. Kit can be stored for 1 year from </w:t>
      </w:r>
      <w:proofErr w:type="gramStart"/>
      <w:r>
        <w:t>receipt, if</w:t>
      </w:r>
      <w:proofErr w:type="gramEnd"/>
      <w:r>
        <w:t xml:space="preserve"> components have not been reconstituted. </w:t>
      </w:r>
    </w:p>
    <w:p w14:paraId="2FE4DB7A" w14:textId="77777777" w:rsidR="0089650B" w:rsidRDefault="0089650B" w:rsidP="0089650B">
      <w:r>
        <w:t xml:space="preserve">Components are stable </w:t>
      </w:r>
      <w:r w:rsidRPr="00A76A9F">
        <w:t>for 6</w:t>
      </w:r>
      <w:r>
        <w:t xml:space="preserve"> months after the first thaw.</w:t>
      </w:r>
    </w:p>
    <w:p w14:paraId="79C4A8C4" w14:textId="77777777" w:rsidR="0089650B" w:rsidRDefault="0089650B" w:rsidP="0089650B">
      <w:r>
        <w:t xml:space="preserve">Aliquot components in working volumes before storing at the recommended temperature. </w:t>
      </w:r>
    </w:p>
    <w:p w14:paraId="088B520E" w14:textId="77777777" w:rsidR="0089650B" w:rsidRDefault="0089650B" w:rsidP="0089650B">
      <w:r>
        <w:t>Avoid repeated freeze-thaws of reagents.</w:t>
      </w:r>
    </w:p>
    <w:tbl>
      <w:tblPr>
        <w:tblW w:w="7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8"/>
        <w:gridCol w:w="1109"/>
        <w:gridCol w:w="1440"/>
        <w:gridCol w:w="1440"/>
      </w:tblGrid>
      <w:tr w:rsidR="0089650B" w:rsidRPr="008049D3" w14:paraId="4A7442B0" w14:textId="77777777" w:rsidTr="008777AC">
        <w:trPr>
          <w:trHeight w:val="306"/>
          <w:jc w:val="center"/>
        </w:trPr>
        <w:tc>
          <w:tcPr>
            <w:tcW w:w="3118" w:type="dxa"/>
            <w:vAlign w:val="center"/>
          </w:tcPr>
          <w:p w14:paraId="63D79775" w14:textId="77777777" w:rsidR="0089650B" w:rsidRPr="008049D3" w:rsidRDefault="0089650B" w:rsidP="008777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8049D3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109" w:type="dxa"/>
            <w:vAlign w:val="center"/>
          </w:tcPr>
          <w:p w14:paraId="60DA626E" w14:textId="77777777" w:rsidR="0089650B" w:rsidRPr="008049D3" w:rsidRDefault="0089650B" w:rsidP="008777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8049D3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440" w:type="dxa"/>
            <w:vAlign w:val="center"/>
          </w:tcPr>
          <w:p w14:paraId="34FF0AA0" w14:textId="77777777" w:rsidR="0089650B" w:rsidRPr="008049D3" w:rsidRDefault="0089650B" w:rsidP="008777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8049D3">
              <w:rPr>
                <w:rFonts w:cs="Arial"/>
                <w:b/>
                <w:bCs/>
                <w:color w:val="000000"/>
                <w:szCs w:val="18"/>
                <w:lang w:val="en-GB"/>
              </w:rPr>
              <w:t>Storage temperature (before prep)</w:t>
            </w:r>
          </w:p>
        </w:tc>
        <w:tc>
          <w:tcPr>
            <w:tcW w:w="1440" w:type="dxa"/>
            <w:vAlign w:val="center"/>
          </w:tcPr>
          <w:p w14:paraId="37476ED9" w14:textId="77777777" w:rsidR="0089650B" w:rsidRPr="008049D3" w:rsidRDefault="0089650B" w:rsidP="008777A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8049D3">
              <w:rPr>
                <w:rFonts w:cs="Arial"/>
                <w:b/>
                <w:bCs/>
                <w:color w:val="000000"/>
                <w:szCs w:val="18"/>
                <w:lang w:val="en-GB"/>
              </w:rPr>
              <w:t>Storage temperature (after prep)</w:t>
            </w:r>
          </w:p>
        </w:tc>
      </w:tr>
      <w:tr w:rsidR="00A11967" w:rsidRPr="008049D3" w14:paraId="1245EEC5" w14:textId="77777777" w:rsidTr="008777AC">
        <w:trPr>
          <w:trHeight w:val="306"/>
          <w:jc w:val="center"/>
        </w:trPr>
        <w:tc>
          <w:tcPr>
            <w:tcW w:w="3118" w:type="dxa"/>
            <w:vAlign w:val="center"/>
          </w:tcPr>
          <w:p w14:paraId="692F3B31" w14:textId="40544F97" w:rsidR="00A11967" w:rsidRPr="008049D3" w:rsidRDefault="00D47E70" w:rsidP="00A1196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Wash Buffer I/</w:t>
            </w:r>
            <w:r w:rsidR="00A11967" w:rsidRPr="008049D3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Wash Buffer</w:t>
            </w:r>
          </w:p>
        </w:tc>
        <w:tc>
          <w:tcPr>
            <w:tcW w:w="1109" w:type="dxa"/>
            <w:vAlign w:val="center"/>
          </w:tcPr>
          <w:p w14:paraId="53FEBE29" w14:textId="10A7929B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</w:t>
            </w: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440" w:type="dxa"/>
            <w:vAlign w:val="center"/>
          </w:tcPr>
          <w:p w14:paraId="6ED2124B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  <w:vAlign w:val="center"/>
          </w:tcPr>
          <w:p w14:paraId="0C14BA90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A11967" w:rsidRPr="008049D3" w14:paraId="151C1AD2" w14:textId="77777777" w:rsidTr="008777AC">
        <w:trPr>
          <w:trHeight w:val="306"/>
          <w:jc w:val="center"/>
        </w:trPr>
        <w:tc>
          <w:tcPr>
            <w:tcW w:w="3118" w:type="dxa"/>
            <w:vAlign w:val="center"/>
          </w:tcPr>
          <w:p w14:paraId="1FE5C7D8" w14:textId="583F608C" w:rsidR="00A11967" w:rsidRPr="008049D3" w:rsidRDefault="00D47E70" w:rsidP="00A1196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Cell Dissociation Solution II/</w:t>
            </w:r>
            <w:r w:rsidR="00A11967" w:rsidRPr="008049D3">
              <w:rPr>
                <w:rFonts w:cs="Arial"/>
                <w:bCs/>
                <w:color w:val="000000"/>
                <w:sz w:val="18"/>
                <w:szCs w:val="18"/>
              </w:rPr>
              <w:t>Cell Dissociation Solution</w:t>
            </w:r>
          </w:p>
        </w:tc>
        <w:tc>
          <w:tcPr>
            <w:tcW w:w="1109" w:type="dxa"/>
            <w:vAlign w:val="center"/>
          </w:tcPr>
          <w:p w14:paraId="4D307FDC" w14:textId="0517E7D1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6</w:t>
            </w: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440" w:type="dxa"/>
            <w:vAlign w:val="center"/>
          </w:tcPr>
          <w:p w14:paraId="58A60552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  <w:vAlign w:val="center"/>
          </w:tcPr>
          <w:p w14:paraId="7426F1EE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A11967" w:rsidRPr="008049D3" w14:paraId="28EC38EE" w14:textId="77777777" w:rsidTr="008777AC">
        <w:trPr>
          <w:trHeight w:val="306"/>
          <w:jc w:val="center"/>
        </w:trPr>
        <w:tc>
          <w:tcPr>
            <w:tcW w:w="3118" w:type="dxa"/>
            <w:vAlign w:val="center"/>
          </w:tcPr>
          <w:p w14:paraId="723D985E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8049D3">
              <w:rPr>
                <w:rFonts w:cs="Arial"/>
                <w:bCs/>
                <w:color w:val="000000"/>
                <w:sz w:val="18"/>
                <w:szCs w:val="18"/>
              </w:rPr>
              <w:t>Control Migration Inducer</w:t>
            </w:r>
          </w:p>
        </w:tc>
        <w:tc>
          <w:tcPr>
            <w:tcW w:w="1109" w:type="dxa"/>
            <w:vAlign w:val="center"/>
          </w:tcPr>
          <w:p w14:paraId="400B4330" w14:textId="7FCE809B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300</w:t>
            </w: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µ</w:t>
            </w: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L</w:t>
            </w:r>
          </w:p>
        </w:tc>
        <w:tc>
          <w:tcPr>
            <w:tcW w:w="1440" w:type="dxa"/>
            <w:vAlign w:val="center"/>
          </w:tcPr>
          <w:p w14:paraId="0B1D57CA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  <w:vAlign w:val="center"/>
          </w:tcPr>
          <w:p w14:paraId="7FBDA191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A11967" w:rsidRPr="008049D3" w14:paraId="513E4C3C" w14:textId="77777777" w:rsidTr="008777AC">
        <w:trPr>
          <w:trHeight w:val="306"/>
          <w:jc w:val="center"/>
        </w:trPr>
        <w:tc>
          <w:tcPr>
            <w:tcW w:w="3118" w:type="dxa"/>
            <w:vAlign w:val="center"/>
          </w:tcPr>
          <w:p w14:paraId="0950C2AE" w14:textId="4E6C8BBA" w:rsidR="00A11967" w:rsidRPr="008049D3" w:rsidRDefault="00D47E70" w:rsidP="00A1196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Cell Dye I/</w:t>
            </w:r>
            <w:r w:rsidR="00A11967" w:rsidRPr="008049D3">
              <w:rPr>
                <w:rFonts w:cs="Arial"/>
                <w:bCs/>
                <w:color w:val="000000"/>
                <w:sz w:val="18"/>
                <w:szCs w:val="18"/>
              </w:rPr>
              <w:t>Cell Dye</w:t>
            </w:r>
          </w:p>
        </w:tc>
        <w:tc>
          <w:tcPr>
            <w:tcW w:w="1109" w:type="dxa"/>
            <w:vAlign w:val="center"/>
          </w:tcPr>
          <w:p w14:paraId="7A4933DF" w14:textId="24D5D8E5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.5</w:t>
            </w: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440" w:type="dxa"/>
            <w:vAlign w:val="center"/>
          </w:tcPr>
          <w:p w14:paraId="6557E7B9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  <w:vAlign w:val="center"/>
          </w:tcPr>
          <w:p w14:paraId="78618BD4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A11967" w:rsidRPr="008049D3" w14:paraId="3429E294" w14:textId="77777777" w:rsidTr="008777AC">
        <w:trPr>
          <w:trHeight w:val="306"/>
          <w:jc w:val="center"/>
        </w:trPr>
        <w:tc>
          <w:tcPr>
            <w:tcW w:w="3118" w:type="dxa"/>
            <w:vAlign w:val="center"/>
          </w:tcPr>
          <w:p w14:paraId="5DFF7C53" w14:textId="43C96828" w:rsidR="00A11967" w:rsidRPr="008049D3" w:rsidRDefault="00D47E70" w:rsidP="00A1196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Cell Migration Chamber (12 x 5</w:t>
            </w:r>
            <w:r w:rsidRPr="00D47E70">
              <w:rPr>
                <w:rFonts w:cs="Arial"/>
                <w:bCs/>
                <w:color w:val="000000"/>
                <w:sz w:val="18"/>
                <w:szCs w:val="18"/>
              </w:rPr>
              <w:t>µ</w: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t>m)/</w:t>
            </w:r>
            <w:r w:rsidR="00A11967" w:rsidRPr="008049D3">
              <w:rPr>
                <w:rFonts w:cs="Arial"/>
                <w:bCs/>
                <w:color w:val="000000"/>
                <w:sz w:val="18"/>
                <w:szCs w:val="18"/>
              </w:rPr>
              <w:t>Cell Migration Chamber</w:t>
            </w:r>
          </w:p>
        </w:tc>
        <w:tc>
          <w:tcPr>
            <w:tcW w:w="1109" w:type="dxa"/>
            <w:vAlign w:val="center"/>
          </w:tcPr>
          <w:p w14:paraId="2D5176E3" w14:textId="6ECEE8A3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1 </w:t>
            </w:r>
          </w:p>
        </w:tc>
        <w:tc>
          <w:tcPr>
            <w:tcW w:w="1440" w:type="dxa"/>
            <w:vAlign w:val="center"/>
          </w:tcPr>
          <w:p w14:paraId="294AAA2C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  <w:tc>
          <w:tcPr>
            <w:tcW w:w="1440" w:type="dxa"/>
            <w:vAlign w:val="center"/>
          </w:tcPr>
          <w:p w14:paraId="306F2D4E" w14:textId="77777777" w:rsidR="00A11967" w:rsidRPr="008049D3" w:rsidRDefault="00A11967" w:rsidP="00A1196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8049D3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</w:tbl>
    <w:p w14:paraId="2C371093" w14:textId="77777777" w:rsidR="001C766D" w:rsidRPr="002A066A" w:rsidRDefault="001C766D" w:rsidP="001B583F">
      <w:pPr>
        <w:pStyle w:val="1AbcamStandardtext"/>
        <w:rPr>
          <w:b/>
        </w:rPr>
      </w:pPr>
      <w:r w:rsidRPr="002A066A">
        <w:rPr>
          <w:b/>
        </w:rPr>
        <w:br w:type="page"/>
      </w:r>
    </w:p>
    <w:p w14:paraId="5783967E" w14:textId="1FA3B073" w:rsidR="000E4FA8" w:rsidRPr="002A066A" w:rsidRDefault="000E4FA8" w:rsidP="001E2DD7">
      <w:pPr>
        <w:pStyle w:val="1Abcamheading"/>
      </w:pPr>
      <w:bookmarkStart w:id="8" w:name="_Toc446403817"/>
      <w:bookmarkStart w:id="9" w:name="_Toc517906650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8"/>
      <w:bookmarkEnd w:id="9"/>
    </w:p>
    <w:p w14:paraId="281CC729" w14:textId="77777777" w:rsidR="0089650B" w:rsidRPr="002A066A" w:rsidRDefault="0089650B" w:rsidP="0089650B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73114576" w14:textId="77777777" w:rsidR="0089650B" w:rsidRPr="008049D3" w:rsidRDefault="0089650B" w:rsidP="0089650B">
      <w:pPr>
        <w:pStyle w:val="ListParagraph"/>
        <w:numPr>
          <w:ilvl w:val="0"/>
          <w:numId w:val="7"/>
        </w:numPr>
        <w:spacing w:before="60" w:after="60"/>
        <w:ind w:left="360"/>
        <w:contextualSpacing w:val="0"/>
      </w:pPr>
      <w:r w:rsidRPr="008049D3">
        <w:rPr>
          <w:szCs w:val="20"/>
        </w:rPr>
        <w:t>Fluorescence Plate Reader.</w:t>
      </w:r>
    </w:p>
    <w:p w14:paraId="78A2AA56" w14:textId="77777777" w:rsidR="0089650B" w:rsidRPr="008049D3" w:rsidRDefault="0089650B" w:rsidP="0089650B">
      <w:pPr>
        <w:numPr>
          <w:ilvl w:val="0"/>
          <w:numId w:val="7"/>
        </w:numPr>
        <w:spacing w:before="60" w:after="60"/>
        <w:ind w:left="360"/>
        <w:rPr>
          <w:rFonts w:eastAsiaTheme="minorHAnsi" w:cstheme="minorBidi"/>
        </w:rPr>
      </w:pPr>
      <w:r w:rsidRPr="008049D3">
        <w:rPr>
          <w:rFonts w:eastAsiaTheme="minorHAnsi" w:cstheme="minorBidi"/>
          <w:szCs w:val="20"/>
        </w:rPr>
        <w:t>Cotton Swab.</w:t>
      </w:r>
    </w:p>
    <w:p w14:paraId="136DA9CB" w14:textId="77777777" w:rsidR="0089650B" w:rsidRPr="008049D3" w:rsidRDefault="0089650B" w:rsidP="0089650B">
      <w:pPr>
        <w:numPr>
          <w:ilvl w:val="0"/>
          <w:numId w:val="7"/>
        </w:numPr>
        <w:spacing w:before="60" w:after="60"/>
        <w:ind w:left="360"/>
        <w:rPr>
          <w:rFonts w:eastAsiaTheme="minorHAnsi" w:cstheme="minorBidi"/>
        </w:rPr>
      </w:pPr>
      <w:r w:rsidRPr="008049D3">
        <w:rPr>
          <w:rFonts w:eastAsiaTheme="minorHAnsi" w:cstheme="minorBidi"/>
        </w:rPr>
        <w:t>Centrifuge to spin 96-well plate.</w:t>
      </w:r>
    </w:p>
    <w:p w14:paraId="711790A8" w14:textId="74378CA8" w:rsidR="0089650B" w:rsidRPr="008049D3" w:rsidRDefault="004E39FE" w:rsidP="0089650B">
      <w:pPr>
        <w:numPr>
          <w:ilvl w:val="0"/>
          <w:numId w:val="7"/>
        </w:numPr>
        <w:spacing w:before="60" w:after="60"/>
        <w:ind w:left="360"/>
        <w:rPr>
          <w:rFonts w:eastAsiaTheme="minorHAnsi" w:cstheme="minorBidi"/>
        </w:rPr>
      </w:pPr>
      <w:r w:rsidRPr="004E39FE">
        <w:rPr>
          <w:rFonts w:eastAsiaTheme="minorHAnsi" w:cstheme="minorBidi"/>
        </w:rPr>
        <w:t xml:space="preserve">96-Well White Plates with clear </w:t>
      </w:r>
      <w:r>
        <w:rPr>
          <w:rFonts w:eastAsiaTheme="minorHAnsi" w:cstheme="minorBidi"/>
        </w:rPr>
        <w:t>bottom.</w:t>
      </w:r>
    </w:p>
    <w:p w14:paraId="222E783B" w14:textId="77777777" w:rsidR="006664D9" w:rsidRPr="002A066A" w:rsidRDefault="000E4FA8" w:rsidP="006664D9">
      <w:pPr>
        <w:spacing w:before="60" w:after="60"/>
      </w:pPr>
      <w:r w:rsidRPr="002A066A">
        <w:br w:type="page"/>
      </w:r>
    </w:p>
    <w:p w14:paraId="6BC731F8" w14:textId="77777777" w:rsidR="006664D9" w:rsidRDefault="006664D9" w:rsidP="006B2A3A">
      <w:pPr>
        <w:pStyle w:val="1Abcamheading"/>
      </w:pPr>
      <w:bookmarkStart w:id="10" w:name="_Toc517906651"/>
      <w:r>
        <w:lastRenderedPageBreak/>
        <w:t>General guidelines, precautions, and troubleshooting</w:t>
      </w:r>
      <w:bookmarkEnd w:id="10"/>
    </w:p>
    <w:p w14:paraId="53D4DC52" w14:textId="77777777" w:rsidR="006664D9" w:rsidRDefault="006664D9" w:rsidP="006664D9">
      <w:pPr>
        <w:pStyle w:val="1AbcamStandardtext"/>
      </w:pPr>
      <w:r>
        <w:t>Please observe safe laboratory practice and consult the safety datasheet.</w:t>
      </w:r>
    </w:p>
    <w:p w14:paraId="28151EEA" w14:textId="77777777" w:rsidR="006664D9" w:rsidRDefault="006664D9" w:rsidP="006664D9">
      <w:pPr>
        <w:pStyle w:val="1AbcamStandardtext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F01D56">
          <w:rPr>
            <w:rStyle w:val="Hyperlink"/>
          </w:rPr>
          <w:t>www.abcam.com/assaykitguidelines</w:t>
        </w:r>
      </w:hyperlink>
    </w:p>
    <w:p w14:paraId="4D4FCAC7" w14:textId="77777777" w:rsidR="00645B4B" w:rsidRDefault="00697363" w:rsidP="006B2A3A">
      <w:pPr>
        <w:pStyle w:val="1AbcamBulletpoints"/>
      </w:pPr>
      <w:r>
        <w:t>For typical data produced using the assay, please see the assay</w:t>
      </w:r>
      <w:r w:rsidR="001402DA">
        <w:t xml:space="preserve"> </w:t>
      </w:r>
      <w:proofErr w:type="gramStart"/>
      <w:r w:rsidR="001402DA">
        <w:t xml:space="preserve">kit </w:t>
      </w:r>
      <w:r>
        <w:t xml:space="preserve"> datasheet</w:t>
      </w:r>
      <w:proofErr w:type="gramEnd"/>
      <w:r>
        <w:t xml:space="preserve"> on our website.</w:t>
      </w:r>
      <w:r w:rsidR="00645B4B">
        <w:br/>
      </w:r>
    </w:p>
    <w:p w14:paraId="214F3B1C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779B7769" w14:textId="77777777" w:rsidR="000E4FA8" w:rsidRPr="002A066A" w:rsidRDefault="000E4FA8" w:rsidP="001E2DD7">
      <w:pPr>
        <w:pStyle w:val="1Abcamheading"/>
      </w:pPr>
      <w:bookmarkStart w:id="11" w:name="_Toc446403819"/>
      <w:bookmarkStart w:id="12" w:name="_Toc517906652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11"/>
      <w:bookmarkEnd w:id="12"/>
    </w:p>
    <w:p w14:paraId="6F9B1665" w14:textId="77777777" w:rsidR="0089650B" w:rsidRPr="0089650B" w:rsidRDefault="0089650B" w:rsidP="0089650B">
      <w:pPr>
        <w:spacing w:before="60" w:after="60"/>
        <w:rPr>
          <w:highlight w:val="yellow"/>
        </w:rPr>
      </w:pPr>
      <w:r w:rsidRPr="0089650B">
        <w:t xml:space="preserve">Briefly centrifuge small vials at low speed prior to opening. </w:t>
      </w:r>
    </w:p>
    <w:p w14:paraId="2BB70B64" w14:textId="77777777" w:rsidR="0089650B" w:rsidRPr="0089650B" w:rsidRDefault="0089650B" w:rsidP="0089650B">
      <w:pPr>
        <w:spacing w:before="60" w:after="60"/>
        <w:ind w:left="567"/>
      </w:pPr>
    </w:p>
    <w:p w14:paraId="283CC7FB" w14:textId="30117E3E" w:rsidR="0089650B" w:rsidRPr="0089650B" w:rsidRDefault="00D47E70" w:rsidP="0089650B">
      <w:pPr>
        <w:numPr>
          <w:ilvl w:val="1"/>
          <w:numId w:val="12"/>
        </w:numPr>
        <w:tabs>
          <w:tab w:val="clear" w:pos="6662"/>
          <w:tab w:val="num" w:pos="0"/>
        </w:tabs>
        <w:spacing w:before="60" w:after="60"/>
        <w:ind w:left="567"/>
        <w:contextualSpacing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Wash Buffer I/</w:t>
      </w:r>
      <w:r w:rsidR="0089650B" w:rsidRPr="0089650B">
        <w:rPr>
          <w:rFonts w:eastAsiaTheme="minorHAnsi" w:cstheme="minorBidi"/>
          <w:b/>
        </w:rPr>
        <w:t>Wash Buffer</w:t>
      </w:r>
    </w:p>
    <w:p w14:paraId="3ED0BB0E" w14:textId="77777777" w:rsidR="0089650B" w:rsidRPr="0089650B" w:rsidRDefault="0089650B" w:rsidP="0089650B">
      <w:pPr>
        <w:numPr>
          <w:ilvl w:val="0"/>
          <w:numId w:val="21"/>
        </w:numPr>
        <w:spacing w:before="60" w:after="60"/>
        <w:contextualSpacing/>
        <w:rPr>
          <w:rFonts w:eastAsiaTheme="minorHAnsi" w:cstheme="minorBidi"/>
          <w:szCs w:val="20"/>
        </w:rPr>
      </w:pPr>
      <w:bookmarkStart w:id="13" w:name="_Hlk515895635"/>
      <w:r w:rsidRPr="0089650B">
        <w:rPr>
          <w:rFonts w:eastAsiaTheme="minorHAnsi" w:cstheme="minorBidi"/>
          <w:szCs w:val="20"/>
        </w:rPr>
        <w:t xml:space="preserve">Ready to use as supplied. </w:t>
      </w:r>
    </w:p>
    <w:p w14:paraId="68A4DDE0" w14:textId="77777777" w:rsidR="0089650B" w:rsidRPr="0089650B" w:rsidRDefault="0089650B" w:rsidP="0089650B">
      <w:pPr>
        <w:numPr>
          <w:ilvl w:val="0"/>
          <w:numId w:val="21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 xml:space="preserve">Bring to 37°C before use. </w:t>
      </w:r>
    </w:p>
    <w:p w14:paraId="17E0D9C2" w14:textId="77777777" w:rsidR="0089650B" w:rsidRPr="0089650B" w:rsidRDefault="0089650B" w:rsidP="0089650B">
      <w:pPr>
        <w:numPr>
          <w:ilvl w:val="0"/>
          <w:numId w:val="21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>Stable for six months after the first thaw.</w:t>
      </w:r>
    </w:p>
    <w:bookmarkEnd w:id="13"/>
    <w:p w14:paraId="280E92DD" w14:textId="77777777" w:rsidR="0089650B" w:rsidRPr="0089650B" w:rsidRDefault="0089650B" w:rsidP="0089650B">
      <w:pPr>
        <w:spacing w:before="60" w:after="60"/>
        <w:ind w:left="567"/>
      </w:pPr>
    </w:p>
    <w:p w14:paraId="5224E247" w14:textId="25B6287D" w:rsidR="0089650B" w:rsidRPr="0089650B" w:rsidRDefault="00D47E70" w:rsidP="0089650B">
      <w:pPr>
        <w:numPr>
          <w:ilvl w:val="1"/>
          <w:numId w:val="12"/>
        </w:numPr>
        <w:tabs>
          <w:tab w:val="clear" w:pos="6662"/>
          <w:tab w:val="num" w:pos="0"/>
        </w:tabs>
        <w:spacing w:before="60" w:after="60"/>
        <w:ind w:left="567"/>
        <w:contextualSpacing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Cell Dissociation Solution II/</w:t>
      </w:r>
      <w:r w:rsidR="0089650B" w:rsidRPr="0089650B">
        <w:rPr>
          <w:rFonts w:eastAsiaTheme="minorHAnsi" w:cstheme="minorBidi"/>
          <w:b/>
        </w:rPr>
        <w:t>Cell Dissociation Solution</w:t>
      </w:r>
    </w:p>
    <w:p w14:paraId="6C09AE42" w14:textId="77777777" w:rsidR="0089650B" w:rsidRPr="0089650B" w:rsidRDefault="0089650B" w:rsidP="0089650B">
      <w:pPr>
        <w:numPr>
          <w:ilvl w:val="0"/>
          <w:numId w:val="25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>Ready to use as supplied.</w:t>
      </w:r>
    </w:p>
    <w:p w14:paraId="4A6F0C77" w14:textId="77777777" w:rsidR="0089650B" w:rsidRPr="0089650B" w:rsidRDefault="0089650B" w:rsidP="0089650B">
      <w:pPr>
        <w:numPr>
          <w:ilvl w:val="0"/>
          <w:numId w:val="25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 xml:space="preserve">Bring to 37°C before use. </w:t>
      </w:r>
    </w:p>
    <w:p w14:paraId="213E200D" w14:textId="77777777" w:rsidR="0089650B" w:rsidRPr="0089650B" w:rsidRDefault="0089650B" w:rsidP="0089650B">
      <w:pPr>
        <w:numPr>
          <w:ilvl w:val="0"/>
          <w:numId w:val="25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>Stable for six months after the first thaw.</w:t>
      </w:r>
    </w:p>
    <w:p w14:paraId="67605EFF" w14:textId="77777777" w:rsidR="0089650B" w:rsidRPr="0089650B" w:rsidRDefault="0089650B" w:rsidP="0089650B">
      <w:pPr>
        <w:spacing w:before="60" w:after="60"/>
        <w:ind w:left="567"/>
      </w:pPr>
    </w:p>
    <w:p w14:paraId="77295964" w14:textId="77777777" w:rsidR="0089650B" w:rsidRPr="0089650B" w:rsidRDefault="0089650B" w:rsidP="0089650B">
      <w:pPr>
        <w:numPr>
          <w:ilvl w:val="1"/>
          <w:numId w:val="12"/>
        </w:numPr>
        <w:tabs>
          <w:tab w:val="clear" w:pos="6662"/>
          <w:tab w:val="num" w:pos="0"/>
        </w:tabs>
        <w:spacing w:before="60" w:after="60"/>
        <w:ind w:left="567"/>
        <w:contextualSpacing/>
        <w:rPr>
          <w:rFonts w:eastAsiaTheme="minorHAnsi" w:cstheme="minorBidi"/>
          <w:b/>
        </w:rPr>
      </w:pPr>
      <w:r w:rsidRPr="0089650B">
        <w:rPr>
          <w:rFonts w:eastAsiaTheme="minorHAnsi" w:cstheme="minorBidi"/>
          <w:b/>
        </w:rPr>
        <w:t>Control Migration Inducer</w:t>
      </w:r>
    </w:p>
    <w:p w14:paraId="08573BBB" w14:textId="77777777" w:rsidR="0089650B" w:rsidRPr="0089650B" w:rsidRDefault="0089650B" w:rsidP="0089650B">
      <w:pPr>
        <w:numPr>
          <w:ilvl w:val="0"/>
          <w:numId w:val="28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>Ready to use as supplied.</w:t>
      </w:r>
    </w:p>
    <w:p w14:paraId="159B25B7" w14:textId="77777777" w:rsidR="0089650B" w:rsidRPr="0089650B" w:rsidRDefault="0089650B" w:rsidP="0089650B">
      <w:pPr>
        <w:numPr>
          <w:ilvl w:val="0"/>
          <w:numId w:val="28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 xml:space="preserve">Bring to 37°C before use. </w:t>
      </w:r>
    </w:p>
    <w:p w14:paraId="7C029A78" w14:textId="77777777" w:rsidR="0089650B" w:rsidRPr="0089650B" w:rsidRDefault="0089650B" w:rsidP="0089650B">
      <w:pPr>
        <w:numPr>
          <w:ilvl w:val="0"/>
          <w:numId w:val="28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>Stable for six months after the first thaw.</w:t>
      </w:r>
    </w:p>
    <w:p w14:paraId="0AECE841" w14:textId="77777777" w:rsidR="0089650B" w:rsidRPr="0089650B" w:rsidRDefault="0089650B" w:rsidP="0089650B">
      <w:pPr>
        <w:spacing w:before="60" w:after="60"/>
        <w:ind w:left="567"/>
      </w:pPr>
    </w:p>
    <w:p w14:paraId="3D96C66D" w14:textId="2B3E1359" w:rsidR="0089650B" w:rsidRPr="0089650B" w:rsidRDefault="00D47E70" w:rsidP="0089650B">
      <w:pPr>
        <w:numPr>
          <w:ilvl w:val="1"/>
          <w:numId w:val="12"/>
        </w:numPr>
        <w:tabs>
          <w:tab w:val="clear" w:pos="6662"/>
          <w:tab w:val="num" w:pos="0"/>
        </w:tabs>
        <w:spacing w:before="60" w:after="60"/>
        <w:ind w:left="567"/>
        <w:contextualSpacing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Cell Dye I/</w:t>
      </w:r>
      <w:r w:rsidR="0089650B" w:rsidRPr="0089650B">
        <w:rPr>
          <w:rFonts w:eastAsiaTheme="minorHAnsi" w:cstheme="minorBidi"/>
          <w:b/>
        </w:rPr>
        <w:t>Cell Dye</w:t>
      </w:r>
    </w:p>
    <w:p w14:paraId="5C472202" w14:textId="77777777" w:rsidR="0089650B" w:rsidRPr="0089650B" w:rsidRDefault="0089650B" w:rsidP="0089650B">
      <w:pPr>
        <w:numPr>
          <w:ilvl w:val="0"/>
          <w:numId w:val="26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>Ready to use as supplied.</w:t>
      </w:r>
    </w:p>
    <w:p w14:paraId="2FF07B79" w14:textId="77777777" w:rsidR="0089650B" w:rsidRPr="0089650B" w:rsidRDefault="0089650B" w:rsidP="0089650B">
      <w:pPr>
        <w:numPr>
          <w:ilvl w:val="0"/>
          <w:numId w:val="26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 xml:space="preserve">Aliquot and store at -20°C. </w:t>
      </w:r>
    </w:p>
    <w:p w14:paraId="37BD9525" w14:textId="77777777" w:rsidR="0089650B" w:rsidRPr="0089650B" w:rsidRDefault="0089650B" w:rsidP="0089650B">
      <w:pPr>
        <w:numPr>
          <w:ilvl w:val="0"/>
          <w:numId w:val="26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>Bring to 37°C before use.</w:t>
      </w:r>
    </w:p>
    <w:p w14:paraId="7F0F6B27" w14:textId="77777777" w:rsidR="0089650B" w:rsidRPr="0089650B" w:rsidRDefault="0089650B" w:rsidP="0089650B">
      <w:pPr>
        <w:spacing w:before="60" w:after="60"/>
        <w:ind w:left="567"/>
        <w:contextualSpacing/>
        <w:rPr>
          <w:rFonts w:eastAsiaTheme="minorHAnsi" w:cstheme="minorBidi"/>
          <w:b/>
        </w:rPr>
      </w:pPr>
    </w:p>
    <w:p w14:paraId="0D8EB8A6" w14:textId="6912E2C9" w:rsidR="0089650B" w:rsidRPr="0089650B" w:rsidRDefault="00D47E70" w:rsidP="0089650B">
      <w:pPr>
        <w:numPr>
          <w:ilvl w:val="1"/>
          <w:numId w:val="12"/>
        </w:numPr>
        <w:tabs>
          <w:tab w:val="clear" w:pos="6662"/>
          <w:tab w:val="num" w:pos="0"/>
        </w:tabs>
        <w:spacing w:before="60" w:after="60"/>
        <w:ind w:left="567"/>
        <w:contextualSpacing/>
        <w:rPr>
          <w:rFonts w:eastAsiaTheme="minorHAnsi" w:cstheme="minorBidi"/>
          <w:b/>
        </w:rPr>
      </w:pPr>
      <w:r w:rsidRPr="00D47E70">
        <w:rPr>
          <w:rFonts w:cs="Arial"/>
          <w:b/>
          <w:color w:val="000000"/>
          <w:szCs w:val="20"/>
        </w:rPr>
        <w:t>Cell Migration Chamber (12 x 5µm)/</w:t>
      </w:r>
      <w:r w:rsidR="0089650B" w:rsidRPr="0089650B">
        <w:rPr>
          <w:rFonts w:eastAsiaTheme="minorHAnsi" w:cstheme="minorBidi"/>
          <w:b/>
        </w:rPr>
        <w:t>Cell Migration Chamber</w:t>
      </w:r>
    </w:p>
    <w:p w14:paraId="374E66FC" w14:textId="77777777" w:rsidR="0089650B" w:rsidRPr="0089650B" w:rsidRDefault="0089650B" w:rsidP="0089650B">
      <w:pPr>
        <w:numPr>
          <w:ilvl w:val="0"/>
          <w:numId w:val="27"/>
        </w:numPr>
        <w:spacing w:before="60" w:after="60"/>
        <w:contextualSpacing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 xml:space="preserve">Open under sterile conditions.  </w:t>
      </w:r>
    </w:p>
    <w:p w14:paraId="0D8A6223" w14:textId="4E38EE7A" w:rsidR="00E56AC7" w:rsidRPr="0089650B" w:rsidRDefault="00E56AC7">
      <w:pPr>
        <w:spacing w:before="0" w:after="0"/>
      </w:pPr>
      <w:bookmarkStart w:id="14" w:name="_Toc446403821"/>
      <w:bookmarkEnd w:id="14"/>
      <w:r>
        <w:rPr>
          <w:lang w:val="en-AU"/>
        </w:rPr>
        <w:br w:type="page"/>
      </w:r>
    </w:p>
    <w:p w14:paraId="10E39FC0" w14:textId="77777777" w:rsidR="00B86D77" w:rsidRPr="002A066A" w:rsidRDefault="00174FD5" w:rsidP="00380497">
      <w:pPr>
        <w:pStyle w:val="1Abcamheading"/>
      </w:pPr>
      <w:bookmarkStart w:id="15" w:name="_Toc517906653"/>
      <w:r w:rsidRPr="002A066A">
        <w:lastRenderedPageBreak/>
        <w:t>Assay Procedure</w:t>
      </w:r>
      <w:bookmarkEnd w:id="3"/>
      <w:bookmarkEnd w:id="15"/>
    </w:p>
    <w:p w14:paraId="3D138005" w14:textId="77777777" w:rsidR="0089650B" w:rsidRPr="0089650B" w:rsidRDefault="0089650B" w:rsidP="0089650B">
      <w:pPr>
        <w:numPr>
          <w:ilvl w:val="0"/>
          <w:numId w:val="9"/>
        </w:numPr>
        <w:spacing w:before="60" w:after="60"/>
        <w:ind w:left="357" w:hanging="357"/>
        <w:rPr>
          <w:rFonts w:eastAsiaTheme="minorHAnsi" w:cstheme="minorBidi"/>
        </w:rPr>
      </w:pPr>
      <w:bookmarkStart w:id="16" w:name="_Toc271554832"/>
      <w:bookmarkStart w:id="17" w:name="_Toc273532551"/>
      <w:r w:rsidRPr="0089650B">
        <w:rPr>
          <w:rFonts w:eastAsiaTheme="minorHAnsi" w:cstheme="minorBidi"/>
        </w:rPr>
        <w:t>Equilibrate all materials and prepared reagents to room temperature just prior to use and gently agitate.</w:t>
      </w:r>
    </w:p>
    <w:p w14:paraId="302308F3" w14:textId="77777777" w:rsidR="0089650B" w:rsidRPr="0089650B" w:rsidRDefault="0089650B" w:rsidP="0089650B">
      <w:pPr>
        <w:numPr>
          <w:ilvl w:val="0"/>
          <w:numId w:val="9"/>
        </w:numPr>
        <w:spacing w:before="60" w:after="60"/>
        <w:ind w:left="357" w:hanging="357"/>
        <w:rPr>
          <w:rFonts w:eastAsiaTheme="minorHAnsi" w:cstheme="minorBidi"/>
        </w:rPr>
      </w:pPr>
      <w:r w:rsidRPr="0089650B">
        <w:rPr>
          <w:rFonts w:eastAsiaTheme="minorHAnsi" w:cstheme="minorBidi"/>
        </w:rPr>
        <w:t xml:space="preserve">Assay all standards, </w:t>
      </w:r>
      <w:proofErr w:type="gramStart"/>
      <w:r w:rsidRPr="0089650B">
        <w:rPr>
          <w:rFonts w:eastAsiaTheme="minorHAnsi" w:cstheme="minorBidi"/>
        </w:rPr>
        <w:t>controls</w:t>
      </w:r>
      <w:proofErr w:type="gramEnd"/>
      <w:r w:rsidRPr="0089650B">
        <w:rPr>
          <w:rFonts w:eastAsiaTheme="minorHAnsi" w:cstheme="minorBidi"/>
        </w:rPr>
        <w:t xml:space="preserve"> and samples in duplicate.</w:t>
      </w:r>
    </w:p>
    <w:p w14:paraId="4B1B108B" w14:textId="77777777" w:rsidR="0089650B" w:rsidRPr="0089650B" w:rsidRDefault="0089650B" w:rsidP="0089650B">
      <w:pPr>
        <w:spacing w:before="60" w:after="60"/>
        <w:ind w:left="1440" w:hanging="360"/>
        <w:contextualSpacing/>
      </w:pPr>
    </w:p>
    <w:p w14:paraId="68567C29" w14:textId="77777777" w:rsidR="0089650B" w:rsidRPr="0089650B" w:rsidRDefault="0089650B" w:rsidP="0089650B">
      <w:pPr>
        <w:numPr>
          <w:ilvl w:val="1"/>
          <w:numId w:val="12"/>
        </w:numPr>
        <w:tabs>
          <w:tab w:val="clear" w:pos="6662"/>
          <w:tab w:val="num" w:pos="0"/>
        </w:tabs>
        <w:spacing w:before="60" w:after="60"/>
        <w:ind w:left="567"/>
        <w:rPr>
          <w:rFonts w:eastAsiaTheme="minorHAnsi" w:cstheme="minorBidi"/>
          <w:b/>
        </w:rPr>
      </w:pPr>
      <w:r w:rsidRPr="0089650B">
        <w:rPr>
          <w:rFonts w:eastAsiaTheme="minorHAnsi" w:cstheme="minorBidi"/>
          <w:b/>
        </w:rPr>
        <w:t>Cell Migration Assay Protocol:</w:t>
      </w:r>
    </w:p>
    <w:p w14:paraId="58E61EAA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szCs w:val="20"/>
        </w:rPr>
        <w:t xml:space="preserve">Grow enough cells to perform a Cell Migration Assay and a Standard Curve in desired media and culture conditions. </w:t>
      </w:r>
    </w:p>
    <w:p w14:paraId="0F333D92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szCs w:val="20"/>
        </w:rPr>
        <w:t xml:space="preserve">Adherent cells should be cultured to ~80% confluence. Prior to the assay, starve cells for 18-24 </w:t>
      </w:r>
      <w:proofErr w:type="gramStart"/>
      <w:r w:rsidRPr="0089650B">
        <w:rPr>
          <w:rFonts w:eastAsiaTheme="minorHAnsi" w:cstheme="minorBidi"/>
          <w:szCs w:val="20"/>
        </w:rPr>
        <w:t>h  in</w:t>
      </w:r>
      <w:proofErr w:type="gramEnd"/>
      <w:r w:rsidRPr="0089650B">
        <w:rPr>
          <w:rFonts w:eastAsiaTheme="minorHAnsi" w:cstheme="minorBidi"/>
          <w:szCs w:val="20"/>
        </w:rPr>
        <w:t xml:space="preserve"> serum-free media (0.5% serum can be used if needed). </w:t>
      </w:r>
    </w:p>
    <w:p w14:paraId="3BCDCD66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szCs w:val="20"/>
        </w:rPr>
        <w:t xml:space="preserve">After starvation, harvest cells and centrifuge at 1,000 x </w:t>
      </w:r>
      <w:r w:rsidRPr="0089650B">
        <w:rPr>
          <w:rFonts w:eastAsiaTheme="minorHAnsi" w:cstheme="minorBidi"/>
          <w:i/>
          <w:szCs w:val="20"/>
        </w:rPr>
        <w:t>g</w:t>
      </w:r>
      <w:r w:rsidRPr="0089650B">
        <w:rPr>
          <w:rFonts w:eastAsiaTheme="minorHAnsi" w:cstheme="minorBidi"/>
          <w:szCs w:val="20"/>
        </w:rPr>
        <w:t xml:space="preserve">, for 5 minutes to pellet them. </w:t>
      </w:r>
    </w:p>
    <w:p w14:paraId="614DA735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szCs w:val="20"/>
        </w:rPr>
        <w:t xml:space="preserve">Resuspend the cell pellet in serum-free media and count the number of cells using a hemocytometer or an automated cell counter. </w:t>
      </w:r>
    </w:p>
    <w:p w14:paraId="7B147E55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szCs w:val="20"/>
        </w:rPr>
        <w:t>Resuspend cells at 1 x 10</w:t>
      </w:r>
      <w:r w:rsidRPr="0089650B">
        <w:rPr>
          <w:rFonts w:eastAsiaTheme="minorHAnsi" w:cstheme="minorBidi"/>
          <w:szCs w:val="20"/>
          <w:vertAlign w:val="superscript"/>
        </w:rPr>
        <w:t>6</w:t>
      </w:r>
      <w:r w:rsidRPr="0089650B">
        <w:rPr>
          <w:rFonts w:eastAsiaTheme="minorHAnsi" w:cstheme="minorBidi"/>
          <w:szCs w:val="20"/>
        </w:rPr>
        <w:t xml:space="preserve"> cells/mL in a serum-free media. </w:t>
      </w:r>
    </w:p>
    <w:p w14:paraId="5C3F7A2A" w14:textId="149326DE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szCs w:val="20"/>
        </w:rPr>
      </w:pPr>
      <w:r w:rsidRPr="0089650B">
        <w:rPr>
          <w:rFonts w:eastAsiaTheme="minorHAnsi" w:cstheme="minorBidi"/>
          <w:szCs w:val="20"/>
        </w:rPr>
        <w:t xml:space="preserve">Under sterile conditions, disassemble the </w:t>
      </w:r>
      <w:r w:rsidR="00D47E70" w:rsidRPr="00D47E70">
        <w:rPr>
          <w:rFonts w:cs="Arial"/>
          <w:bCs/>
          <w:color w:val="000000"/>
          <w:szCs w:val="20"/>
        </w:rPr>
        <w:t>Cell Migration Chamber (12 x 5µm)/</w:t>
      </w:r>
      <w:r w:rsidRPr="0089650B">
        <w:rPr>
          <w:rFonts w:eastAsiaTheme="minorHAnsi" w:cstheme="minorBidi"/>
          <w:szCs w:val="20"/>
        </w:rPr>
        <w:t>Cell Migration Chamber (Figure 1) and carefully remove the plate cover and the top chamber.</w:t>
      </w:r>
    </w:p>
    <w:p w14:paraId="1F8473B6" w14:textId="77777777" w:rsidR="00C52378" w:rsidRPr="002A066A" w:rsidRDefault="00C52378" w:rsidP="00E1415E">
      <w:pPr>
        <w:pStyle w:val="MediumGrid1-Accent21"/>
        <w:numPr>
          <w:ilvl w:val="0"/>
          <w:numId w:val="0"/>
        </w:numPr>
        <w:spacing w:before="60" w:after="60"/>
        <w:ind w:left="1440" w:hanging="360"/>
      </w:pPr>
    </w:p>
    <w:p w14:paraId="40FBCE4A" w14:textId="77777777" w:rsidR="00E90961" w:rsidRPr="002A066A" w:rsidRDefault="00E90961" w:rsidP="00E90961">
      <w:pPr>
        <w:pStyle w:val="1AbcamStandardtext"/>
      </w:pPr>
    </w:p>
    <w:p w14:paraId="49E96E3B" w14:textId="667BA9AF" w:rsidR="00E90961" w:rsidRDefault="00E90961">
      <w:pPr>
        <w:spacing w:before="0" w:after="0"/>
      </w:pPr>
    </w:p>
    <w:p w14:paraId="312983A7" w14:textId="229782C1" w:rsidR="0089650B" w:rsidRDefault="0089650B">
      <w:pPr>
        <w:spacing w:before="0" w:after="0"/>
      </w:pPr>
    </w:p>
    <w:p w14:paraId="297FF04C" w14:textId="7E5CDA08" w:rsidR="0089650B" w:rsidRDefault="0089650B">
      <w:pPr>
        <w:spacing w:before="0" w:after="0"/>
      </w:pPr>
    </w:p>
    <w:p w14:paraId="4B256BB4" w14:textId="3D013567" w:rsidR="0089650B" w:rsidRDefault="0089650B">
      <w:pPr>
        <w:spacing w:before="0" w:after="0"/>
      </w:pPr>
    </w:p>
    <w:p w14:paraId="726A847C" w14:textId="2711BB43" w:rsidR="0089650B" w:rsidRDefault="0089650B">
      <w:pPr>
        <w:spacing w:before="0" w:after="0"/>
      </w:pPr>
    </w:p>
    <w:p w14:paraId="6E49C10B" w14:textId="01D4B1C2" w:rsidR="0089650B" w:rsidRDefault="0089650B">
      <w:pPr>
        <w:spacing w:before="0" w:after="0"/>
      </w:pPr>
    </w:p>
    <w:p w14:paraId="57B40384" w14:textId="4F3F357F" w:rsidR="0089650B" w:rsidRDefault="0089650B">
      <w:pPr>
        <w:spacing w:before="0" w:after="0"/>
      </w:pPr>
    </w:p>
    <w:p w14:paraId="46F428E5" w14:textId="4B97AA10" w:rsidR="0089650B" w:rsidRDefault="0089650B">
      <w:pPr>
        <w:spacing w:before="0" w:after="0"/>
      </w:pPr>
    </w:p>
    <w:p w14:paraId="14641117" w14:textId="6A6904BF" w:rsidR="0089650B" w:rsidRDefault="0089650B">
      <w:pPr>
        <w:spacing w:before="0" w:after="0"/>
      </w:pPr>
    </w:p>
    <w:p w14:paraId="59E7FD7C" w14:textId="381C62D4" w:rsidR="0089650B" w:rsidRDefault="0089650B">
      <w:pPr>
        <w:spacing w:before="0" w:after="0"/>
      </w:pPr>
    </w:p>
    <w:p w14:paraId="3408230D" w14:textId="53E05431" w:rsidR="0089650B" w:rsidRDefault="0089650B">
      <w:pPr>
        <w:spacing w:before="0" w:after="0"/>
      </w:pPr>
    </w:p>
    <w:p w14:paraId="600ABA22" w14:textId="460BB1CD" w:rsidR="0089650B" w:rsidRDefault="0089650B">
      <w:pPr>
        <w:spacing w:before="0" w:after="0"/>
      </w:pPr>
    </w:p>
    <w:p w14:paraId="49B0E442" w14:textId="3DD62570" w:rsidR="0089650B" w:rsidRDefault="0089650B">
      <w:pPr>
        <w:spacing w:before="0" w:after="0"/>
      </w:pPr>
    </w:p>
    <w:p w14:paraId="5B671EEA" w14:textId="78951452" w:rsidR="0089650B" w:rsidRDefault="0089650B">
      <w:pPr>
        <w:spacing w:before="0" w:after="0"/>
      </w:pPr>
    </w:p>
    <w:p w14:paraId="0A3975CB" w14:textId="40E69590" w:rsidR="0089650B" w:rsidRDefault="0089650B">
      <w:pPr>
        <w:spacing w:before="0" w:after="0"/>
      </w:pPr>
    </w:p>
    <w:p w14:paraId="6904985E" w14:textId="1C27A5C0" w:rsidR="0089650B" w:rsidRDefault="0089650B">
      <w:pPr>
        <w:spacing w:before="0" w:after="0"/>
      </w:pPr>
    </w:p>
    <w:p w14:paraId="380E6641" w14:textId="507AE9EA" w:rsidR="0089650B" w:rsidRDefault="0089650B">
      <w:pPr>
        <w:spacing w:before="0" w:after="0"/>
      </w:pPr>
      <w:r>
        <w:rPr>
          <w:noProof/>
          <w:lang w:val="en-GB"/>
        </w:rPr>
        <w:lastRenderedPageBreak/>
        <w:drawing>
          <wp:inline distT="0" distB="0" distL="0" distR="0" wp14:anchorId="4671F982" wp14:editId="1D7DD409">
            <wp:extent cx="3312000" cy="2778898"/>
            <wp:effectExtent l="0" t="0" r="317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46.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12000" cy="277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6ACB5" w14:textId="77777777" w:rsidR="0089650B" w:rsidRPr="0089650B" w:rsidRDefault="0089650B" w:rsidP="0089650B">
      <w:pPr>
        <w:spacing w:before="60" w:after="60"/>
        <w:ind w:left="360"/>
        <w:rPr>
          <w:noProof/>
          <w:sz w:val="18"/>
        </w:rPr>
      </w:pPr>
      <w:r w:rsidRPr="0089650B">
        <w:rPr>
          <w:b/>
          <w:noProof/>
          <w:sz w:val="18"/>
        </w:rPr>
        <w:t>Figure 1</w:t>
      </w:r>
      <w:r w:rsidRPr="0089650B">
        <w:rPr>
          <w:noProof/>
          <w:sz w:val="18"/>
        </w:rPr>
        <w:t>. Cell Invasion plate: The cells are added to the Top Chamber and the Control Invasion Inducer or chemoattractant are added to the Bottom Chamber.</w:t>
      </w:r>
    </w:p>
    <w:p w14:paraId="54EC9570" w14:textId="77777777" w:rsidR="0089650B" w:rsidRPr="0089650B" w:rsidRDefault="0089650B" w:rsidP="0089650B">
      <w:pPr>
        <w:spacing w:before="0" w:after="0"/>
      </w:pPr>
    </w:p>
    <w:p w14:paraId="132DC2EE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b/>
          <w:color w:val="000000"/>
          <w:szCs w:val="20"/>
        </w:rPr>
        <w:t>Bottom Chamber:</w:t>
      </w:r>
      <w:r w:rsidRPr="0089650B">
        <w:rPr>
          <w:rFonts w:eastAsiaTheme="minorHAnsi" w:cstheme="minorBidi"/>
          <w:color w:val="000000"/>
          <w:szCs w:val="20"/>
        </w:rPr>
        <w:t xml:space="preserve"> Add 600 µL of serum-free media per well containing desired chemoattractant to the bottom chamber. </w:t>
      </w:r>
    </w:p>
    <w:p w14:paraId="5D9BE4BF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In control well(s), we recommend omitting the chemoattractant. </w:t>
      </w:r>
    </w:p>
    <w:p w14:paraId="40A36DBF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For positive control, add 60 µL of Control Migration Inducer to 540 µL of media in the bottom chamber. </w:t>
      </w:r>
    </w:p>
    <w:p w14:paraId="58B6039D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Place the top chamber back into the bottom chamber. </w:t>
      </w:r>
    </w:p>
    <w:p w14:paraId="59B585F6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>Ensure no air bubbles are trapped between the top and the bottom chamber.</w:t>
      </w:r>
    </w:p>
    <w:p w14:paraId="23E105BC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b/>
          <w:color w:val="000000"/>
          <w:szCs w:val="20"/>
        </w:rPr>
        <w:t>Top Chamber:</w:t>
      </w:r>
      <w:r w:rsidRPr="0089650B">
        <w:rPr>
          <w:rFonts w:eastAsiaTheme="minorHAnsi" w:cstheme="minorBidi"/>
          <w:color w:val="000000"/>
          <w:szCs w:val="20"/>
        </w:rPr>
        <w:t xml:space="preserve"> Add 200 µL (2-3 x 10</w:t>
      </w:r>
      <w:r w:rsidRPr="0089650B">
        <w:rPr>
          <w:rFonts w:eastAsiaTheme="minorHAnsi" w:cstheme="minorBidi"/>
          <w:color w:val="000000"/>
          <w:szCs w:val="20"/>
          <w:vertAlign w:val="superscript"/>
        </w:rPr>
        <w:t>5</w:t>
      </w:r>
      <w:r w:rsidRPr="0089650B">
        <w:rPr>
          <w:rFonts w:eastAsiaTheme="minorHAnsi" w:cstheme="minorBidi"/>
          <w:color w:val="000000"/>
          <w:szCs w:val="20"/>
        </w:rPr>
        <w:t xml:space="preserve"> cells) of cell suspension to each well of the top chamber. </w:t>
      </w:r>
    </w:p>
    <w:p w14:paraId="0AA5CF32" w14:textId="77777777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Add desired stimulator or inhibitor to the top well, and gently mix. </w:t>
      </w:r>
    </w:p>
    <w:p w14:paraId="160A7919" w14:textId="6C46D110" w:rsidR="0089650B" w:rsidRPr="0089650B" w:rsidRDefault="0089650B" w:rsidP="0089650B">
      <w:pPr>
        <w:numPr>
          <w:ilvl w:val="0"/>
          <w:numId w:val="6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Carefully place the plate cover and incubate the </w:t>
      </w:r>
      <w:r w:rsidR="00D47E70" w:rsidRPr="00D47E70">
        <w:rPr>
          <w:rFonts w:cs="Arial"/>
          <w:bCs/>
          <w:color w:val="000000"/>
          <w:szCs w:val="20"/>
        </w:rPr>
        <w:t>Cell Migration Chamber (12 x 5µm)/</w:t>
      </w:r>
      <w:r w:rsidRPr="0089650B">
        <w:rPr>
          <w:rFonts w:eastAsiaTheme="minorHAnsi" w:cstheme="minorBidi"/>
          <w:color w:val="000000"/>
          <w:szCs w:val="20"/>
        </w:rPr>
        <w:t>Cell Migration Chamber at 37°C in CO</w:t>
      </w:r>
      <w:r w:rsidRPr="0089650B">
        <w:rPr>
          <w:rFonts w:eastAsiaTheme="minorHAnsi" w:cstheme="minorBidi"/>
          <w:color w:val="000000"/>
          <w:szCs w:val="20"/>
          <w:vertAlign w:val="subscript"/>
        </w:rPr>
        <w:t>2</w:t>
      </w:r>
      <w:r w:rsidRPr="0089650B">
        <w:rPr>
          <w:rFonts w:eastAsiaTheme="minorHAnsi" w:cstheme="minorBidi"/>
          <w:color w:val="000000"/>
          <w:szCs w:val="20"/>
        </w:rPr>
        <w:t xml:space="preserve"> incubator for 2-48 hours.</w:t>
      </w:r>
    </w:p>
    <w:p w14:paraId="166C88BB" w14:textId="44F4F5A9" w:rsidR="0089650B" w:rsidRDefault="0089650B">
      <w:pPr>
        <w:spacing w:before="0" w:after="0"/>
      </w:pPr>
    </w:p>
    <w:p w14:paraId="04812FBC" w14:textId="7FA787D7" w:rsidR="0089650B" w:rsidRDefault="0089650B">
      <w:pPr>
        <w:spacing w:before="0" w:after="0"/>
      </w:pPr>
    </w:p>
    <w:p w14:paraId="59134FBF" w14:textId="77777777" w:rsidR="0089650B" w:rsidRDefault="0089650B">
      <w:pPr>
        <w:spacing w:before="0" w:after="0"/>
      </w:pPr>
    </w:p>
    <w:p w14:paraId="55BABF7A" w14:textId="77777777" w:rsidR="0089650B" w:rsidRPr="0089650B" w:rsidRDefault="0089650B" w:rsidP="0089650B">
      <w:pPr>
        <w:spacing w:before="60" w:after="60"/>
        <w:ind w:left="3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b/>
          <w:color w:val="000000"/>
          <w:szCs w:val="20"/>
        </w:rPr>
        <w:sym w:font="Symbol" w:char="F044"/>
      </w:r>
      <w:r w:rsidRPr="0089650B">
        <w:rPr>
          <w:rFonts w:eastAsiaTheme="minorHAnsi" w:cstheme="minorBidi"/>
          <w:b/>
          <w:color w:val="000000"/>
          <w:szCs w:val="20"/>
        </w:rPr>
        <w:t xml:space="preserve"> Note</w:t>
      </w:r>
      <w:r w:rsidRPr="0089650B">
        <w:rPr>
          <w:rFonts w:eastAsiaTheme="minorHAnsi" w:cstheme="minorBidi"/>
          <w:color w:val="000000"/>
          <w:szCs w:val="20"/>
        </w:rPr>
        <w:t>: Migratory cells pass through the polycarbonate membrane and/or cling to the outer side of the top chamber. Non-migratory cells stay in the upper chamber.</w:t>
      </w:r>
    </w:p>
    <w:p w14:paraId="78509F88" w14:textId="77777777" w:rsidR="0089650B" w:rsidRPr="0089650B" w:rsidRDefault="0089650B" w:rsidP="0089650B">
      <w:pPr>
        <w:spacing w:before="60" w:after="60"/>
        <w:ind w:left="3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b/>
          <w:color w:val="000000"/>
          <w:szCs w:val="20"/>
        </w:rPr>
        <w:sym w:font="Symbol" w:char="F044"/>
      </w:r>
      <w:r w:rsidRPr="0089650B">
        <w:rPr>
          <w:rFonts w:eastAsiaTheme="minorHAnsi" w:cstheme="minorBidi"/>
          <w:b/>
          <w:color w:val="000000"/>
          <w:szCs w:val="20"/>
        </w:rPr>
        <w:t xml:space="preserve"> Note</w:t>
      </w:r>
      <w:r w:rsidRPr="0089650B">
        <w:rPr>
          <w:rFonts w:eastAsiaTheme="minorHAnsi" w:cstheme="minorBidi"/>
          <w:color w:val="000000"/>
          <w:szCs w:val="20"/>
        </w:rPr>
        <w:t>: If required, media with 0.1% serum can be used in top chamber.</w:t>
      </w:r>
    </w:p>
    <w:p w14:paraId="48051A0B" w14:textId="77777777" w:rsidR="0089650B" w:rsidRPr="0089650B" w:rsidRDefault="0089650B" w:rsidP="0089650B">
      <w:pPr>
        <w:spacing w:before="0" w:after="0"/>
      </w:pPr>
    </w:p>
    <w:p w14:paraId="06C4F8BB" w14:textId="77777777" w:rsidR="0089650B" w:rsidRPr="0089650B" w:rsidRDefault="0089650B" w:rsidP="0089650B">
      <w:pPr>
        <w:numPr>
          <w:ilvl w:val="1"/>
          <w:numId w:val="12"/>
        </w:numPr>
        <w:tabs>
          <w:tab w:val="clear" w:pos="6662"/>
          <w:tab w:val="num" w:pos="0"/>
        </w:tabs>
        <w:spacing w:before="60" w:after="60"/>
        <w:ind w:left="567"/>
        <w:rPr>
          <w:rFonts w:eastAsiaTheme="minorHAnsi" w:cstheme="minorBidi"/>
          <w:b/>
        </w:rPr>
      </w:pPr>
      <w:r w:rsidRPr="0089650B">
        <w:rPr>
          <w:rFonts w:eastAsiaTheme="minorHAnsi" w:cstheme="minorBidi"/>
          <w:b/>
        </w:rPr>
        <w:t>Standard Curve:</w:t>
      </w:r>
    </w:p>
    <w:p w14:paraId="4D86E484" w14:textId="45E7D756" w:rsidR="0089650B" w:rsidRPr="0089650B" w:rsidRDefault="0089650B" w:rsidP="0089650B">
      <w:pPr>
        <w:numPr>
          <w:ilvl w:val="0"/>
          <w:numId w:val="29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>Each cell type requires a separate Standard Curve. Prepare a Standard Curve by adding 50 µL cell suspension (1 x 10</w:t>
      </w:r>
      <w:r w:rsidRPr="0089650B">
        <w:rPr>
          <w:rFonts w:eastAsiaTheme="minorHAnsi" w:cstheme="minorBidi"/>
          <w:color w:val="000000"/>
          <w:szCs w:val="20"/>
          <w:vertAlign w:val="superscript"/>
        </w:rPr>
        <w:t>6</w:t>
      </w:r>
      <w:r w:rsidRPr="0089650B">
        <w:rPr>
          <w:rFonts w:eastAsiaTheme="minorHAnsi" w:cstheme="minorBidi"/>
          <w:color w:val="000000"/>
          <w:szCs w:val="20"/>
        </w:rPr>
        <w:t xml:space="preserve"> cells/mL, 50,000 cells) per well in</w:t>
      </w:r>
      <w:r w:rsidR="004E39FE" w:rsidRPr="004E39FE">
        <w:rPr>
          <w:rFonts w:eastAsiaTheme="minorHAnsi" w:cstheme="minorBidi"/>
          <w:color w:val="000000"/>
          <w:szCs w:val="20"/>
        </w:rPr>
        <w:t xml:space="preserve"> 96</w:t>
      </w:r>
      <w:r w:rsidR="004E39FE">
        <w:rPr>
          <w:rFonts w:eastAsiaTheme="minorHAnsi" w:cstheme="minorBidi"/>
          <w:color w:val="000000"/>
          <w:szCs w:val="20"/>
        </w:rPr>
        <w:t>-</w:t>
      </w:r>
      <w:r w:rsidR="004E39FE" w:rsidRPr="004E39FE">
        <w:rPr>
          <w:rFonts w:eastAsiaTheme="minorHAnsi" w:cstheme="minorBidi"/>
          <w:color w:val="000000"/>
          <w:szCs w:val="20"/>
        </w:rPr>
        <w:t xml:space="preserve">well white plates with a clear </w:t>
      </w:r>
      <w:r w:rsidR="004E39FE">
        <w:rPr>
          <w:rFonts w:eastAsiaTheme="minorHAnsi" w:cstheme="minorBidi"/>
          <w:color w:val="000000"/>
          <w:szCs w:val="20"/>
        </w:rPr>
        <w:t>bottom.</w:t>
      </w:r>
    </w:p>
    <w:p w14:paraId="4AF979D7" w14:textId="05FE61ED" w:rsidR="0089650B" w:rsidRPr="0089650B" w:rsidRDefault="0089650B" w:rsidP="0089650B">
      <w:pPr>
        <w:numPr>
          <w:ilvl w:val="0"/>
          <w:numId w:val="29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Serially dilute the cells 1:1 in </w:t>
      </w:r>
      <w:r w:rsidR="00D47E70">
        <w:rPr>
          <w:rFonts w:eastAsiaTheme="minorHAnsi" w:cstheme="minorBidi"/>
          <w:color w:val="000000"/>
          <w:szCs w:val="20"/>
        </w:rPr>
        <w:t>Wash Buffer I/</w:t>
      </w:r>
      <w:r w:rsidRPr="0089650B">
        <w:rPr>
          <w:rFonts w:eastAsiaTheme="minorHAnsi" w:cstheme="minorBidi"/>
          <w:color w:val="000000"/>
          <w:szCs w:val="20"/>
        </w:rPr>
        <w:t xml:space="preserve">Wash Buffer and generate a Standard Curve of cells (50,000, 25,000, 12,500, 6,250, 3,125, 1,562, 781 and 390) in 100 µL total volume. </w:t>
      </w:r>
    </w:p>
    <w:p w14:paraId="5FC3F76F" w14:textId="1DEE1B3C" w:rsidR="0089650B" w:rsidRPr="0089650B" w:rsidRDefault="0089650B" w:rsidP="0089650B">
      <w:pPr>
        <w:numPr>
          <w:ilvl w:val="0"/>
          <w:numId w:val="29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As blank, use 100 µL of </w:t>
      </w:r>
      <w:r w:rsidR="00D47E70">
        <w:rPr>
          <w:rFonts w:eastAsiaTheme="minorHAnsi" w:cstheme="minorBidi"/>
          <w:color w:val="000000"/>
          <w:szCs w:val="20"/>
        </w:rPr>
        <w:t>Wash Buffer I/</w:t>
      </w:r>
      <w:r w:rsidRPr="0089650B">
        <w:rPr>
          <w:rFonts w:eastAsiaTheme="minorHAnsi" w:cstheme="minorBidi"/>
          <w:color w:val="000000"/>
          <w:szCs w:val="20"/>
        </w:rPr>
        <w:t xml:space="preserve">Wash Buffer.  </w:t>
      </w:r>
    </w:p>
    <w:p w14:paraId="7BF83E5A" w14:textId="2033B485" w:rsidR="0089650B" w:rsidRPr="0089650B" w:rsidRDefault="0089650B" w:rsidP="0089650B">
      <w:pPr>
        <w:numPr>
          <w:ilvl w:val="0"/>
          <w:numId w:val="29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Add 10 µL of </w:t>
      </w:r>
      <w:r w:rsidR="00D47E70">
        <w:rPr>
          <w:rFonts w:eastAsiaTheme="minorHAnsi" w:cstheme="minorBidi"/>
          <w:color w:val="000000"/>
          <w:szCs w:val="20"/>
        </w:rPr>
        <w:t>Cell Dye I/</w:t>
      </w:r>
      <w:r w:rsidRPr="0089650B">
        <w:rPr>
          <w:rFonts w:eastAsiaTheme="minorHAnsi" w:cstheme="minorBidi"/>
          <w:color w:val="000000"/>
          <w:szCs w:val="20"/>
        </w:rPr>
        <w:t xml:space="preserve">Cell Dye to each well. </w:t>
      </w:r>
    </w:p>
    <w:p w14:paraId="7D7D0B83" w14:textId="77777777" w:rsidR="0089650B" w:rsidRPr="0089650B" w:rsidRDefault="0089650B" w:rsidP="0089650B">
      <w:pPr>
        <w:numPr>
          <w:ilvl w:val="0"/>
          <w:numId w:val="29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Incubate at 37°C for 1 hour. </w:t>
      </w:r>
    </w:p>
    <w:p w14:paraId="412F9481" w14:textId="77777777" w:rsidR="0089650B" w:rsidRPr="0089650B" w:rsidRDefault="0089650B" w:rsidP="0089650B">
      <w:pPr>
        <w:numPr>
          <w:ilvl w:val="0"/>
          <w:numId w:val="29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>Read the fluorescence at Ex/</w:t>
      </w:r>
      <w:proofErr w:type="spellStart"/>
      <w:r w:rsidRPr="0089650B">
        <w:rPr>
          <w:rFonts w:eastAsiaTheme="minorHAnsi" w:cstheme="minorBidi"/>
          <w:color w:val="000000"/>
          <w:szCs w:val="20"/>
        </w:rPr>
        <w:t>Em</w:t>
      </w:r>
      <w:proofErr w:type="spellEnd"/>
      <w:r w:rsidRPr="0089650B">
        <w:rPr>
          <w:rFonts w:eastAsiaTheme="minorHAnsi" w:cstheme="minorBidi"/>
          <w:color w:val="000000"/>
          <w:szCs w:val="20"/>
        </w:rPr>
        <w:t xml:space="preserve"> = 530/590 nm. </w:t>
      </w:r>
    </w:p>
    <w:p w14:paraId="5960F2B3" w14:textId="77777777" w:rsidR="0089650B" w:rsidRPr="0089650B" w:rsidRDefault="0089650B" w:rsidP="0089650B">
      <w:pPr>
        <w:numPr>
          <w:ilvl w:val="0"/>
          <w:numId w:val="29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Plot the Standard Curve of Number of Cells Vs RFU obtained. </w:t>
      </w:r>
    </w:p>
    <w:p w14:paraId="774BB50F" w14:textId="77777777" w:rsidR="0089650B" w:rsidRPr="0089650B" w:rsidRDefault="0089650B" w:rsidP="0089650B">
      <w:pPr>
        <w:numPr>
          <w:ilvl w:val="0"/>
          <w:numId w:val="29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Fit the data points using a linear trendline with zero intercept. </w:t>
      </w:r>
    </w:p>
    <w:p w14:paraId="2E6E0034" w14:textId="77777777" w:rsidR="0089650B" w:rsidRPr="0089650B" w:rsidRDefault="0089650B" w:rsidP="0089650B">
      <w:pPr>
        <w:numPr>
          <w:ilvl w:val="0"/>
          <w:numId w:val="29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>The equation for the straight line and R-square value are used for data analysis of samples.</w:t>
      </w:r>
    </w:p>
    <w:p w14:paraId="4D0A9931" w14:textId="77777777" w:rsidR="0089650B" w:rsidRPr="0089650B" w:rsidRDefault="0089650B" w:rsidP="0089650B">
      <w:pPr>
        <w:spacing w:before="60" w:after="60"/>
        <w:ind w:left="3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b/>
          <w:color w:val="000000"/>
          <w:szCs w:val="20"/>
        </w:rPr>
        <w:sym w:font="Symbol" w:char="F044"/>
      </w:r>
      <w:r w:rsidRPr="0089650B">
        <w:rPr>
          <w:rFonts w:eastAsiaTheme="minorHAnsi" w:cstheme="minorBidi"/>
          <w:b/>
          <w:color w:val="000000"/>
          <w:szCs w:val="20"/>
        </w:rPr>
        <w:t xml:space="preserve"> Note</w:t>
      </w:r>
      <w:r w:rsidRPr="0089650B">
        <w:rPr>
          <w:rFonts w:eastAsiaTheme="minorHAnsi" w:cstheme="minorBidi"/>
          <w:color w:val="000000"/>
          <w:szCs w:val="20"/>
        </w:rPr>
        <w:t>: The Cell Migration RFU reading should fall in the linear range of the Standard Curve. We recommend using triplicates for Standard Curve.</w:t>
      </w:r>
    </w:p>
    <w:p w14:paraId="2AA3BF86" w14:textId="77777777" w:rsidR="0089650B" w:rsidRPr="0089650B" w:rsidRDefault="0089650B" w:rsidP="0089650B">
      <w:pPr>
        <w:spacing w:before="0" w:after="0"/>
      </w:pPr>
    </w:p>
    <w:p w14:paraId="66F73F89" w14:textId="77777777" w:rsidR="0089650B" w:rsidRPr="0089650B" w:rsidRDefault="0089650B" w:rsidP="0089650B">
      <w:pPr>
        <w:numPr>
          <w:ilvl w:val="1"/>
          <w:numId w:val="12"/>
        </w:numPr>
        <w:tabs>
          <w:tab w:val="clear" w:pos="6662"/>
          <w:tab w:val="num" w:pos="0"/>
        </w:tabs>
        <w:spacing w:before="60" w:after="60"/>
        <w:ind w:left="567"/>
        <w:rPr>
          <w:rFonts w:eastAsiaTheme="minorHAnsi" w:cstheme="minorBidi"/>
          <w:b/>
        </w:rPr>
      </w:pPr>
      <w:r w:rsidRPr="0089650B">
        <w:rPr>
          <w:rFonts w:eastAsiaTheme="minorHAnsi" w:cstheme="minorBidi"/>
          <w:b/>
        </w:rPr>
        <w:t>Separation of Invasive Cells:</w:t>
      </w:r>
    </w:p>
    <w:p w14:paraId="364D4C07" w14:textId="77777777" w:rsidR="0089650B" w:rsidRPr="0089650B" w:rsidRDefault="0089650B" w:rsidP="0089650B">
      <w:pPr>
        <w:numPr>
          <w:ilvl w:val="0"/>
          <w:numId w:val="30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>After the desired incubation with cell invasion inducers/inhibitors, carefully remove the plate cover and aspirate media from the top chamber without puncturing the membrane and matrix.</w:t>
      </w:r>
    </w:p>
    <w:p w14:paraId="4E6A798A" w14:textId="77777777" w:rsidR="0089650B" w:rsidRPr="0089650B" w:rsidRDefault="0089650B" w:rsidP="0089650B">
      <w:pPr>
        <w:numPr>
          <w:ilvl w:val="0"/>
          <w:numId w:val="30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Remove cells from the top chamber using a cotton swab. Disassemble the Cell Invasion Chamber by removing the top chamber. Invert the top chamber and set it aside. </w:t>
      </w:r>
    </w:p>
    <w:p w14:paraId="65C58A88" w14:textId="77777777" w:rsidR="0089650B" w:rsidRPr="0089650B" w:rsidRDefault="0089650B" w:rsidP="0089650B">
      <w:pPr>
        <w:numPr>
          <w:ilvl w:val="0"/>
          <w:numId w:val="30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Place the plate cover on top of bottom chamber and centrifuge the plate at 1,000 x </w:t>
      </w:r>
      <w:r w:rsidRPr="0089650B">
        <w:rPr>
          <w:rFonts w:eastAsiaTheme="minorHAnsi" w:cstheme="minorBidi"/>
          <w:i/>
          <w:color w:val="000000"/>
          <w:szCs w:val="20"/>
        </w:rPr>
        <w:t>g</w:t>
      </w:r>
      <w:r w:rsidRPr="0089650B">
        <w:rPr>
          <w:rFonts w:eastAsiaTheme="minorHAnsi" w:cstheme="minorBidi"/>
          <w:color w:val="000000"/>
          <w:szCs w:val="20"/>
        </w:rPr>
        <w:t xml:space="preserve"> for 5 minutes at room temperature.  </w:t>
      </w:r>
    </w:p>
    <w:p w14:paraId="666076B8" w14:textId="05737E4C" w:rsidR="0089650B" w:rsidRPr="0089650B" w:rsidRDefault="0089650B" w:rsidP="0089650B">
      <w:pPr>
        <w:numPr>
          <w:ilvl w:val="0"/>
          <w:numId w:val="30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lastRenderedPageBreak/>
        <w:t xml:space="preserve">Carefully aspirate the media from the bottom </w:t>
      </w:r>
      <w:proofErr w:type="gramStart"/>
      <w:r w:rsidRPr="0089650B">
        <w:rPr>
          <w:rFonts w:eastAsiaTheme="minorHAnsi" w:cstheme="minorBidi"/>
          <w:color w:val="000000"/>
          <w:szCs w:val="20"/>
        </w:rPr>
        <w:t>chamber, and</w:t>
      </w:r>
      <w:proofErr w:type="gramEnd"/>
      <w:r w:rsidRPr="0089650B">
        <w:rPr>
          <w:rFonts w:eastAsiaTheme="minorHAnsi" w:cstheme="minorBidi"/>
          <w:color w:val="000000"/>
          <w:szCs w:val="20"/>
        </w:rPr>
        <w:t xml:space="preserve"> wash the chamber with 500 µL </w:t>
      </w:r>
      <w:r w:rsidR="00D47E70">
        <w:rPr>
          <w:rFonts w:eastAsiaTheme="minorHAnsi" w:cstheme="minorBidi"/>
          <w:color w:val="000000"/>
          <w:szCs w:val="20"/>
        </w:rPr>
        <w:t>Wash Buffer I/</w:t>
      </w:r>
      <w:r w:rsidRPr="0089650B">
        <w:rPr>
          <w:rFonts w:eastAsiaTheme="minorHAnsi" w:cstheme="minorBidi"/>
          <w:color w:val="000000"/>
          <w:szCs w:val="20"/>
        </w:rPr>
        <w:t xml:space="preserve">Wash Buffer.  </w:t>
      </w:r>
    </w:p>
    <w:p w14:paraId="064396D7" w14:textId="19B0D92A" w:rsidR="0089650B" w:rsidRPr="0089650B" w:rsidRDefault="0089650B" w:rsidP="0089650B">
      <w:pPr>
        <w:numPr>
          <w:ilvl w:val="0"/>
          <w:numId w:val="30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Centrifuge the plate at 1,000 x g for 5 min. at room temperature and aspirate the </w:t>
      </w:r>
      <w:r w:rsidR="00D47E70">
        <w:rPr>
          <w:rFonts w:eastAsiaTheme="minorHAnsi" w:cstheme="minorBidi"/>
          <w:color w:val="000000"/>
          <w:szCs w:val="20"/>
        </w:rPr>
        <w:t>Wash Buffer I/</w:t>
      </w:r>
      <w:r w:rsidRPr="0089650B">
        <w:rPr>
          <w:rFonts w:eastAsiaTheme="minorHAnsi" w:cstheme="minorBidi"/>
          <w:color w:val="000000"/>
          <w:szCs w:val="20"/>
        </w:rPr>
        <w:t xml:space="preserve">Wash Buffer from the bottom chamber.  </w:t>
      </w:r>
    </w:p>
    <w:p w14:paraId="69FE744B" w14:textId="77777777" w:rsidR="0089650B" w:rsidRPr="0089650B" w:rsidRDefault="0089650B" w:rsidP="0089650B">
      <w:pPr>
        <w:spacing w:before="0" w:after="0"/>
      </w:pPr>
    </w:p>
    <w:p w14:paraId="61C0584E" w14:textId="77777777" w:rsidR="0089650B" w:rsidRPr="0089650B" w:rsidRDefault="0089650B" w:rsidP="0089650B">
      <w:pPr>
        <w:numPr>
          <w:ilvl w:val="1"/>
          <w:numId w:val="12"/>
        </w:numPr>
        <w:tabs>
          <w:tab w:val="clear" w:pos="6662"/>
          <w:tab w:val="num" w:pos="0"/>
        </w:tabs>
        <w:spacing w:before="60" w:after="60"/>
        <w:ind w:left="567"/>
        <w:rPr>
          <w:rFonts w:eastAsiaTheme="minorHAnsi" w:cstheme="minorBidi"/>
          <w:b/>
        </w:rPr>
      </w:pPr>
      <w:r w:rsidRPr="0089650B">
        <w:rPr>
          <w:rFonts w:eastAsiaTheme="minorHAnsi" w:cstheme="minorBidi"/>
          <w:b/>
        </w:rPr>
        <w:t>Count Invasive Cells:</w:t>
      </w:r>
    </w:p>
    <w:p w14:paraId="2B089A3B" w14:textId="09474F6F" w:rsidR="0089650B" w:rsidRPr="0089650B" w:rsidRDefault="0089650B" w:rsidP="0089650B">
      <w:pPr>
        <w:numPr>
          <w:ilvl w:val="0"/>
          <w:numId w:val="31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For every twenty wells to be assayed, prepare a mix of 1 mL of </w:t>
      </w:r>
      <w:r w:rsidR="00D47E70">
        <w:rPr>
          <w:rFonts w:eastAsiaTheme="minorHAnsi" w:cstheme="minorBidi"/>
          <w:color w:val="000000"/>
          <w:szCs w:val="20"/>
        </w:rPr>
        <w:t>Cell Dye I/</w:t>
      </w:r>
      <w:r w:rsidRPr="0089650B">
        <w:rPr>
          <w:rFonts w:eastAsiaTheme="minorHAnsi" w:cstheme="minorBidi"/>
          <w:color w:val="000000"/>
          <w:szCs w:val="20"/>
        </w:rPr>
        <w:t xml:space="preserve">Cell Dye in 10 mL of </w:t>
      </w:r>
      <w:r w:rsidR="00D47E70">
        <w:rPr>
          <w:rFonts w:eastAsiaTheme="minorHAnsi" w:cstheme="minorBidi"/>
          <w:color w:val="000000"/>
          <w:szCs w:val="20"/>
        </w:rPr>
        <w:t>Cell Dissociation Solution II/</w:t>
      </w:r>
      <w:r w:rsidRPr="0089650B">
        <w:rPr>
          <w:rFonts w:eastAsiaTheme="minorHAnsi" w:cstheme="minorBidi"/>
          <w:color w:val="000000"/>
          <w:szCs w:val="20"/>
        </w:rPr>
        <w:t>Cell Dissociation Solution. Mix well. Make the</w:t>
      </w:r>
      <w:r w:rsidR="00D47E70">
        <w:rPr>
          <w:rFonts w:eastAsiaTheme="minorHAnsi" w:cstheme="minorBidi"/>
          <w:color w:val="000000"/>
          <w:szCs w:val="20"/>
        </w:rPr>
        <w:t xml:space="preserve"> Cell Dye I/</w:t>
      </w:r>
      <w:r w:rsidRPr="0089650B">
        <w:rPr>
          <w:rFonts w:eastAsiaTheme="minorHAnsi" w:cstheme="minorBidi"/>
          <w:color w:val="000000"/>
          <w:szCs w:val="20"/>
        </w:rPr>
        <w:t xml:space="preserve">Cell Dye solution as desired depending on the number of wells.  </w:t>
      </w:r>
    </w:p>
    <w:p w14:paraId="04118083" w14:textId="77777777" w:rsidR="0089650B" w:rsidRPr="0089650B" w:rsidRDefault="0089650B" w:rsidP="0089650B">
      <w:pPr>
        <w:numPr>
          <w:ilvl w:val="0"/>
          <w:numId w:val="31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>Add 550 µL of the mix to each well of the bottom chamber. Reassemble the Cell Invasion Chamber by placing the top chamber into the bottom chamber. Incubate at 37°C in CO</w:t>
      </w:r>
      <w:r w:rsidRPr="0089650B">
        <w:rPr>
          <w:rFonts w:eastAsiaTheme="minorHAnsi" w:cstheme="minorBidi"/>
          <w:color w:val="000000"/>
          <w:szCs w:val="20"/>
          <w:vertAlign w:val="subscript"/>
        </w:rPr>
        <w:t>2</w:t>
      </w:r>
      <w:r w:rsidRPr="0089650B">
        <w:rPr>
          <w:rFonts w:eastAsiaTheme="minorHAnsi" w:cstheme="minorBidi"/>
          <w:color w:val="000000"/>
          <w:szCs w:val="20"/>
        </w:rPr>
        <w:t xml:space="preserve"> incubator for 60 minutes.  </w:t>
      </w:r>
    </w:p>
    <w:p w14:paraId="2E7BC21C" w14:textId="77777777" w:rsidR="0089650B" w:rsidRPr="0089650B" w:rsidRDefault="0089650B" w:rsidP="0089650B">
      <w:pPr>
        <w:numPr>
          <w:ilvl w:val="0"/>
          <w:numId w:val="31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 xml:space="preserve">After incubation, disassemble the Cell Invasion Chamber, remove the top </w:t>
      </w:r>
      <w:proofErr w:type="gramStart"/>
      <w:r w:rsidRPr="0089650B">
        <w:rPr>
          <w:rFonts w:eastAsiaTheme="minorHAnsi" w:cstheme="minorBidi"/>
          <w:color w:val="000000"/>
          <w:szCs w:val="20"/>
        </w:rPr>
        <w:t>chamber</w:t>
      </w:r>
      <w:proofErr w:type="gramEnd"/>
      <w:r w:rsidRPr="0089650B">
        <w:rPr>
          <w:rFonts w:eastAsiaTheme="minorHAnsi" w:cstheme="minorBidi"/>
          <w:color w:val="000000"/>
          <w:szCs w:val="20"/>
        </w:rPr>
        <w:t xml:space="preserve"> and transfer 110 µL of mix from the bottom chamber to the </w:t>
      </w:r>
      <w:bookmarkStart w:id="18" w:name="_Hlk517695985"/>
      <w:r w:rsidRPr="0089650B">
        <w:rPr>
          <w:rFonts w:eastAsiaTheme="minorHAnsi" w:cstheme="minorBidi"/>
          <w:color w:val="000000"/>
          <w:szCs w:val="20"/>
        </w:rPr>
        <w:t xml:space="preserve">96-well white plate </w:t>
      </w:r>
      <w:bookmarkEnd w:id="18"/>
      <w:r w:rsidRPr="0089650B">
        <w:rPr>
          <w:rFonts w:eastAsiaTheme="minorHAnsi" w:cstheme="minorBidi"/>
          <w:color w:val="000000"/>
          <w:szCs w:val="20"/>
        </w:rPr>
        <w:t xml:space="preserve">(the same plate having Standards).  </w:t>
      </w:r>
    </w:p>
    <w:p w14:paraId="5CD27F91" w14:textId="77777777" w:rsidR="0089650B" w:rsidRPr="0089650B" w:rsidRDefault="0089650B" w:rsidP="0089650B">
      <w:pPr>
        <w:numPr>
          <w:ilvl w:val="0"/>
          <w:numId w:val="31"/>
        </w:numPr>
        <w:spacing w:before="60" w:after="60"/>
        <w:rPr>
          <w:rFonts w:eastAsiaTheme="minorHAnsi" w:cstheme="minorBidi"/>
          <w:color w:val="000000"/>
          <w:szCs w:val="20"/>
        </w:rPr>
      </w:pPr>
      <w:r w:rsidRPr="0089650B">
        <w:rPr>
          <w:rFonts w:eastAsiaTheme="minorHAnsi" w:cstheme="minorBidi"/>
          <w:color w:val="000000"/>
          <w:szCs w:val="20"/>
        </w:rPr>
        <w:t>Read the plate at Ex/</w:t>
      </w:r>
      <w:proofErr w:type="spellStart"/>
      <w:r w:rsidRPr="0089650B">
        <w:rPr>
          <w:rFonts w:eastAsiaTheme="minorHAnsi" w:cstheme="minorBidi"/>
          <w:color w:val="000000"/>
          <w:szCs w:val="20"/>
        </w:rPr>
        <w:t>Em</w:t>
      </w:r>
      <w:proofErr w:type="spellEnd"/>
      <w:r w:rsidRPr="0089650B">
        <w:rPr>
          <w:rFonts w:eastAsiaTheme="minorHAnsi" w:cstheme="minorBidi"/>
          <w:color w:val="000000"/>
          <w:szCs w:val="20"/>
        </w:rPr>
        <w:t xml:space="preserve"> = 530/590 nm. Multiply the reading by 5 to account for the 5X higher volume in each well of the 24-well plate.</w:t>
      </w:r>
    </w:p>
    <w:p w14:paraId="1B36B2BD" w14:textId="77777777" w:rsidR="00826A4D" w:rsidRDefault="00826A4D">
      <w:pPr>
        <w:spacing w:before="0" w:after="0"/>
        <w:rPr>
          <w:rFonts w:eastAsiaTheme="minorHAnsi" w:cstheme="minorBidi"/>
          <w:szCs w:val="20"/>
        </w:rPr>
      </w:pPr>
      <w:r>
        <w:br w:type="page"/>
      </w:r>
    </w:p>
    <w:p w14:paraId="1C73C651" w14:textId="77777777" w:rsidR="00013D0A" w:rsidRPr="002A066A" w:rsidRDefault="006B255F" w:rsidP="001E2DD7">
      <w:pPr>
        <w:pStyle w:val="1Abcamheading"/>
      </w:pPr>
      <w:bookmarkStart w:id="19" w:name="_Toc517906654"/>
      <w:r>
        <w:lastRenderedPageBreak/>
        <w:t>Data Analysis</w:t>
      </w:r>
      <w:bookmarkEnd w:id="19"/>
    </w:p>
    <w:p w14:paraId="62A8DD7D" w14:textId="77777777" w:rsidR="0089650B" w:rsidRDefault="0089650B" w:rsidP="0089650B">
      <w:pPr>
        <w:pStyle w:val="11Abcam"/>
        <w:numPr>
          <w:ilvl w:val="0"/>
          <w:numId w:val="22"/>
        </w:numPr>
        <w:ind w:left="360"/>
      </w:pPr>
      <w:r w:rsidRPr="00034D27">
        <w:t xml:space="preserve">Calculate the number of cells invaded using the equation of the straight line obtained from Standard Curve. </w:t>
      </w:r>
    </w:p>
    <w:p w14:paraId="034600DF" w14:textId="77777777" w:rsidR="0089650B" w:rsidRPr="009A4185" w:rsidRDefault="0089650B" w:rsidP="0089650B">
      <w:pPr>
        <w:pStyle w:val="11Abcam"/>
        <w:numPr>
          <w:ilvl w:val="0"/>
          <w:numId w:val="22"/>
        </w:numPr>
        <w:ind w:left="360"/>
      </w:pPr>
      <w:r w:rsidRPr="00034D27">
        <w:t>Percentage Invasion can be calculated as follows:</w:t>
      </w:r>
    </w:p>
    <w:p w14:paraId="2F9C132D" w14:textId="77777777" w:rsidR="0089650B" w:rsidRDefault="0089650B" w:rsidP="0089650B">
      <w:pPr>
        <w:pStyle w:val="11Abcam"/>
        <w:numPr>
          <w:ilvl w:val="0"/>
          <w:numId w:val="0"/>
        </w:numPr>
        <w:ind w:left="360"/>
      </w:pPr>
    </w:p>
    <w:p w14:paraId="1198669E" w14:textId="77777777" w:rsidR="0089650B" w:rsidRPr="004C1BF0" w:rsidRDefault="0089650B" w:rsidP="0089650B">
      <w:pPr>
        <w:pStyle w:val="zStyleLatinCambriaMathItalicLeft12cm"/>
        <w:ind w:left="320"/>
        <w:rPr>
          <w:rStyle w:val="zStyleLatinCambriaMathItalic"/>
          <w:rFonts w:ascii="Century Gothic" w:eastAsiaTheme="minorEastAsia" w:hAnsi="Century Gothic" w:cstheme="minorBidi"/>
          <w:iCs/>
        </w:rPr>
      </w:pPr>
      <m:oMath>
        <m:r>
          <m:t>% Invasion</m:t>
        </m:r>
        <m:r>
          <w:rPr>
            <w:rStyle w:val="zStyleLatinCambriaMathItalic"/>
          </w:rPr>
          <m:t>=</m:t>
        </m:r>
        <m:f>
          <m:fPr>
            <m:ctrlPr>
              <w:rPr>
                <w:rStyle w:val="zStyleLatinCambriaMathItalic"/>
                <w:i/>
                <w:iCs/>
              </w:rPr>
            </m:ctrlPr>
          </m:fPr>
          <m:num>
            <m:r>
              <m:t>B</m:t>
            </m:r>
            <m:r>
              <w:rPr>
                <w:vertAlign w:val="subscript"/>
              </w:rPr>
              <m:t xml:space="preserve"># Cells in Lower Chamber </m:t>
            </m:r>
            <m:r>
              <w:rPr>
                <w:rStyle w:val="zStyleLatinCambriaMathItalic"/>
              </w:rPr>
              <m:t xml:space="preserve"> </m:t>
            </m:r>
          </m:num>
          <m:den>
            <m:r>
              <m:t>Total # Cells added to Top Chamber</m:t>
            </m:r>
          </m:den>
        </m:f>
        <m:r>
          <w:rPr>
            <w:rStyle w:val="zStyleLatinCambriaMathItalic"/>
          </w:rPr>
          <m:t xml:space="preserve">  *100</m:t>
        </m:r>
      </m:oMath>
      <w:r w:rsidRPr="004C1BF0">
        <w:rPr>
          <w:rStyle w:val="zStyleLatinCambriaMathItalic"/>
          <w:rFonts w:ascii="Century Gothic" w:eastAsiaTheme="minorEastAsia" w:hAnsi="Century Gothic" w:cstheme="minorBidi"/>
          <w:iCs/>
        </w:rPr>
        <w:t xml:space="preserve"> </w:t>
      </w:r>
    </w:p>
    <w:p w14:paraId="221ED757" w14:textId="77777777" w:rsidR="00E351A1" w:rsidRPr="002A066A" w:rsidRDefault="00E351A1" w:rsidP="008A2F6E">
      <w:pPr>
        <w:pStyle w:val="1AbcamStandardtext"/>
      </w:pPr>
      <w:r w:rsidRPr="002A066A">
        <w:br w:type="page"/>
      </w:r>
    </w:p>
    <w:p w14:paraId="1437D623" w14:textId="77777777" w:rsidR="006B255F" w:rsidRDefault="006B255F" w:rsidP="001E2DD7">
      <w:pPr>
        <w:pStyle w:val="1Abcamheading"/>
      </w:pPr>
      <w:bookmarkStart w:id="20" w:name="_Toc517906655"/>
      <w:bookmarkEnd w:id="16"/>
      <w:bookmarkEnd w:id="17"/>
      <w:r>
        <w:lastRenderedPageBreak/>
        <w:t>FAQs / Troubleshooting</w:t>
      </w:r>
      <w:bookmarkEnd w:id="20"/>
    </w:p>
    <w:p w14:paraId="3D1EB2AA" w14:textId="07CA3C57" w:rsidR="006B255F" w:rsidRDefault="00B73032">
      <w:pPr>
        <w:spacing w:before="0" w:after="0"/>
        <w:rPr>
          <w:rFonts w:eastAsia="Times New Roman"/>
          <w:b/>
          <w:bCs/>
          <w:sz w:val="24"/>
          <w:szCs w:val="28"/>
        </w:rPr>
      </w:pPr>
      <w:r w:rsidRPr="0089650B">
        <w:t xml:space="preserve">General troubleshooting points are found at </w:t>
      </w:r>
      <w:hyperlink r:id="rId15" w:history="1">
        <w:r w:rsidRPr="0089650B">
          <w:rPr>
            <w:rStyle w:val="Hyperlink"/>
          </w:rPr>
          <w:t>www.abcam.com/assaykitguidelines</w:t>
        </w:r>
      </w:hyperlink>
      <w:r w:rsidR="006B255F">
        <w:t xml:space="preserve"> </w:t>
      </w:r>
      <w:r w:rsidR="006B255F">
        <w:br w:type="page"/>
      </w:r>
    </w:p>
    <w:p w14:paraId="5DB8F534" w14:textId="77777777" w:rsidR="00B86D77" w:rsidRPr="002A066A" w:rsidRDefault="00E44FA4" w:rsidP="001E2DD7">
      <w:pPr>
        <w:pStyle w:val="1Abcamheading"/>
      </w:pPr>
      <w:bookmarkStart w:id="21" w:name="_Toc517906656"/>
      <w:r w:rsidRPr="002A066A">
        <w:lastRenderedPageBreak/>
        <w:t xml:space="preserve">Typical </w:t>
      </w:r>
      <w:r w:rsidR="00B86D77" w:rsidRPr="002A066A">
        <w:t>Data</w:t>
      </w:r>
      <w:bookmarkEnd w:id="21"/>
    </w:p>
    <w:p w14:paraId="1BA3B6BE" w14:textId="77777777" w:rsidR="00B86D77" w:rsidRDefault="006B255F" w:rsidP="00D530F3">
      <w:pPr>
        <w:spacing w:before="60" w:after="60"/>
        <w:rPr>
          <w:lang w:val="en-GB"/>
        </w:rPr>
      </w:pPr>
      <w:r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</w:p>
    <w:p w14:paraId="72A64B3F" w14:textId="75C3B28F" w:rsidR="006B255F" w:rsidRDefault="0089650B" w:rsidP="00D530F3">
      <w:pPr>
        <w:spacing w:before="60" w:after="60"/>
        <w:rPr>
          <w:lang w:val="en-GB"/>
        </w:rPr>
      </w:pPr>
      <w:r>
        <w:rPr>
          <w:noProof/>
        </w:rPr>
        <w:drawing>
          <wp:inline distT="0" distB="0" distL="0" distR="0" wp14:anchorId="6FA600C5" wp14:editId="4E788A44">
            <wp:extent cx="3324225" cy="2733675"/>
            <wp:effectExtent l="0" t="0" r="9525" b="9525"/>
            <wp:docPr id="1" name="Picture 1" descr="C:\Users\nbroadway\AppData\Local\Microsoft\Windows\INetCache\Content.Word\91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roadway\AppData\Local\Microsoft\Windows\INetCache\Content.Word\910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09BEE" w14:textId="6DEC1FE8" w:rsidR="0089650B" w:rsidRDefault="0089650B" w:rsidP="00D530F3">
      <w:pPr>
        <w:spacing w:before="60" w:after="60"/>
        <w:rPr>
          <w:lang w:val="en-GB"/>
        </w:rPr>
      </w:pPr>
    </w:p>
    <w:p w14:paraId="7EAEE648" w14:textId="77777777" w:rsidR="0089650B" w:rsidRPr="0089650B" w:rsidRDefault="0089650B" w:rsidP="0089650B">
      <w:pPr>
        <w:spacing w:before="60" w:after="60"/>
        <w:rPr>
          <w:noProof/>
          <w:sz w:val="18"/>
        </w:rPr>
      </w:pPr>
      <w:r w:rsidRPr="0089650B">
        <w:rPr>
          <w:b/>
          <w:noProof/>
          <w:sz w:val="18"/>
        </w:rPr>
        <w:t>Figure 2</w:t>
      </w:r>
      <w:r w:rsidRPr="0089650B">
        <w:rPr>
          <w:noProof/>
          <w:sz w:val="18"/>
        </w:rPr>
        <w:t>. Standard Curve: Monocytes/macrophage cells were harvested, counted and serially diluted to obtain desired cell number. Cells were incubated according to the protocol.</w:t>
      </w:r>
    </w:p>
    <w:p w14:paraId="5BBA9A6F" w14:textId="77777777" w:rsidR="0089650B" w:rsidRDefault="0089650B" w:rsidP="008A2F6E">
      <w:pPr>
        <w:pStyle w:val="1AbcamStandardtext"/>
        <w:rPr>
          <w:noProof/>
        </w:rPr>
      </w:pPr>
    </w:p>
    <w:p w14:paraId="394D8199" w14:textId="77777777" w:rsidR="0089650B" w:rsidRDefault="0089650B" w:rsidP="008A2F6E">
      <w:pPr>
        <w:pStyle w:val="1AbcamStandardtext"/>
        <w:rPr>
          <w:noProof/>
        </w:rPr>
      </w:pPr>
    </w:p>
    <w:p w14:paraId="7A8CDEDF" w14:textId="77777777" w:rsidR="0089650B" w:rsidRDefault="0089650B" w:rsidP="008A2F6E">
      <w:pPr>
        <w:pStyle w:val="1AbcamStandardtext"/>
        <w:rPr>
          <w:noProof/>
        </w:rPr>
      </w:pPr>
    </w:p>
    <w:p w14:paraId="2F78E13C" w14:textId="77777777" w:rsidR="0089650B" w:rsidRDefault="0089650B" w:rsidP="008A2F6E">
      <w:pPr>
        <w:pStyle w:val="1AbcamStandardtext"/>
        <w:rPr>
          <w:noProof/>
        </w:rPr>
      </w:pPr>
    </w:p>
    <w:p w14:paraId="548BC70E" w14:textId="77777777" w:rsidR="0089650B" w:rsidRDefault="0089650B" w:rsidP="008A2F6E">
      <w:pPr>
        <w:pStyle w:val="1AbcamStandardtext"/>
        <w:rPr>
          <w:noProof/>
        </w:rPr>
      </w:pPr>
    </w:p>
    <w:p w14:paraId="29C4CE9F" w14:textId="77777777" w:rsidR="0089650B" w:rsidRDefault="0089650B" w:rsidP="008A2F6E">
      <w:pPr>
        <w:pStyle w:val="1AbcamStandardtext"/>
        <w:rPr>
          <w:noProof/>
        </w:rPr>
      </w:pPr>
    </w:p>
    <w:p w14:paraId="00537918" w14:textId="77777777" w:rsidR="0089650B" w:rsidRDefault="0089650B" w:rsidP="008A2F6E">
      <w:pPr>
        <w:pStyle w:val="1AbcamStandardtext"/>
        <w:rPr>
          <w:noProof/>
        </w:rPr>
      </w:pPr>
    </w:p>
    <w:p w14:paraId="3C343AD7" w14:textId="77777777" w:rsidR="0089650B" w:rsidRDefault="0089650B" w:rsidP="008A2F6E">
      <w:pPr>
        <w:pStyle w:val="1AbcamStandardtext"/>
        <w:rPr>
          <w:noProof/>
        </w:rPr>
      </w:pPr>
    </w:p>
    <w:p w14:paraId="488A366F" w14:textId="77777777" w:rsidR="0089650B" w:rsidRDefault="0089650B" w:rsidP="008A2F6E">
      <w:pPr>
        <w:pStyle w:val="1AbcamStandardtext"/>
        <w:rPr>
          <w:noProof/>
        </w:rPr>
      </w:pPr>
    </w:p>
    <w:p w14:paraId="046A5A88" w14:textId="77777777" w:rsidR="0089650B" w:rsidRDefault="0089650B" w:rsidP="008A2F6E">
      <w:pPr>
        <w:pStyle w:val="1AbcamStandardtext"/>
        <w:rPr>
          <w:noProof/>
        </w:rPr>
      </w:pPr>
    </w:p>
    <w:p w14:paraId="0946F4AF" w14:textId="77777777" w:rsidR="0089650B" w:rsidRDefault="0089650B" w:rsidP="008A2F6E">
      <w:pPr>
        <w:pStyle w:val="1AbcamStandardtext"/>
        <w:rPr>
          <w:noProof/>
        </w:rPr>
      </w:pPr>
    </w:p>
    <w:p w14:paraId="143AB97A" w14:textId="77777777" w:rsidR="0089650B" w:rsidRDefault="0089650B" w:rsidP="008A2F6E">
      <w:pPr>
        <w:pStyle w:val="1AbcamStandardtext"/>
        <w:rPr>
          <w:noProof/>
        </w:rPr>
      </w:pPr>
    </w:p>
    <w:p w14:paraId="00DAA011" w14:textId="77777777" w:rsidR="0089650B" w:rsidRDefault="0089650B" w:rsidP="008A2F6E">
      <w:pPr>
        <w:pStyle w:val="1AbcamStandardtext"/>
        <w:rPr>
          <w:noProof/>
        </w:rPr>
      </w:pPr>
    </w:p>
    <w:p w14:paraId="34F5F9F1" w14:textId="77777777" w:rsidR="0089650B" w:rsidRDefault="0089650B" w:rsidP="008A2F6E">
      <w:pPr>
        <w:pStyle w:val="1AbcamStandardtext"/>
        <w:rPr>
          <w:noProof/>
        </w:rPr>
      </w:pPr>
      <w:r>
        <w:rPr>
          <w:noProof/>
        </w:rPr>
        <w:lastRenderedPageBreak/>
        <w:drawing>
          <wp:inline distT="0" distB="0" distL="0" distR="0" wp14:anchorId="1C332686" wp14:editId="7159AB95">
            <wp:extent cx="3514725" cy="2562225"/>
            <wp:effectExtent l="0" t="0" r="9525" b="9525"/>
            <wp:docPr id="3" name="Picture 3" descr="C:\Users\nbroadway\AppData\Local\Microsoft\Windows\INetCache\Content.Word\9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roadway\AppData\Local\Microsoft\Windows\INetCache\Content.Word\910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BEAC1" w14:textId="6E1E8917" w:rsidR="003722E2" w:rsidRPr="002A066A" w:rsidRDefault="0089650B" w:rsidP="008A2F6E">
      <w:pPr>
        <w:pStyle w:val="1AbcamStandardtext"/>
        <w:rPr>
          <w:noProof/>
        </w:rPr>
      </w:pPr>
      <w:r w:rsidRPr="005D0160">
        <w:rPr>
          <w:b/>
          <w:sz w:val="18"/>
        </w:rPr>
        <w:t xml:space="preserve">Figure </w:t>
      </w:r>
      <w:r>
        <w:rPr>
          <w:b/>
          <w:sz w:val="18"/>
        </w:rPr>
        <w:t>3</w:t>
      </w:r>
      <w:r w:rsidRPr="005D0160">
        <w:rPr>
          <w:sz w:val="18"/>
        </w:rPr>
        <w:t xml:space="preserve">. </w:t>
      </w:r>
      <w:r w:rsidRPr="00B66532">
        <w:rPr>
          <w:sz w:val="18"/>
        </w:rPr>
        <w:t xml:space="preserve">Cell Invasion: </w:t>
      </w:r>
      <w:r w:rsidRPr="00F4479F">
        <w:rPr>
          <w:sz w:val="18"/>
        </w:rPr>
        <w:t>Monocytes/macrophage</w:t>
      </w:r>
      <w:r w:rsidRPr="00F4479F">
        <w:rPr>
          <w:sz w:val="16"/>
        </w:rPr>
        <w:t xml:space="preserve"> </w:t>
      </w:r>
      <w:r w:rsidRPr="00B66532">
        <w:rPr>
          <w:sz w:val="18"/>
        </w:rPr>
        <w:t>cells were starved overnight and treated with Control (</w:t>
      </w:r>
      <w:proofErr w:type="spellStart"/>
      <w:r w:rsidRPr="00B66532">
        <w:rPr>
          <w:sz w:val="18"/>
        </w:rPr>
        <w:t>Cnt</w:t>
      </w:r>
      <w:proofErr w:type="spellEnd"/>
      <w:r w:rsidRPr="00B66532">
        <w:rPr>
          <w:sz w:val="18"/>
        </w:rPr>
        <w:t xml:space="preserve">) Invasion Inducer </w:t>
      </w:r>
      <w:r>
        <w:rPr>
          <w:sz w:val="18"/>
        </w:rPr>
        <w:t>for 24 or 48 hours or left untreated</w:t>
      </w:r>
      <w:r w:rsidRPr="00B66532">
        <w:rPr>
          <w:sz w:val="18"/>
        </w:rPr>
        <w:t xml:space="preserve">. Treatment with Control Invasion Inducer demonstrated a significant increase in invasion </w:t>
      </w:r>
      <w:r>
        <w:rPr>
          <w:sz w:val="18"/>
        </w:rPr>
        <w:t>with time. Control reading was subtracted from inducer reading.</w:t>
      </w:r>
      <w:r w:rsidR="003722E2" w:rsidRPr="002A066A">
        <w:rPr>
          <w:noProof/>
        </w:rPr>
        <w:br w:type="page"/>
      </w:r>
    </w:p>
    <w:p w14:paraId="0549F477" w14:textId="77777777" w:rsidR="00FE4E16" w:rsidRDefault="00FE4E16" w:rsidP="001E2DD7">
      <w:pPr>
        <w:pStyle w:val="1Abcamheading"/>
      </w:pPr>
      <w:bookmarkStart w:id="22" w:name="_Toc475603240"/>
      <w:bookmarkStart w:id="23" w:name="_Toc517906657"/>
      <w:r w:rsidRPr="002A066A">
        <w:lastRenderedPageBreak/>
        <w:t>Notes</w:t>
      </w:r>
      <w:bookmarkEnd w:id="22"/>
      <w:bookmarkEnd w:id="23"/>
    </w:p>
    <w:p w14:paraId="01342092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47D24260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684945B3" w14:textId="77777777" w:rsidR="00645B4B" w:rsidRDefault="00645B4B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5E03CDC0" w14:textId="556428ED" w:rsidR="0089650B" w:rsidRDefault="0089650B" w:rsidP="00645B4B">
      <w:pPr>
        <w:pStyle w:val="1Abcamheading"/>
        <w:numPr>
          <w:ilvl w:val="0"/>
          <w:numId w:val="0"/>
        </w:numPr>
        <w:ind w:left="927" w:hanging="360"/>
      </w:pPr>
    </w:p>
    <w:p w14:paraId="7E82E9D4" w14:textId="77777777" w:rsidR="0089650B" w:rsidRDefault="0089650B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768B3459" w14:textId="306813E2" w:rsidR="0089650B" w:rsidRDefault="0089650B" w:rsidP="00645B4B">
      <w:pPr>
        <w:pStyle w:val="1Abcamheading"/>
        <w:numPr>
          <w:ilvl w:val="0"/>
          <w:numId w:val="0"/>
        </w:numPr>
        <w:ind w:left="927" w:hanging="360"/>
      </w:pPr>
    </w:p>
    <w:p w14:paraId="23CF9547" w14:textId="77777777" w:rsidR="0089650B" w:rsidRDefault="0089650B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06CE38DC" w14:textId="77777777" w:rsidR="00645B4B" w:rsidRPr="002A066A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05D52BB3" w14:textId="77777777" w:rsidR="0079206C" w:rsidRPr="002A066A" w:rsidRDefault="0079206C" w:rsidP="008A2F6E">
      <w:pPr>
        <w:pStyle w:val="1AbcamStandardtext"/>
        <w:rPr>
          <w:lang w:val="en-AU"/>
        </w:rPr>
        <w:sectPr w:rsidR="0079206C" w:rsidRPr="002A066A" w:rsidSect="007F1A39">
          <w:footerReference w:type="default" r:id="rId18"/>
          <w:footerReference w:type="first" r:id="rId19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2BD22694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1DB8E26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ABAADCE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5872F57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755573CF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62F793C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8F93BAE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F829D33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488F0BA7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D5DE93F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3C3DC166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2451EB3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05913C26" w14:textId="77777777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20F49335" w14:textId="49BAB0F4" w:rsidR="00D47E70" w:rsidRDefault="00D47E70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1A2356E3" w14:textId="77777777" w:rsidR="004558EA" w:rsidRDefault="004558E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</w:p>
    <w:p w14:paraId="5DFA13AB" w14:textId="61C0188A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t>Technical Support</w:t>
      </w:r>
    </w:p>
    <w:p w14:paraId="06ADE751" w14:textId="5F9E4382" w:rsidR="006E06B1" w:rsidRDefault="006E06B1" w:rsidP="006E06B1">
      <w:pPr>
        <w:pStyle w:val="KIT-extrainfo"/>
        <w:ind w:left="0" w:firstLine="0"/>
      </w:pPr>
      <w:r>
        <w:t>Copyright © 202</w:t>
      </w:r>
      <w:r w:rsidR="00D47E70">
        <w:t>3</w:t>
      </w:r>
      <w:r>
        <w:t xml:space="preserve"> Abcam. All Rights Reserved. The Abcam logo is a registered trademark. All information / detail is correct at time of going to print. </w:t>
      </w:r>
    </w:p>
    <w:p w14:paraId="588FC0ED" w14:textId="77777777" w:rsidR="006E06B1" w:rsidRDefault="006E06B1" w:rsidP="006E06B1">
      <w:pPr>
        <w:pStyle w:val="KIT-extrainfo"/>
        <w:ind w:left="0" w:firstLine="0"/>
      </w:pPr>
    </w:p>
    <w:p w14:paraId="1DE92E46" w14:textId="77777777" w:rsidR="006E06B1" w:rsidRDefault="006E06B1" w:rsidP="006E06B1">
      <w:pPr>
        <w:pStyle w:val="KIT-extrainfo"/>
        <w:ind w:left="0" w:firstLine="0"/>
      </w:pPr>
      <w:r>
        <w:t xml:space="preserve">For all technical or commercial enquiries please go to: </w:t>
      </w:r>
    </w:p>
    <w:p w14:paraId="15A0F5AB" w14:textId="77777777" w:rsidR="006E06B1" w:rsidRDefault="004558EA" w:rsidP="006E06B1">
      <w:pPr>
        <w:pStyle w:val="KIT-extrainfo"/>
        <w:ind w:left="0" w:firstLine="0"/>
      </w:pPr>
      <w:hyperlink r:id="rId20" w:history="1">
        <w:r w:rsidR="006E06B1">
          <w:rPr>
            <w:rStyle w:val="Hyperlink"/>
          </w:rPr>
          <w:t>www.abcam.com/contactus</w:t>
        </w:r>
      </w:hyperlink>
      <w:r w:rsidR="006E06B1">
        <w:t xml:space="preserve"> </w:t>
      </w:r>
    </w:p>
    <w:p w14:paraId="5AFD6A79" w14:textId="77777777" w:rsidR="006E06B1" w:rsidRDefault="006E06B1" w:rsidP="006E06B1">
      <w:pPr>
        <w:pStyle w:val="KIT-extrainfo"/>
        <w:ind w:left="0" w:firstLine="0"/>
      </w:pPr>
      <w:r>
        <w:rPr>
          <w:rStyle w:val="Hyperlink"/>
        </w:rPr>
        <w:t>www.abcam.cn/contactus</w:t>
      </w:r>
      <w:r>
        <w:t xml:space="preserve"> (China) </w:t>
      </w:r>
    </w:p>
    <w:p w14:paraId="503BB62E" w14:textId="6ED48D00" w:rsidR="00043E6C" w:rsidRPr="00D47E70" w:rsidRDefault="006E06B1" w:rsidP="00D47E70">
      <w:pPr>
        <w:pStyle w:val="KIT-extrainfo"/>
        <w:ind w:left="0" w:firstLine="0"/>
        <w:rPr>
          <w:rFonts w:eastAsia="Century Gothic" w:cs="Century Gothic"/>
          <w:color w:val="000000" w:themeColor="text1"/>
          <w:sz w:val="14"/>
          <w:szCs w:val="14"/>
        </w:rPr>
      </w:pPr>
      <w:r>
        <w:rPr>
          <w:rStyle w:val="Hyperlink"/>
        </w:rPr>
        <w:t>www.abcam.co.jp/contactus</w:t>
      </w:r>
      <w:r>
        <w:t xml:space="preserve"> (Japan)</w:t>
      </w:r>
    </w:p>
    <w:sectPr w:rsidR="00043E6C" w:rsidRPr="00D47E70" w:rsidSect="007F1A39">
      <w:footerReference w:type="default" r:id="rId21"/>
      <w:footerReference w:type="first" r:id="rId22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F64D" w14:textId="77777777" w:rsidR="00432081" w:rsidRDefault="00432081" w:rsidP="00DC1372">
      <w:r>
        <w:separator/>
      </w:r>
    </w:p>
    <w:p w14:paraId="312DA484" w14:textId="77777777" w:rsidR="00432081" w:rsidRDefault="00432081"/>
    <w:p w14:paraId="3F0D2CCD" w14:textId="77777777" w:rsidR="00432081" w:rsidRDefault="00432081"/>
  </w:endnote>
  <w:endnote w:type="continuationSeparator" w:id="0">
    <w:p w14:paraId="005E0563" w14:textId="77777777" w:rsidR="00432081" w:rsidRDefault="00432081" w:rsidP="00DC1372">
      <w:r>
        <w:continuationSeparator/>
      </w:r>
    </w:p>
    <w:p w14:paraId="3201484F" w14:textId="77777777" w:rsidR="00432081" w:rsidRDefault="00432081"/>
    <w:p w14:paraId="763FD205" w14:textId="77777777" w:rsidR="00432081" w:rsidRDefault="00432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altName w:val="MS Mincho"/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CCC7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6B2A3A" w:rsidRDefault="006B2A3A" w:rsidP="00DC1372">
    <w:pPr>
      <w:pStyle w:val="Footer"/>
      <w:ind w:right="360"/>
    </w:pPr>
  </w:p>
  <w:p w14:paraId="230FC1AD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73B" w14:textId="0A067E45" w:rsidR="006B2A3A" w:rsidRPr="003B15FA" w:rsidRDefault="006B2A3A" w:rsidP="003B15FA">
    <w:pPr>
      <w:pStyle w:val="Footer"/>
    </w:pPr>
    <w:r w:rsidRPr="006D4E00">
      <w:rPr>
        <w:sz w:val="16"/>
        <w:szCs w:val="16"/>
      </w:rPr>
      <w:t xml:space="preserve">Copyright © </w:t>
    </w:r>
    <w:r w:rsidR="00D62D9D">
      <w:rPr>
        <w:sz w:val="16"/>
        <w:szCs w:val="16"/>
      </w:rPr>
      <w:t>202</w:t>
    </w:r>
    <w:r w:rsidR="00D47E70">
      <w:rPr>
        <w:sz w:val="16"/>
        <w:szCs w:val="16"/>
      </w:rPr>
      <w:t>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12FB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3700" w14:textId="5E728E3E" w:rsidR="006B2A3A" w:rsidRPr="0089650B" w:rsidRDefault="0089650B" w:rsidP="0089650B">
    <w:pPr>
      <w:tabs>
        <w:tab w:val="center" w:pos="4320"/>
        <w:tab w:val="right" w:pos="8640"/>
      </w:tabs>
      <w:rPr>
        <w:sz w:val="16"/>
        <w:szCs w:val="16"/>
      </w:rPr>
    </w:pPr>
    <w:r w:rsidRPr="0089650B">
      <w:rPr>
        <w:sz w:val="16"/>
        <w:szCs w:val="16"/>
      </w:rPr>
      <w:t>a</w:t>
    </w:r>
    <w:r>
      <w:rPr>
        <w:sz w:val="16"/>
        <w:szCs w:val="16"/>
      </w:rPr>
      <w:t xml:space="preserve">b235696 </w:t>
    </w:r>
    <w:r w:rsidRPr="0089650B">
      <w:rPr>
        <w:sz w:val="16"/>
        <w:szCs w:val="16"/>
      </w:rPr>
      <w:t>Cell Migration/Chemotaxis Assay Kit (24-well, 5 µm)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56542C">
      <w:rPr>
        <w:noProof/>
        <w:sz w:val="16"/>
        <w:szCs w:val="16"/>
      </w:rPr>
      <w:t>10</w:t>
    </w:r>
    <w:r w:rsidR="006B2A3A"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FD2A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86D7" w14:textId="0560A6FB" w:rsidR="006B2A3A" w:rsidRPr="001F3104" w:rsidRDefault="006B2A3A" w:rsidP="001F3104">
    <w:pPr>
      <w:pStyle w:val="Footer"/>
    </w:pPr>
    <w:r w:rsidRPr="006D4E00">
      <w:rPr>
        <w:sz w:val="16"/>
        <w:szCs w:val="16"/>
      </w:rPr>
      <w:t>Copyright © 20</w:t>
    </w:r>
    <w:r w:rsidR="00712870">
      <w:rPr>
        <w:sz w:val="16"/>
        <w:szCs w:val="16"/>
      </w:rPr>
      <w:t>2</w:t>
    </w:r>
    <w:r w:rsidR="00D47E70">
      <w:rPr>
        <w:sz w:val="16"/>
        <w:szCs w:val="16"/>
      </w:rPr>
      <w:t>3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5B91" w14:textId="77777777" w:rsidR="00432081" w:rsidRDefault="00432081" w:rsidP="00DC1372">
      <w:r>
        <w:separator/>
      </w:r>
    </w:p>
    <w:p w14:paraId="5AE17E6D" w14:textId="77777777" w:rsidR="00432081" w:rsidRDefault="00432081"/>
    <w:p w14:paraId="17BBF0A5" w14:textId="77777777" w:rsidR="00432081" w:rsidRDefault="00432081"/>
  </w:footnote>
  <w:footnote w:type="continuationSeparator" w:id="0">
    <w:p w14:paraId="799178CE" w14:textId="77777777" w:rsidR="00432081" w:rsidRDefault="00432081" w:rsidP="00DC1372">
      <w:r>
        <w:continuationSeparator/>
      </w:r>
    </w:p>
    <w:p w14:paraId="5CD479CF" w14:textId="77777777" w:rsidR="00432081" w:rsidRDefault="00432081"/>
    <w:p w14:paraId="5E51E785" w14:textId="77777777" w:rsidR="00432081" w:rsidRDefault="00432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DFA5" w14:textId="77777777" w:rsidR="006B2A3A" w:rsidRDefault="004558EA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0F3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2B6F05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5" w15:restartNumberingAfterBreak="0">
    <w:nsid w:val="11884895"/>
    <w:multiLevelType w:val="hybridMultilevel"/>
    <w:tmpl w:val="7E029C7A"/>
    <w:lvl w:ilvl="0" w:tplc="855EDCFA">
      <w:start w:val="1"/>
      <w:numFmt w:val="decimal"/>
      <w:pStyle w:val="1AbcamTOC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9013B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8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0526C58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16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3457FA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68779D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4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0B70709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7" w15:restartNumberingAfterBreak="0">
    <w:nsid w:val="730F51B1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8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166601722">
    <w:abstractNumId w:val="1"/>
  </w:num>
  <w:num w:numId="2" w16cid:durableId="1954089538">
    <w:abstractNumId w:val="19"/>
  </w:num>
  <w:num w:numId="3" w16cid:durableId="1233080804">
    <w:abstractNumId w:val="14"/>
  </w:num>
  <w:num w:numId="4" w16cid:durableId="416904527">
    <w:abstractNumId w:val="3"/>
  </w:num>
  <w:num w:numId="5" w16cid:durableId="244153505">
    <w:abstractNumId w:val="9"/>
  </w:num>
  <w:num w:numId="6" w16cid:durableId="2115710561">
    <w:abstractNumId w:val="26"/>
  </w:num>
  <w:num w:numId="7" w16cid:durableId="1845507535">
    <w:abstractNumId w:val="30"/>
  </w:num>
  <w:num w:numId="8" w16cid:durableId="245506246">
    <w:abstractNumId w:val="22"/>
  </w:num>
  <w:num w:numId="9" w16cid:durableId="1199515386">
    <w:abstractNumId w:val="23"/>
  </w:num>
  <w:num w:numId="10" w16cid:durableId="1323043829">
    <w:abstractNumId w:val="16"/>
  </w:num>
  <w:num w:numId="11" w16cid:durableId="443312013">
    <w:abstractNumId w:val="21"/>
  </w:num>
  <w:num w:numId="12" w16cid:durableId="577132278">
    <w:abstractNumId w:val="24"/>
  </w:num>
  <w:num w:numId="13" w16cid:durableId="387187185">
    <w:abstractNumId w:val="6"/>
  </w:num>
  <w:num w:numId="14" w16cid:durableId="1910577369">
    <w:abstractNumId w:val="5"/>
  </w:num>
  <w:num w:numId="15" w16cid:durableId="492767530">
    <w:abstractNumId w:val="29"/>
  </w:num>
  <w:num w:numId="16" w16cid:durableId="2088795165">
    <w:abstractNumId w:val="4"/>
  </w:num>
  <w:num w:numId="17" w16cid:durableId="481436098">
    <w:abstractNumId w:val="0"/>
  </w:num>
  <w:num w:numId="18" w16cid:durableId="529491318">
    <w:abstractNumId w:val="11"/>
  </w:num>
  <w:num w:numId="19" w16cid:durableId="596328697">
    <w:abstractNumId w:val="8"/>
  </w:num>
  <w:num w:numId="20" w16cid:durableId="189075061">
    <w:abstractNumId w:val="20"/>
  </w:num>
  <w:num w:numId="21" w16cid:durableId="398943099">
    <w:abstractNumId w:val="12"/>
  </w:num>
  <w:num w:numId="22" w16cid:durableId="308217637">
    <w:abstractNumId w:val="13"/>
  </w:num>
  <w:num w:numId="23" w16cid:durableId="655033466">
    <w:abstractNumId w:val="28"/>
  </w:num>
  <w:num w:numId="24" w16cid:durableId="357705792">
    <w:abstractNumId w:val="10"/>
  </w:num>
  <w:num w:numId="25" w16cid:durableId="431635645">
    <w:abstractNumId w:val="25"/>
  </w:num>
  <w:num w:numId="26" w16cid:durableId="2095471642">
    <w:abstractNumId w:val="2"/>
  </w:num>
  <w:num w:numId="27" w16cid:durableId="1651323730">
    <w:abstractNumId w:val="18"/>
  </w:num>
  <w:num w:numId="28" w16cid:durableId="405305615">
    <w:abstractNumId w:val="17"/>
  </w:num>
  <w:num w:numId="29" w16cid:durableId="1927957476">
    <w:abstractNumId w:val="27"/>
  </w:num>
  <w:num w:numId="30" w16cid:durableId="990065124">
    <w:abstractNumId w:val="7"/>
  </w:num>
  <w:num w:numId="31" w16cid:durableId="87065257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7205"/>
    <w:rsid w:val="00013984"/>
    <w:rsid w:val="00013D0A"/>
    <w:rsid w:val="00014148"/>
    <w:rsid w:val="0003337F"/>
    <w:rsid w:val="00043E6C"/>
    <w:rsid w:val="000519C2"/>
    <w:rsid w:val="00052D70"/>
    <w:rsid w:val="00052E61"/>
    <w:rsid w:val="000740F7"/>
    <w:rsid w:val="000A2DCC"/>
    <w:rsid w:val="000B75FC"/>
    <w:rsid w:val="000B7DFC"/>
    <w:rsid w:val="000C46A1"/>
    <w:rsid w:val="000D1BC7"/>
    <w:rsid w:val="000D5A13"/>
    <w:rsid w:val="000E1B75"/>
    <w:rsid w:val="000E4FA8"/>
    <w:rsid w:val="000E5E2C"/>
    <w:rsid w:val="000F0173"/>
    <w:rsid w:val="000F0972"/>
    <w:rsid w:val="001004B5"/>
    <w:rsid w:val="001110FC"/>
    <w:rsid w:val="00116EC6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74FD5"/>
    <w:rsid w:val="00176175"/>
    <w:rsid w:val="0018707A"/>
    <w:rsid w:val="00187415"/>
    <w:rsid w:val="001879A9"/>
    <w:rsid w:val="001A4A94"/>
    <w:rsid w:val="001B583F"/>
    <w:rsid w:val="001C6CF5"/>
    <w:rsid w:val="001C766D"/>
    <w:rsid w:val="001C766F"/>
    <w:rsid w:val="001E09D0"/>
    <w:rsid w:val="001E2DD7"/>
    <w:rsid w:val="001E6D23"/>
    <w:rsid w:val="001F3104"/>
    <w:rsid w:val="001F46D1"/>
    <w:rsid w:val="001F5484"/>
    <w:rsid w:val="0021509B"/>
    <w:rsid w:val="00220404"/>
    <w:rsid w:val="00222423"/>
    <w:rsid w:val="00227F9F"/>
    <w:rsid w:val="00231117"/>
    <w:rsid w:val="00244627"/>
    <w:rsid w:val="00255E25"/>
    <w:rsid w:val="002603D1"/>
    <w:rsid w:val="00260B00"/>
    <w:rsid w:val="00262F3B"/>
    <w:rsid w:val="00264DBC"/>
    <w:rsid w:val="002743BD"/>
    <w:rsid w:val="00277074"/>
    <w:rsid w:val="002830C3"/>
    <w:rsid w:val="00284B94"/>
    <w:rsid w:val="002A066A"/>
    <w:rsid w:val="002A6C5E"/>
    <w:rsid w:val="002B0C23"/>
    <w:rsid w:val="002C08B2"/>
    <w:rsid w:val="002C0A8F"/>
    <w:rsid w:val="002D18B4"/>
    <w:rsid w:val="002D28E9"/>
    <w:rsid w:val="002E19B0"/>
    <w:rsid w:val="002F0A89"/>
    <w:rsid w:val="00302BD8"/>
    <w:rsid w:val="0030365A"/>
    <w:rsid w:val="00307C98"/>
    <w:rsid w:val="00326E64"/>
    <w:rsid w:val="0032714C"/>
    <w:rsid w:val="00331AEA"/>
    <w:rsid w:val="003357EB"/>
    <w:rsid w:val="0033728C"/>
    <w:rsid w:val="003475EB"/>
    <w:rsid w:val="00354811"/>
    <w:rsid w:val="003722E2"/>
    <w:rsid w:val="00380497"/>
    <w:rsid w:val="003810BB"/>
    <w:rsid w:val="003839FE"/>
    <w:rsid w:val="00387DA1"/>
    <w:rsid w:val="00391C31"/>
    <w:rsid w:val="00397108"/>
    <w:rsid w:val="003975F2"/>
    <w:rsid w:val="00397F0D"/>
    <w:rsid w:val="003B15FA"/>
    <w:rsid w:val="003B538C"/>
    <w:rsid w:val="003D7FB7"/>
    <w:rsid w:val="003E1BB6"/>
    <w:rsid w:val="003E2AFE"/>
    <w:rsid w:val="003E4ABF"/>
    <w:rsid w:val="003E69E9"/>
    <w:rsid w:val="00405915"/>
    <w:rsid w:val="00414435"/>
    <w:rsid w:val="0043186A"/>
    <w:rsid w:val="00432081"/>
    <w:rsid w:val="00435C08"/>
    <w:rsid w:val="00440C9B"/>
    <w:rsid w:val="00441EC7"/>
    <w:rsid w:val="00445BED"/>
    <w:rsid w:val="0045027E"/>
    <w:rsid w:val="004558EA"/>
    <w:rsid w:val="00471BB0"/>
    <w:rsid w:val="00491AA0"/>
    <w:rsid w:val="004A09CA"/>
    <w:rsid w:val="004A73BA"/>
    <w:rsid w:val="004B7B21"/>
    <w:rsid w:val="004D79B3"/>
    <w:rsid w:val="004E39FE"/>
    <w:rsid w:val="004F2E85"/>
    <w:rsid w:val="004F5B1C"/>
    <w:rsid w:val="005033B1"/>
    <w:rsid w:val="00504A2A"/>
    <w:rsid w:val="00504A8E"/>
    <w:rsid w:val="005137BA"/>
    <w:rsid w:val="0051552B"/>
    <w:rsid w:val="00550065"/>
    <w:rsid w:val="00550EE8"/>
    <w:rsid w:val="00563AB5"/>
    <w:rsid w:val="0056542C"/>
    <w:rsid w:val="00592267"/>
    <w:rsid w:val="00595684"/>
    <w:rsid w:val="005B2FE0"/>
    <w:rsid w:val="005B4251"/>
    <w:rsid w:val="005D086D"/>
    <w:rsid w:val="005D4A4E"/>
    <w:rsid w:val="005D5667"/>
    <w:rsid w:val="005E07C9"/>
    <w:rsid w:val="005E3152"/>
    <w:rsid w:val="005F4732"/>
    <w:rsid w:val="006119B8"/>
    <w:rsid w:val="00633C55"/>
    <w:rsid w:val="00633CE7"/>
    <w:rsid w:val="00644BFA"/>
    <w:rsid w:val="006459BE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B255F"/>
    <w:rsid w:val="006B2A3A"/>
    <w:rsid w:val="006B6677"/>
    <w:rsid w:val="006C1D16"/>
    <w:rsid w:val="006D4E00"/>
    <w:rsid w:val="006E06B1"/>
    <w:rsid w:val="006E40FB"/>
    <w:rsid w:val="00700BAF"/>
    <w:rsid w:val="00712870"/>
    <w:rsid w:val="0073217A"/>
    <w:rsid w:val="00737A70"/>
    <w:rsid w:val="00746382"/>
    <w:rsid w:val="007539DD"/>
    <w:rsid w:val="00755831"/>
    <w:rsid w:val="00761710"/>
    <w:rsid w:val="007619E2"/>
    <w:rsid w:val="0079206C"/>
    <w:rsid w:val="007A60F2"/>
    <w:rsid w:val="007B1E09"/>
    <w:rsid w:val="007C6B23"/>
    <w:rsid w:val="007D5672"/>
    <w:rsid w:val="007E5C0E"/>
    <w:rsid w:val="007F072E"/>
    <w:rsid w:val="007F1A39"/>
    <w:rsid w:val="007F21D7"/>
    <w:rsid w:val="007F5EBC"/>
    <w:rsid w:val="00800999"/>
    <w:rsid w:val="00804703"/>
    <w:rsid w:val="00826A4D"/>
    <w:rsid w:val="00833EC4"/>
    <w:rsid w:val="00855612"/>
    <w:rsid w:val="0085567B"/>
    <w:rsid w:val="008727A9"/>
    <w:rsid w:val="00873D8C"/>
    <w:rsid w:val="0088153B"/>
    <w:rsid w:val="0089650B"/>
    <w:rsid w:val="008A2F6E"/>
    <w:rsid w:val="008A4473"/>
    <w:rsid w:val="008B2920"/>
    <w:rsid w:val="008B4D57"/>
    <w:rsid w:val="008C0DA4"/>
    <w:rsid w:val="008C5D5E"/>
    <w:rsid w:val="008D155B"/>
    <w:rsid w:val="008D3BB0"/>
    <w:rsid w:val="008E0945"/>
    <w:rsid w:val="00901E8F"/>
    <w:rsid w:val="00904876"/>
    <w:rsid w:val="00920CA4"/>
    <w:rsid w:val="00946FA4"/>
    <w:rsid w:val="00954FAB"/>
    <w:rsid w:val="009558F2"/>
    <w:rsid w:val="009564C7"/>
    <w:rsid w:val="009567DC"/>
    <w:rsid w:val="0096742B"/>
    <w:rsid w:val="00967CE2"/>
    <w:rsid w:val="00971D31"/>
    <w:rsid w:val="009752DA"/>
    <w:rsid w:val="00977A58"/>
    <w:rsid w:val="00993C34"/>
    <w:rsid w:val="009B472D"/>
    <w:rsid w:val="009D40A6"/>
    <w:rsid w:val="00A11967"/>
    <w:rsid w:val="00A13E14"/>
    <w:rsid w:val="00A20163"/>
    <w:rsid w:val="00A217EC"/>
    <w:rsid w:val="00A31460"/>
    <w:rsid w:val="00A40EA9"/>
    <w:rsid w:val="00A4487B"/>
    <w:rsid w:val="00A61EE0"/>
    <w:rsid w:val="00A75412"/>
    <w:rsid w:val="00A80899"/>
    <w:rsid w:val="00A81E25"/>
    <w:rsid w:val="00A835F2"/>
    <w:rsid w:val="00A9248A"/>
    <w:rsid w:val="00A93842"/>
    <w:rsid w:val="00AA2058"/>
    <w:rsid w:val="00AB2B9A"/>
    <w:rsid w:val="00AC3F23"/>
    <w:rsid w:val="00AD2A65"/>
    <w:rsid w:val="00AD5456"/>
    <w:rsid w:val="00AE3B29"/>
    <w:rsid w:val="00AF2783"/>
    <w:rsid w:val="00B02B56"/>
    <w:rsid w:val="00B44F2B"/>
    <w:rsid w:val="00B47D3A"/>
    <w:rsid w:val="00B553F7"/>
    <w:rsid w:val="00B6093A"/>
    <w:rsid w:val="00B65B1D"/>
    <w:rsid w:val="00B73032"/>
    <w:rsid w:val="00B74805"/>
    <w:rsid w:val="00B8255E"/>
    <w:rsid w:val="00B8423B"/>
    <w:rsid w:val="00B86BEB"/>
    <w:rsid w:val="00B86D77"/>
    <w:rsid w:val="00B9305B"/>
    <w:rsid w:val="00BA030F"/>
    <w:rsid w:val="00BA4F42"/>
    <w:rsid w:val="00BA77F0"/>
    <w:rsid w:val="00BB488D"/>
    <w:rsid w:val="00BB5447"/>
    <w:rsid w:val="00BD0364"/>
    <w:rsid w:val="00BD36DA"/>
    <w:rsid w:val="00BF4659"/>
    <w:rsid w:val="00BF5975"/>
    <w:rsid w:val="00BF65CB"/>
    <w:rsid w:val="00C01E6B"/>
    <w:rsid w:val="00C12998"/>
    <w:rsid w:val="00C12EBE"/>
    <w:rsid w:val="00C52378"/>
    <w:rsid w:val="00C708D5"/>
    <w:rsid w:val="00C7670C"/>
    <w:rsid w:val="00C76D97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AB4"/>
    <w:rsid w:val="00CE7217"/>
    <w:rsid w:val="00CF6941"/>
    <w:rsid w:val="00D231CF"/>
    <w:rsid w:val="00D332B4"/>
    <w:rsid w:val="00D36450"/>
    <w:rsid w:val="00D4244D"/>
    <w:rsid w:val="00D47E70"/>
    <w:rsid w:val="00D50132"/>
    <w:rsid w:val="00D530F3"/>
    <w:rsid w:val="00D62D9D"/>
    <w:rsid w:val="00D6414F"/>
    <w:rsid w:val="00D65517"/>
    <w:rsid w:val="00D67976"/>
    <w:rsid w:val="00D751DA"/>
    <w:rsid w:val="00D77C0B"/>
    <w:rsid w:val="00DA316D"/>
    <w:rsid w:val="00DB39E6"/>
    <w:rsid w:val="00DC1372"/>
    <w:rsid w:val="00DC1BE4"/>
    <w:rsid w:val="00DD2A5B"/>
    <w:rsid w:val="00DF2200"/>
    <w:rsid w:val="00DF5155"/>
    <w:rsid w:val="00E043D5"/>
    <w:rsid w:val="00E1415E"/>
    <w:rsid w:val="00E212C7"/>
    <w:rsid w:val="00E23F59"/>
    <w:rsid w:val="00E26CC5"/>
    <w:rsid w:val="00E304A3"/>
    <w:rsid w:val="00E328B4"/>
    <w:rsid w:val="00E351A1"/>
    <w:rsid w:val="00E44FA4"/>
    <w:rsid w:val="00E56AC7"/>
    <w:rsid w:val="00E625BC"/>
    <w:rsid w:val="00E75A3C"/>
    <w:rsid w:val="00E80001"/>
    <w:rsid w:val="00E8117D"/>
    <w:rsid w:val="00E83618"/>
    <w:rsid w:val="00E90961"/>
    <w:rsid w:val="00E90BE0"/>
    <w:rsid w:val="00E94675"/>
    <w:rsid w:val="00EB29BD"/>
    <w:rsid w:val="00EB6596"/>
    <w:rsid w:val="00EC5878"/>
    <w:rsid w:val="00ED21B9"/>
    <w:rsid w:val="00EE3AF6"/>
    <w:rsid w:val="00EE3D9C"/>
    <w:rsid w:val="00EE7AF5"/>
    <w:rsid w:val="00F107B1"/>
    <w:rsid w:val="00F1129A"/>
    <w:rsid w:val="00F132CD"/>
    <w:rsid w:val="00F2362D"/>
    <w:rsid w:val="00F23F25"/>
    <w:rsid w:val="00F45E53"/>
    <w:rsid w:val="00F47BCF"/>
    <w:rsid w:val="00F52D8E"/>
    <w:rsid w:val="00F54055"/>
    <w:rsid w:val="00F57CCB"/>
    <w:rsid w:val="00F6044E"/>
    <w:rsid w:val="00F66B2E"/>
    <w:rsid w:val="00F8500B"/>
    <w:rsid w:val="00F963B9"/>
    <w:rsid w:val="00FA0E17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217EC"/>
    <w:pPr>
      <w:numPr>
        <w:numId w:val="14"/>
      </w:numPr>
    </w:pPr>
  </w:style>
  <w:style w:type="character" w:customStyle="1" w:styleId="1AbcamTOCChar">
    <w:name w:val="1 Abcam TOC Char"/>
    <w:basedOn w:val="DefaultParagraphFont"/>
    <w:link w:val="1AbcamTOC"/>
    <w:rsid w:val="00A217EC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customStyle="1" w:styleId="KIT-extrainfoChar">
    <w:name w:val="KIT-extra info Char"/>
    <w:basedOn w:val="DefaultParagraphFont"/>
    <w:link w:val="KIT-extrainfo"/>
    <w:locked/>
    <w:rsid w:val="006E06B1"/>
    <w:rPr>
      <w:rFonts w:ascii="Century Gothic" w:hAnsi="Century Gothic"/>
      <w:bCs/>
      <w:sz w:val="16"/>
      <w:szCs w:val="18"/>
    </w:rPr>
  </w:style>
  <w:style w:type="paragraph" w:customStyle="1" w:styleId="KIT-extrainfo">
    <w:name w:val="KIT-extra info"/>
    <w:basedOn w:val="Normal"/>
    <w:link w:val="KIT-extrainfoChar"/>
    <w:qFormat/>
    <w:rsid w:val="006E06B1"/>
    <w:pPr>
      <w:spacing w:before="0" w:after="0"/>
      <w:ind w:left="720" w:firstLine="720"/>
    </w:pPr>
    <w:rPr>
      <w:bCs/>
      <w:sz w:val="16"/>
      <w:szCs w:val="18"/>
    </w:rPr>
  </w:style>
  <w:style w:type="character" w:customStyle="1" w:styleId="ui-provider">
    <w:name w:val="ui-provider"/>
    <w:basedOn w:val="DefaultParagraphFont"/>
    <w:rsid w:val="00D47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bcam.com/assaykitguidelines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yperlink" Target="http://www.abcam.com/contact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bcam.com/assaykitguideline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59140-368C-46D5-8B57-6C2549CF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3</cp:revision>
  <cp:lastPrinted>2016-03-17T15:36:00Z</cp:lastPrinted>
  <dcterms:created xsi:type="dcterms:W3CDTF">2023-05-16T09:57:00Z</dcterms:created>
  <dcterms:modified xsi:type="dcterms:W3CDTF">2023-06-06T14:51:00Z</dcterms:modified>
</cp:coreProperties>
</file>