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F6F9" w14:textId="2477E648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D74A72">
        <w:t>2a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242D88">
        <w:rPr>
          <w:noProof/>
        </w:rPr>
        <w:t>6 April 2020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D9005D" w14:paraId="0D851F8A" w14:textId="77777777" w:rsidTr="00D74A72">
        <w:trPr>
          <w:trHeight w:hRule="exact" w:val="4027"/>
        </w:trPr>
        <w:tc>
          <w:tcPr>
            <w:tcW w:w="6096" w:type="dxa"/>
            <w:vAlign w:val="center"/>
          </w:tcPr>
          <w:p w14:paraId="1A8C177D" w14:textId="2D484F52" w:rsidR="00F37A7E" w:rsidRPr="00085233" w:rsidRDefault="001760F8" w:rsidP="00D74A72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24619354"/>
            <w:bookmarkStart w:id="1" w:name="_Hlk524100901"/>
            <w:bookmarkStart w:id="2" w:name="_Hlk511400159"/>
            <w:r>
              <w:rPr>
                <w:rFonts w:ascii="Century Gothic" w:hAnsi="Century Gothic" w:cs="Lao UI"/>
                <w:b/>
              </w:rPr>
              <w:t>ab241030</w:t>
            </w:r>
          </w:p>
          <w:bookmarkEnd w:id="0"/>
          <w:p w14:paraId="0B6DC758" w14:textId="50B57B17" w:rsidR="00F37A7E" w:rsidRPr="00D9005D" w:rsidRDefault="001760F8" w:rsidP="00D74A72">
            <w:pPr>
              <w:pStyle w:val="Title"/>
              <w:rPr>
                <w:rFonts w:ascii="Century Gothic" w:hAnsi="Century Gothic"/>
                <w:highlight w:val="yellow"/>
              </w:rPr>
            </w:pPr>
            <w:r>
              <w:rPr>
                <w:rFonts w:ascii="Century Gothic" w:hAnsi="Century Gothic" w:cs="Lao UI"/>
                <w:b/>
              </w:rPr>
              <w:t>Gamma Glutamyl Transferase</w:t>
            </w:r>
            <w:r w:rsidR="003410CB">
              <w:rPr>
                <w:rFonts w:ascii="Century Gothic" w:hAnsi="Century Gothic" w:cs="Lao UI"/>
                <w:b/>
              </w:rPr>
              <w:t xml:space="preserve"> Assay Kit (Fluorometric</w:t>
            </w:r>
            <w:r w:rsidR="0073150B" w:rsidRPr="0073150B">
              <w:rPr>
                <w:rFonts w:ascii="Century Gothic" w:hAnsi="Century Gothic" w:cs="Lao UI"/>
                <w:b/>
              </w:rPr>
              <w:t>)</w:t>
            </w:r>
            <w:bookmarkEnd w:id="1"/>
          </w:p>
        </w:tc>
      </w:tr>
      <w:bookmarkEnd w:id="2"/>
    </w:tbl>
    <w:p w14:paraId="68A29274" w14:textId="77777777" w:rsidR="00D751DA" w:rsidRPr="00D9005D" w:rsidRDefault="00D751DA" w:rsidP="001B583F">
      <w:pPr>
        <w:pStyle w:val="1AbcamStandardtext"/>
      </w:pPr>
    </w:p>
    <w:p w14:paraId="0F52A95B" w14:textId="02B5F646" w:rsidR="00BF65CB" w:rsidRPr="001B583F" w:rsidRDefault="00046891" w:rsidP="001B583F">
      <w:pPr>
        <w:pStyle w:val="1AbcamStandardtext"/>
      </w:pPr>
      <w:r w:rsidRPr="00046891">
        <w:t xml:space="preserve">For the </w:t>
      </w:r>
      <w:r w:rsidR="00FA7DBE">
        <w:t xml:space="preserve">detection of </w:t>
      </w:r>
      <w:r w:rsidR="001760F8">
        <w:t>Gamma Glutamyl Transferase</w:t>
      </w:r>
      <w:r w:rsidR="003410CB" w:rsidRPr="003410CB">
        <w:t xml:space="preserve"> activity in</w:t>
      </w:r>
      <w:r w:rsidR="001760F8">
        <w:t xml:space="preserve"> </w:t>
      </w:r>
      <w:r w:rsidR="008D3C6E">
        <w:t xml:space="preserve">serum, </w:t>
      </w:r>
      <w:r w:rsidR="001760F8">
        <w:t xml:space="preserve">tissue, </w:t>
      </w:r>
      <w:r w:rsidR="003410CB">
        <w:t xml:space="preserve">adherent cells and suspension </w:t>
      </w:r>
      <w:r w:rsidR="003410CB" w:rsidRPr="003410CB">
        <w:t>cells</w:t>
      </w:r>
      <w:r>
        <w:t xml:space="preserve">. </w:t>
      </w:r>
    </w:p>
    <w:p w14:paraId="7137C6EC" w14:textId="77777777" w:rsidR="00BF65CB" w:rsidRPr="001B583F" w:rsidRDefault="00BF65CB" w:rsidP="001B583F">
      <w:pPr>
        <w:pStyle w:val="1AbcamStandardtext"/>
      </w:pP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056D89">
      <w:pPr>
        <w:pStyle w:val="1AbcamStandardtext"/>
      </w:pPr>
      <w:r w:rsidRPr="001B583F">
        <w:t>This product is for research use only and is not intended for diagnostic use.</w:t>
      </w:r>
    </w:p>
    <w:p w14:paraId="35BE867E" w14:textId="315626F3" w:rsidR="008B2920" w:rsidRPr="001B583F" w:rsidRDefault="00550EE8" w:rsidP="00732AA2">
      <w:pPr>
        <w:spacing w:before="0" w:after="0"/>
      </w:pPr>
      <w:r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0A8A3856" w14:textId="3FD7654C" w:rsidR="00AC607F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AC607F">
        <w:rPr>
          <w:noProof/>
        </w:rPr>
        <w:t>1.</w:t>
      </w:r>
      <w:r w:rsidR="00AC607F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AC607F">
        <w:rPr>
          <w:noProof/>
        </w:rPr>
        <w:t>Overview</w:t>
      </w:r>
      <w:r w:rsidR="00AC607F">
        <w:rPr>
          <w:noProof/>
        </w:rPr>
        <w:tab/>
      </w:r>
      <w:r w:rsidR="00AC607F">
        <w:rPr>
          <w:noProof/>
        </w:rPr>
        <w:fldChar w:fldCharType="begin"/>
      </w:r>
      <w:r w:rsidR="00AC607F">
        <w:rPr>
          <w:noProof/>
        </w:rPr>
        <w:instrText xml:space="preserve"> PAGEREF _Toc528677043 \h </w:instrText>
      </w:r>
      <w:r w:rsidR="00AC607F">
        <w:rPr>
          <w:noProof/>
        </w:rPr>
      </w:r>
      <w:r w:rsidR="00AC607F">
        <w:rPr>
          <w:noProof/>
        </w:rPr>
        <w:fldChar w:fldCharType="separate"/>
      </w:r>
      <w:r w:rsidR="00AC607F">
        <w:rPr>
          <w:noProof/>
        </w:rPr>
        <w:t>1</w:t>
      </w:r>
      <w:r w:rsidR="00AC607F">
        <w:rPr>
          <w:noProof/>
        </w:rPr>
        <w:fldChar w:fldCharType="end"/>
      </w:r>
    </w:p>
    <w:p w14:paraId="739FEC2B" w14:textId="192537CC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341EE9" w14:textId="3E2A9DBA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A65EB3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A65EB3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92C30F" w14:textId="2BC5AAAA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C51FE4C" w14:textId="158CC18E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95A05E" w14:textId="246CB937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736329B" w14:textId="66A7C988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54032E9" w14:textId="3DFCC719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AEDDCDF" w14:textId="4D056CE0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23F5B1D" w14:textId="3B31C386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3972401" w14:textId="48087FA4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84D043D" w14:textId="24715770" w:rsidR="00AC607F" w:rsidRDefault="00AC607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_Toc528677054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EE20ADD" w14:textId="2195CA9A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6" w:name="_Toc528677043"/>
      <w:r w:rsidRPr="002A066A">
        <w:lastRenderedPageBreak/>
        <w:t>Overview</w:t>
      </w:r>
      <w:bookmarkEnd w:id="4"/>
      <w:bookmarkEnd w:id="6"/>
    </w:p>
    <w:p w14:paraId="145382E4" w14:textId="7A923707" w:rsidR="004D1997" w:rsidRDefault="001760F8" w:rsidP="001760F8">
      <w:pPr>
        <w:pStyle w:val="1AbcamStandardtext"/>
      </w:pPr>
      <w:r>
        <w:t>Gamma Glutamyl Transferase (</w:t>
      </w:r>
      <w:r w:rsidR="004D1997">
        <w:t>GGT</w:t>
      </w:r>
      <w:r>
        <w:t>)</w:t>
      </w:r>
      <w:r w:rsidR="003410CB">
        <w:t xml:space="preserve"> Assay Kit (Fluorometric</w:t>
      </w:r>
      <w:r w:rsidR="0073150B">
        <w:t>) (</w:t>
      </w:r>
      <w:r>
        <w:t>ab241030</w:t>
      </w:r>
      <w:r w:rsidR="0073150B">
        <w:t xml:space="preserve">) </w:t>
      </w:r>
      <w:r w:rsidRPr="001760F8">
        <w:t>provides a convenient tool for sensitive detection of t</w:t>
      </w:r>
      <w:r w:rsidR="004D1997">
        <w:t>he GGT in a variety of samples.</w:t>
      </w:r>
    </w:p>
    <w:p w14:paraId="7E76A523" w14:textId="77777777" w:rsidR="004D1997" w:rsidRDefault="001760F8" w:rsidP="001760F8">
      <w:pPr>
        <w:pStyle w:val="1AbcamStandardtext"/>
      </w:pPr>
      <w:r w:rsidRPr="001760F8">
        <w:t>The GGT in sample will recognize L-γ-Glutamyl-AMC as a specific substrate leading to proportional fluorescence development. The activity of GGT can be easily quantified fluorom</w:t>
      </w:r>
      <w:r w:rsidR="004D1997">
        <w:t>etrically (Ex/Em = 365/460 nm).</w:t>
      </w:r>
    </w:p>
    <w:p w14:paraId="07A6428B" w14:textId="74E4895D" w:rsidR="00046891" w:rsidRDefault="001760F8" w:rsidP="001760F8">
      <w:pPr>
        <w:pStyle w:val="1AbcamStandardtext"/>
      </w:pPr>
      <w:r w:rsidRPr="001760F8">
        <w:t>This assay detects GGT activity as low as 0.02 mIU in sample.</w:t>
      </w:r>
    </w:p>
    <w:p w14:paraId="7AE0145E" w14:textId="2DE7CD71" w:rsidR="00085233" w:rsidRDefault="00085233" w:rsidP="003410CB">
      <w:pPr>
        <w:spacing w:before="0" w:after="0"/>
      </w:pPr>
    </w:p>
    <w:p w14:paraId="30C13A40" w14:textId="77777777" w:rsidR="00AC607F" w:rsidRDefault="00AC607F" w:rsidP="003410CB">
      <w:pPr>
        <w:spacing w:before="0" w:after="0"/>
      </w:pPr>
    </w:p>
    <w:p w14:paraId="5219C64C" w14:textId="63ADF97F" w:rsidR="00BA44C9" w:rsidRPr="002A066A" w:rsidRDefault="00F102C1" w:rsidP="00D74A72">
      <w:pPr>
        <w:pStyle w:val="1Abcamheading"/>
      </w:pPr>
      <w:bookmarkStart w:id="7" w:name="_Toc528677044"/>
      <w:r>
        <w:t>Protocol Summary</w:t>
      </w:r>
      <w:bookmarkEnd w:id="7"/>
    </w:p>
    <w:p w14:paraId="2F9DC44B" w14:textId="77777777" w:rsidR="003410CB" w:rsidRDefault="003410CB" w:rsidP="001B583F">
      <w:pPr>
        <w:pStyle w:val="1AbcamStandardtext"/>
        <w:jc w:val="center"/>
      </w:pPr>
    </w:p>
    <w:p w14:paraId="30D80C4B" w14:textId="52053E79" w:rsidR="002F55C6" w:rsidRPr="003410CB" w:rsidRDefault="003410CB" w:rsidP="001B583F">
      <w:pPr>
        <w:pStyle w:val="1AbcamStandardtext"/>
        <w:jc w:val="center"/>
      </w:pPr>
      <w:r>
        <w:t>Prepare tissue or cell samples</w:t>
      </w:r>
      <w:r w:rsidRPr="003410CB">
        <w:t xml:space="preserve"> and positive control</w:t>
      </w:r>
      <w:r w:rsidR="00006E80" w:rsidRPr="003410CB">
        <w:t xml:space="preserve">. </w:t>
      </w:r>
    </w:p>
    <w:p w14:paraId="1D952F3F" w14:textId="59926A20" w:rsidR="000E4FA8" w:rsidRPr="003410CB" w:rsidRDefault="00BA44C9" w:rsidP="00BA44C9">
      <w:pPr>
        <w:pStyle w:val="1AbcamStandardtext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357BBA19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67C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C23E3E8" w14:textId="4BCFD555" w:rsidR="00BA44C9" w:rsidRPr="003410CB" w:rsidRDefault="00BA44C9" w:rsidP="00BA44C9">
      <w:pPr>
        <w:pStyle w:val="1AbcamStandardtext"/>
      </w:pPr>
    </w:p>
    <w:p w14:paraId="7F42369C" w14:textId="0AF10B04" w:rsidR="00755831" w:rsidRPr="003410CB" w:rsidRDefault="003410CB" w:rsidP="00755831">
      <w:pPr>
        <w:pStyle w:val="1AbcamStandardtext"/>
        <w:jc w:val="center"/>
      </w:pPr>
      <w:r>
        <w:t>Prepare standard curve</w:t>
      </w:r>
      <w:r w:rsidR="00006E80" w:rsidRPr="003410CB">
        <w:t xml:space="preserve">. </w:t>
      </w:r>
    </w:p>
    <w:p w14:paraId="2A35FDC0" w14:textId="0B8C5721" w:rsidR="00000557" w:rsidRPr="003410CB" w:rsidRDefault="001B583F" w:rsidP="001B583F">
      <w:pPr>
        <w:pStyle w:val="1AbcamStandardtext"/>
        <w:jc w:val="center"/>
        <w:rPr>
          <w:lang w:val="en-GB"/>
        </w:rPr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257F4642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841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74548AFC" w14:textId="1C703FBD" w:rsidR="001B583F" w:rsidRPr="003410CB" w:rsidRDefault="001B583F" w:rsidP="001B583F">
      <w:pPr>
        <w:pStyle w:val="1AbcamStandardtext"/>
        <w:jc w:val="center"/>
        <w:rPr>
          <w:lang w:val="en-GB"/>
        </w:rPr>
      </w:pPr>
    </w:p>
    <w:p w14:paraId="6A64D663" w14:textId="132863FE" w:rsidR="00755831" w:rsidRPr="003410CB" w:rsidRDefault="004D1997" w:rsidP="007A6450">
      <w:pPr>
        <w:pStyle w:val="1AbcamStandardtext"/>
        <w:jc w:val="center"/>
      </w:pPr>
      <w:r>
        <w:t xml:space="preserve">Add test samples and positive control to </w:t>
      </w:r>
      <w:r w:rsidR="003410CB">
        <w:t>wells</w:t>
      </w:r>
      <w:r w:rsidR="00006E80" w:rsidRPr="003410CB">
        <w:t xml:space="preserve">. </w:t>
      </w:r>
    </w:p>
    <w:p w14:paraId="265C3C4E" w14:textId="218C5B6D" w:rsidR="002F55C6" w:rsidRPr="003410CB" w:rsidRDefault="002F55C6" w:rsidP="00755831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222BA1DB">
                <wp:simplePos x="0" y="0"/>
                <wp:positionH relativeFrom="margin">
                  <wp:posOffset>2015490</wp:posOffset>
                </wp:positionH>
                <wp:positionV relativeFrom="paragraph">
                  <wp:posOffset>37846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BC54B" id="AutoShape 9" o:spid="_x0000_s1026" type="#_x0000_t67" style="position:absolute;margin-left:158.7pt;margin-top:3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pPKN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10B27F39" w14:textId="55495A13" w:rsidR="002F55C6" w:rsidRPr="003410CB" w:rsidRDefault="002F55C6" w:rsidP="00755831">
      <w:pPr>
        <w:pStyle w:val="1AbcamStandardtext"/>
        <w:jc w:val="center"/>
      </w:pPr>
    </w:p>
    <w:p w14:paraId="3FF436EE" w14:textId="1F7B0FC8" w:rsidR="004D1997" w:rsidRDefault="004D1997" w:rsidP="002F55C6">
      <w:pPr>
        <w:pStyle w:val="1AbcamStandardtext"/>
        <w:jc w:val="center"/>
      </w:pPr>
      <w:r>
        <w:t>Add GGT Substrate Mix to test samples and positive control wells, incubate for 3 mins before measuring fluorescence.</w:t>
      </w:r>
    </w:p>
    <w:p w14:paraId="79C7AE58" w14:textId="741E9FE5" w:rsidR="004D1997" w:rsidRDefault="004D1997" w:rsidP="002F55C6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9B1E14" wp14:editId="68C9038F">
                <wp:simplePos x="0" y="0"/>
                <wp:positionH relativeFrom="margin">
                  <wp:posOffset>2012315</wp:posOffset>
                </wp:positionH>
                <wp:positionV relativeFrom="paragraph">
                  <wp:posOffset>45085</wp:posOffset>
                </wp:positionV>
                <wp:extent cx="180975" cy="231140"/>
                <wp:effectExtent l="38100" t="0" r="28575" b="355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76D6" id="AutoShape 10" o:spid="_x0000_s1026" type="#_x0000_t67" style="position:absolute;margin-left:158.45pt;margin-top:3.55pt;width:14.25pt;height:18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7GRAIAAJI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">
                <w10:wrap anchorx="margin"/>
              </v:shape>
            </w:pict>
          </mc:Fallback>
        </mc:AlternateContent>
      </w:r>
    </w:p>
    <w:p w14:paraId="2F1D3887" w14:textId="36E2E4AE" w:rsidR="004D1997" w:rsidRDefault="004D1997" w:rsidP="002F55C6">
      <w:pPr>
        <w:pStyle w:val="1AbcamStandardtext"/>
        <w:jc w:val="center"/>
      </w:pPr>
    </w:p>
    <w:p w14:paraId="3674B225" w14:textId="3D63967F" w:rsidR="004D1997" w:rsidRDefault="003410CB" w:rsidP="002F55C6">
      <w:pPr>
        <w:pStyle w:val="1AbcamStandardtext"/>
        <w:jc w:val="center"/>
      </w:pPr>
      <w:r w:rsidRPr="003410CB">
        <w:t>M</w:t>
      </w:r>
      <w:r w:rsidR="000E4F22">
        <w:t xml:space="preserve">easure fluorescence (Ex/Em = </w:t>
      </w:r>
      <w:r w:rsidR="004D1997" w:rsidRPr="004D1997">
        <w:t>365/460</w:t>
      </w:r>
      <w:r w:rsidR="004D1997">
        <w:t xml:space="preserve"> </w:t>
      </w:r>
      <w:r w:rsidRPr="003410CB">
        <w:t xml:space="preserve">nm) </w:t>
      </w:r>
      <w:r w:rsidR="004D1997">
        <w:t>of standar</w:t>
      </w:r>
      <w:r w:rsidR="004050AD">
        <w:t>d curve, test samples and positive controls.</w:t>
      </w:r>
    </w:p>
    <w:p w14:paraId="60F3C42A" w14:textId="3D823659" w:rsidR="004D1997" w:rsidRDefault="004D1997" w:rsidP="002F55C6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24B084" wp14:editId="3A141E77">
                <wp:simplePos x="0" y="0"/>
                <wp:positionH relativeFrom="margin">
                  <wp:posOffset>2012315</wp:posOffset>
                </wp:positionH>
                <wp:positionV relativeFrom="paragraph">
                  <wp:posOffset>104775</wp:posOffset>
                </wp:positionV>
                <wp:extent cx="180975" cy="231140"/>
                <wp:effectExtent l="38100" t="0" r="28575" b="3556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67B7" id="AutoShape 10" o:spid="_x0000_s1026" type="#_x0000_t67" style="position:absolute;margin-left:158.45pt;margin-top:8.25pt;width:14.25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vt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J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">
                <w10:wrap anchorx="margin"/>
              </v:shape>
            </w:pict>
          </mc:Fallback>
        </mc:AlternateContent>
      </w:r>
    </w:p>
    <w:p w14:paraId="1FB5168D" w14:textId="77777777" w:rsidR="004D1997" w:rsidRDefault="004D1997" w:rsidP="002F55C6">
      <w:pPr>
        <w:pStyle w:val="1AbcamStandardtext"/>
        <w:jc w:val="center"/>
      </w:pPr>
    </w:p>
    <w:p w14:paraId="39818316" w14:textId="76401A4B" w:rsidR="000E4FA8" w:rsidRPr="003410CB" w:rsidRDefault="004D1997" w:rsidP="002F55C6">
      <w:pPr>
        <w:pStyle w:val="1AbcamStandardtext"/>
        <w:jc w:val="center"/>
      </w:pPr>
      <w:r>
        <w:t>For the samples and positive controls, incubate plate</w:t>
      </w:r>
      <w:r w:rsidR="003410CB">
        <w:t xml:space="preserve"> at 37°C</w:t>
      </w:r>
      <w:r>
        <w:t xml:space="preserve"> for 30 mins to 2 hours, then read again.</w:t>
      </w:r>
      <w:r w:rsidR="00006E80" w:rsidRPr="003410CB">
        <w:t xml:space="preserve"> </w:t>
      </w:r>
    </w:p>
    <w:p w14:paraId="4DE1953E" w14:textId="2F2C0677" w:rsidR="00EC5878" w:rsidRPr="00AC607F" w:rsidRDefault="00006E80" w:rsidP="00AC607F">
      <w:pPr>
        <w:pStyle w:val="1AbcamStandardtext"/>
      </w:pPr>
      <w:r w:rsidRPr="003410CB">
        <w:t xml:space="preserve"> </w:t>
      </w:r>
    </w:p>
    <w:p w14:paraId="5B640BF8" w14:textId="296C25AA" w:rsidR="00C57FD3" w:rsidRDefault="00B9084B" w:rsidP="00C57FD3">
      <w:pPr>
        <w:pStyle w:val="1Abcamheading"/>
        <w:rPr>
          <w:lang w:val="en-GB"/>
        </w:rPr>
      </w:pPr>
      <w:bookmarkStart w:id="8" w:name="_Toc528677045"/>
      <w:r>
        <w:rPr>
          <w:lang w:val="en-GB"/>
        </w:rPr>
        <w:lastRenderedPageBreak/>
        <w:t>General guidelines, precautions, and troubleshooting</w:t>
      </w:r>
      <w:bookmarkEnd w:id="8"/>
    </w:p>
    <w:p w14:paraId="561D2D9C" w14:textId="77777777" w:rsidR="00B9084B" w:rsidRDefault="00B9084B" w:rsidP="00B9084B">
      <w:pPr>
        <w:pStyle w:val="1AbcamBulletpoints"/>
      </w:pPr>
      <w:r>
        <w:t>Please observe safe laboratory practice and consult the safety datasheet.</w:t>
      </w:r>
    </w:p>
    <w:p w14:paraId="386B9D67" w14:textId="3A96A809" w:rsidR="00B9084B" w:rsidRDefault="00B9084B" w:rsidP="00B9084B">
      <w:pPr>
        <w:pStyle w:val="1AbcamBulletpoints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B9084B">
          <w:rPr>
            <w:rStyle w:val="Hyperlink"/>
          </w:rPr>
          <w:t>www.abcam.com/assaykitguidelines</w:t>
        </w:r>
      </w:hyperlink>
    </w:p>
    <w:p w14:paraId="1B0276FE" w14:textId="4B657F33" w:rsidR="00B9084B" w:rsidRDefault="00B9084B" w:rsidP="00AC607F">
      <w:pPr>
        <w:pStyle w:val="1AbcamBulletpoints"/>
      </w:pPr>
      <w:r>
        <w:t>For typical data produced using the a</w:t>
      </w:r>
      <w:r w:rsidR="003410CB">
        <w:t xml:space="preserve">ssay, please see the assay kit </w:t>
      </w:r>
      <w:r>
        <w:t>datasheet on our website.</w:t>
      </w:r>
    </w:p>
    <w:p w14:paraId="73A027DD" w14:textId="4446C5B7" w:rsidR="00EF1DC4" w:rsidRDefault="00EF1DC4" w:rsidP="00EF1DC4">
      <w:pPr>
        <w:pStyle w:val="1Abcamheading"/>
      </w:pPr>
      <w:bookmarkStart w:id="9" w:name="_Toc528677046"/>
      <w:r>
        <w:t>Materials Supplied</w:t>
      </w:r>
      <w:r w:rsidR="00B9084B">
        <w:t>, and Storage and Stability</w:t>
      </w:r>
      <w:bookmarkEnd w:id="9"/>
    </w:p>
    <w:p w14:paraId="783510E1" w14:textId="0F7E8857" w:rsidR="00B9084B" w:rsidRDefault="00C3470E" w:rsidP="00B9084B">
      <w:pPr>
        <w:pStyle w:val="1AbcamBulletpoints"/>
      </w:pPr>
      <w:r>
        <w:t>Store kit at -20</w:t>
      </w:r>
      <w:r w:rsidR="00B9084B">
        <w:t>°C</w:t>
      </w:r>
      <w:r w:rsidR="00955481">
        <w:t xml:space="preserve"> in the dark</w:t>
      </w:r>
      <w:r w:rsidR="00B9084B">
        <w:t xml:space="preserve"> immediately upon receipt and check below</w:t>
      </w:r>
      <w:r w:rsidR="00955481">
        <w:t xml:space="preserve"> in Section 6</w:t>
      </w:r>
      <w:r w:rsidR="00B9084B">
        <w:t xml:space="preserve"> for storage for individual components. Kit can be stored for 1 year from receipt, if components have not been reconstituted.</w:t>
      </w:r>
    </w:p>
    <w:p w14:paraId="6A1BD61E" w14:textId="627484A4" w:rsidR="00B9084B" w:rsidRDefault="00B9084B" w:rsidP="001F5C23">
      <w:pPr>
        <w:pStyle w:val="1AbcamBulletpoints"/>
      </w:pPr>
      <w:r>
        <w:t xml:space="preserve">Aliquot components in working volumes before storing at the recommended temperature. </w:t>
      </w:r>
    </w:p>
    <w:p w14:paraId="2B1168E9" w14:textId="77777777" w:rsidR="00D846D3" w:rsidRDefault="00D846D3" w:rsidP="00D846D3">
      <w:pPr>
        <w:pStyle w:val="1AbcamBulletpoints"/>
        <w:numPr>
          <w:ilvl w:val="0"/>
          <w:numId w:val="0"/>
        </w:numPr>
        <w:ind w:left="357"/>
      </w:pPr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275"/>
        <w:gridCol w:w="1136"/>
      </w:tblGrid>
      <w:tr w:rsidR="00EF1DC4" w:rsidRPr="002A066A" w14:paraId="05F4CE50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59F50704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275" w:type="dxa"/>
            <w:vAlign w:val="center"/>
          </w:tcPr>
          <w:p w14:paraId="281AFF7E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36" w:type="dxa"/>
            <w:vAlign w:val="center"/>
          </w:tcPr>
          <w:p w14:paraId="2EC852DA" w14:textId="7A9352BB" w:rsidR="00EF1DC4" w:rsidRPr="00ED263F" w:rsidRDefault="00EF1DC4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F1DC4" w:rsidRPr="002A066A" w14:paraId="7075565B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B9B8CD6" w14:textId="263E5504" w:rsidR="00EF1DC4" w:rsidRPr="00955481" w:rsidRDefault="004D1997" w:rsidP="000961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GGT</w:t>
            </w:r>
            <w:r w:rsidR="003410CB" w:rsidRPr="003410CB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 Assay Buffer</w:t>
            </w:r>
          </w:p>
        </w:tc>
        <w:tc>
          <w:tcPr>
            <w:tcW w:w="1275" w:type="dxa"/>
            <w:vAlign w:val="center"/>
          </w:tcPr>
          <w:p w14:paraId="3976A2F1" w14:textId="5CF44D5E" w:rsidR="00EF1DC4" w:rsidRPr="001112A0" w:rsidRDefault="004D1997" w:rsidP="004B08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136" w:type="dxa"/>
            <w:vAlign w:val="center"/>
          </w:tcPr>
          <w:p w14:paraId="1755D00B" w14:textId="1DBB881A" w:rsidR="00EF1DC4" w:rsidRPr="001112A0" w:rsidRDefault="00C3470E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1112A0" w:rsidRPr="002A066A" w14:paraId="027BB5F9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EBA2E7A" w14:textId="22CC7746" w:rsidR="001112A0" w:rsidRPr="001112A0" w:rsidRDefault="004D199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GGT Substrate</w:t>
            </w:r>
          </w:p>
        </w:tc>
        <w:tc>
          <w:tcPr>
            <w:tcW w:w="1275" w:type="dxa"/>
            <w:vAlign w:val="center"/>
          </w:tcPr>
          <w:p w14:paraId="6795B82A" w14:textId="01258449" w:rsidR="001112A0" w:rsidRPr="001112A0" w:rsidRDefault="000E4F22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 </w:t>
            </w:r>
            <w:r w:rsidR="004D1997">
              <w:rPr>
                <w:rFonts w:cs="Arial"/>
                <w:color w:val="000000"/>
                <w:sz w:val="18"/>
                <w:szCs w:val="18"/>
                <w:lang w:val="en-GB"/>
              </w:rPr>
              <w:t>bottle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C705C9" w14:textId="47FB9B30" w:rsidR="001112A0" w:rsidRPr="001112A0" w:rsidRDefault="00C3470E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3418FAEE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05EFD64" w14:textId="3C326DF1" w:rsidR="00955481" w:rsidRDefault="004D199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GGT Positive Control</w:t>
            </w:r>
          </w:p>
        </w:tc>
        <w:tc>
          <w:tcPr>
            <w:tcW w:w="1275" w:type="dxa"/>
            <w:vAlign w:val="center"/>
          </w:tcPr>
          <w:p w14:paraId="772B9E1F" w14:textId="1EBFE6BA" w:rsidR="00955481" w:rsidRDefault="004D1997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DFF53" w14:textId="463CBDB6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7CB8D758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46165F2" w14:textId="04B2F318" w:rsidR="00955481" w:rsidRDefault="004D1997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AMC </w:t>
            </w:r>
            <w:r w:rsidR="000E4F22" w:rsidRPr="000E4F22">
              <w:rPr>
                <w:rFonts w:cs="Arial"/>
                <w:bCs/>
                <w:color w:val="000000"/>
                <w:sz w:val="18"/>
                <w:szCs w:val="18"/>
              </w:rPr>
              <w:t>Standard (1 mM)</w:t>
            </w:r>
          </w:p>
        </w:tc>
        <w:tc>
          <w:tcPr>
            <w:tcW w:w="1275" w:type="dxa"/>
            <w:vAlign w:val="center"/>
          </w:tcPr>
          <w:p w14:paraId="4790B4C1" w14:textId="473E2AF0" w:rsidR="00955481" w:rsidRDefault="000E4F22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100 µL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7320AA" w14:textId="0F9CA874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54BC65F3" w14:textId="77777777" w:rsidR="00D846D3" w:rsidRDefault="00D846D3" w:rsidP="00D846D3">
      <w:pPr>
        <w:pStyle w:val="1Abcamheading"/>
        <w:numPr>
          <w:ilvl w:val="0"/>
          <w:numId w:val="0"/>
        </w:numPr>
        <w:ind w:left="357"/>
      </w:pPr>
      <w:bookmarkStart w:id="10" w:name="_Toc446403817"/>
    </w:p>
    <w:p w14:paraId="5783967E" w14:textId="55F28A9C" w:rsidR="000E4FA8" w:rsidRPr="002A066A" w:rsidRDefault="000E4FA8" w:rsidP="001E2DD7">
      <w:pPr>
        <w:pStyle w:val="1Abcamheading"/>
      </w:pPr>
      <w:bookmarkStart w:id="11" w:name="_Toc528677047"/>
      <w:r w:rsidRPr="002A066A"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10"/>
      <w:bookmarkEnd w:id="11"/>
    </w:p>
    <w:p w14:paraId="6E31375D" w14:textId="24B04192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18D0545C" w14:textId="77777777" w:rsidR="003410CB" w:rsidRDefault="003410CB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</w:p>
    <w:p w14:paraId="19B525FE" w14:textId="2AC98C77" w:rsidR="004B0897" w:rsidRDefault="004D1997" w:rsidP="00C3470E">
      <w:pPr>
        <w:pStyle w:val="1AbcamBulletpoints"/>
      </w:pPr>
      <w:r>
        <w:t xml:space="preserve">96-well </w:t>
      </w:r>
      <w:r w:rsidR="000E4F22">
        <w:t>plate</w:t>
      </w:r>
    </w:p>
    <w:p w14:paraId="214F3B1C" w14:textId="1DDEEB4A" w:rsidR="00645B4B" w:rsidRPr="008E3135" w:rsidRDefault="00EC7363" w:rsidP="00AC607F">
      <w:pPr>
        <w:pStyle w:val="1AbcamBulletpoints"/>
      </w:pPr>
      <w:r w:rsidRPr="00EC7363">
        <w:t>Multi-well spectrophotometer</w:t>
      </w:r>
      <w:r w:rsidR="00C3470E" w:rsidRPr="00C3470E">
        <w:t xml:space="preserve"> </w:t>
      </w:r>
    </w:p>
    <w:p w14:paraId="779B7769" w14:textId="77777777" w:rsidR="000E4FA8" w:rsidRPr="002A066A" w:rsidRDefault="000E4FA8" w:rsidP="001E2DD7">
      <w:pPr>
        <w:pStyle w:val="1Abcamheading"/>
      </w:pPr>
      <w:bookmarkStart w:id="12" w:name="_Toc446403819"/>
      <w:bookmarkStart w:id="13" w:name="_Toc528677048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2"/>
      <w:bookmarkEnd w:id="13"/>
    </w:p>
    <w:p w14:paraId="2B6EF634" w14:textId="545E3937" w:rsidR="000744AC" w:rsidRDefault="000744AC" w:rsidP="001F5C23">
      <w:pPr>
        <w:pStyle w:val="1AbcamBulletpoints"/>
      </w:pPr>
      <w:r w:rsidRPr="000744AC">
        <w:t>Before using the kit, spin tubes and bring down all components to the bottom of tubes</w:t>
      </w:r>
      <w:r>
        <w:t>.</w:t>
      </w:r>
    </w:p>
    <w:p w14:paraId="2240F9F9" w14:textId="19EC771F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1FA298C3" w14:textId="77777777" w:rsidR="00EC7363" w:rsidRDefault="00EC7363" w:rsidP="00EC7363">
      <w:pPr>
        <w:pStyle w:val="1AbcamBulletpoints"/>
        <w:numPr>
          <w:ilvl w:val="0"/>
          <w:numId w:val="0"/>
        </w:numPr>
      </w:pPr>
    </w:p>
    <w:p w14:paraId="25F7CAA9" w14:textId="5FC53346" w:rsidR="00EC7363" w:rsidRDefault="004D1997" w:rsidP="003410CB">
      <w:pPr>
        <w:pStyle w:val="11Abcam"/>
      </w:pPr>
      <w:r>
        <w:t>GGT</w:t>
      </w:r>
      <w:r w:rsidR="003410CB" w:rsidRPr="003410CB">
        <w:t xml:space="preserve"> Assay Buffer</w:t>
      </w:r>
      <w:r w:rsidR="00EC7363">
        <w:t>:</w:t>
      </w:r>
    </w:p>
    <w:p w14:paraId="1E9B4CEB" w14:textId="0526AFF0" w:rsidR="00EC7363" w:rsidRDefault="008C12E4" w:rsidP="00EC7363">
      <w:pPr>
        <w:pStyle w:val="1AbcamStandardtext"/>
        <w:ind w:left="567"/>
      </w:pPr>
      <w:r>
        <w:t>Ready to use as supplied</w:t>
      </w:r>
      <w:r w:rsidR="00EC7363" w:rsidRPr="00EC7363">
        <w:t>.</w:t>
      </w:r>
      <w:r>
        <w:t xml:space="preserve"> </w:t>
      </w:r>
      <w:r w:rsidRPr="008C12E4">
        <w:t xml:space="preserve">Bring </w:t>
      </w:r>
      <w:r w:rsidR="004D1997">
        <w:t>to room temperature before use.</w:t>
      </w:r>
    </w:p>
    <w:p w14:paraId="37839100" w14:textId="3DD68B9F" w:rsidR="00EC7363" w:rsidRDefault="004D1997" w:rsidP="000E4F22">
      <w:pPr>
        <w:pStyle w:val="11Abcam"/>
      </w:pPr>
      <w:r>
        <w:t>GGT Substrate</w:t>
      </w:r>
      <w:r w:rsidR="00EC7363">
        <w:t>:</w:t>
      </w:r>
    </w:p>
    <w:p w14:paraId="31C27EA1" w14:textId="3C5D5B83" w:rsidR="006B6677" w:rsidRDefault="004D1997" w:rsidP="00A40EA9">
      <w:pPr>
        <w:spacing w:before="60" w:after="60"/>
        <w:ind w:left="567"/>
      </w:pPr>
      <w:r>
        <w:t>Reconstitute with 5.5 mL</w:t>
      </w:r>
      <w:r w:rsidRPr="004D1997">
        <w:t xml:space="preserve"> GGT Assay Buffer to prepare substrate solution. Avoid keeping the reconstituted substrate at room temperature for more than 1 ho</w:t>
      </w:r>
      <w:r w:rsidR="00C15723">
        <w:t>ur and aliquot and store at       -20°</w:t>
      </w:r>
      <w:r w:rsidRPr="004D1997">
        <w:t xml:space="preserve">C after use. It is </w:t>
      </w:r>
      <w:r w:rsidR="00C15723">
        <w:t>stable for up to 1 month at -20°</w:t>
      </w:r>
      <w:r w:rsidRPr="004D1997">
        <w:t>C after reconstitution or freeze-thaw cycles (&lt; 3 times)</w:t>
      </w:r>
      <w:r w:rsidR="000E4F22" w:rsidRPr="000E4F22">
        <w:t>.</w:t>
      </w:r>
    </w:p>
    <w:p w14:paraId="28F5E42F" w14:textId="2870C9FA" w:rsidR="00EC7363" w:rsidRDefault="004D1997" w:rsidP="000E4F22">
      <w:pPr>
        <w:pStyle w:val="11Abcam"/>
      </w:pPr>
      <w:r>
        <w:t>GGT Positive Control</w:t>
      </w:r>
      <w:r w:rsidR="00EC7363">
        <w:t>:</w:t>
      </w:r>
    </w:p>
    <w:p w14:paraId="02B8327B" w14:textId="14BE96C2" w:rsidR="00EC7363" w:rsidRDefault="00C15723" w:rsidP="00EC7363">
      <w:pPr>
        <w:pStyle w:val="1AbcamStandardtext"/>
        <w:ind w:left="567"/>
      </w:pPr>
      <w:r>
        <w:t>Reconstitute with 1 mL</w:t>
      </w:r>
      <w:r w:rsidRPr="00C15723">
        <w:t xml:space="preserve"> dH</w:t>
      </w:r>
      <w:r w:rsidRPr="00C15723">
        <w:rPr>
          <w:vertAlign w:val="subscript"/>
        </w:rPr>
        <w:t>2</w:t>
      </w:r>
      <w:r w:rsidRPr="00C15723">
        <w:t xml:space="preserve">O. Pipette up and down several times to completely dissolve the pellet into solution </w:t>
      </w:r>
      <w:r w:rsidRPr="004050AD">
        <w:rPr>
          <w:b/>
        </w:rPr>
        <w:t xml:space="preserve">(Don’t vortex). </w:t>
      </w:r>
      <w:r w:rsidRPr="00C15723">
        <w:t>Aliquot e</w:t>
      </w:r>
      <w:r>
        <w:t>nough GGT Positive Control (2 µL</w:t>
      </w:r>
      <w:r w:rsidRPr="00C15723">
        <w:t xml:space="preserve"> per assay) for the number of assays to be performed in each experimen</w:t>
      </w:r>
      <w:r>
        <w:t>t and freeze immediately at -20°</w:t>
      </w:r>
      <w:r w:rsidRPr="00C15723">
        <w:t xml:space="preserve">C for future use. The GGT Positive Control is </w:t>
      </w:r>
      <w:r>
        <w:t>stable for up to 1 month at -20°</w:t>
      </w:r>
      <w:r w:rsidRPr="00C15723">
        <w:t>C after reconstitution or freeze-thaw cycles (&lt; 5 times). Keep the GGT Positive Contro</w:t>
      </w:r>
      <w:r>
        <w:t>l on ice during the preparation</w:t>
      </w:r>
      <w:r w:rsidR="000E4F22" w:rsidRPr="000E4F22">
        <w:t>.</w:t>
      </w:r>
    </w:p>
    <w:p w14:paraId="361736F9" w14:textId="24BEBBD1" w:rsidR="00EC7363" w:rsidRDefault="004D1997" w:rsidP="000E4F22">
      <w:pPr>
        <w:pStyle w:val="11Abcam"/>
      </w:pPr>
      <w:r>
        <w:t xml:space="preserve">AMC </w:t>
      </w:r>
      <w:r w:rsidR="000E4F22" w:rsidRPr="000E4F22">
        <w:t>Standard (1 mM)</w:t>
      </w:r>
      <w:r w:rsidR="00EC7363">
        <w:t>:</w:t>
      </w:r>
    </w:p>
    <w:p w14:paraId="32D7BBEA" w14:textId="2E9F93BB" w:rsidR="00EC7363" w:rsidRPr="000E4F22" w:rsidRDefault="00C15723" w:rsidP="00EC7363">
      <w:pPr>
        <w:pStyle w:val="1AbcamImageLegend"/>
        <w:ind w:left="567"/>
        <w:rPr>
          <w:sz w:val="20"/>
          <w:szCs w:val="20"/>
        </w:rPr>
      </w:pPr>
      <w:r>
        <w:rPr>
          <w:sz w:val="20"/>
          <w:szCs w:val="20"/>
        </w:rPr>
        <w:t>Please see Section 7.</w:t>
      </w:r>
    </w:p>
    <w:p w14:paraId="210CC2F0" w14:textId="10F91E20" w:rsidR="00F375B2" w:rsidRDefault="008C12E4" w:rsidP="008C12E4">
      <w:pPr>
        <w:spacing w:before="0" w:after="0"/>
      </w:pPr>
      <w:r>
        <w:br w:type="page"/>
      </w:r>
    </w:p>
    <w:p w14:paraId="3C5E4F00" w14:textId="1B288B66" w:rsidR="00BC23EA" w:rsidRDefault="00BC23EA" w:rsidP="00BC23EA">
      <w:pPr>
        <w:pStyle w:val="1Abcamheading"/>
      </w:pPr>
      <w:bookmarkStart w:id="14" w:name="_Toc528677049"/>
      <w:r>
        <w:lastRenderedPageBreak/>
        <w:t>Standard Preparation</w:t>
      </w:r>
      <w:bookmarkEnd w:id="14"/>
    </w:p>
    <w:p w14:paraId="6D04F150" w14:textId="6D5B6DE7" w:rsidR="00F375B2" w:rsidRDefault="00F375B2" w:rsidP="00F375B2">
      <w:pPr>
        <w:pStyle w:val="1AbcamBulletpoints"/>
      </w:pPr>
      <w:r>
        <w:t>Always prepare a fresh set of standards for every use.</w:t>
      </w:r>
    </w:p>
    <w:p w14:paraId="67942E6D" w14:textId="77777777" w:rsidR="007E2748" w:rsidRDefault="007E2748" w:rsidP="007E2748">
      <w:pPr>
        <w:pStyle w:val="1AbcamBulletpoints"/>
        <w:numPr>
          <w:ilvl w:val="0"/>
          <w:numId w:val="0"/>
        </w:numPr>
        <w:ind w:left="357"/>
      </w:pPr>
    </w:p>
    <w:p w14:paraId="2F035652" w14:textId="77777777" w:rsidR="00C15723" w:rsidRDefault="00C15723" w:rsidP="00C15723">
      <w:pPr>
        <w:pStyle w:val="11Abcambold"/>
      </w:pPr>
      <w:r>
        <w:t>Dilute10 μL</w:t>
      </w:r>
      <w:r w:rsidRPr="00C15723">
        <w:t xml:space="preserve"> of t</w:t>
      </w:r>
      <w:r>
        <w:t>he 1 mM AMC Standard with 990 μL</w:t>
      </w:r>
      <w:r w:rsidRPr="00C15723">
        <w:t xml:space="preserve"> of GGT Assay Buffer to generate</w:t>
      </w:r>
      <w:r>
        <w:t xml:space="preserve"> a 10 µM AMC Standard Solution.</w:t>
      </w:r>
    </w:p>
    <w:p w14:paraId="7B8D94FD" w14:textId="77777777" w:rsidR="00C15723" w:rsidRDefault="00C15723" w:rsidP="00C15723">
      <w:pPr>
        <w:pStyle w:val="11Abcambold"/>
      </w:pPr>
      <w:r>
        <w:t>Add 0, 2, 4, 6, 8, 10 µL</w:t>
      </w:r>
      <w:r w:rsidRPr="00C15723">
        <w:t xml:space="preserve"> of the diluted 10 µM AMC Standard Solution into a 96-well plate in duplicate to generate 0, 20, 40, </w:t>
      </w:r>
      <w:r>
        <w:t>60, 80, 100 pmol/well standard.</w:t>
      </w:r>
    </w:p>
    <w:p w14:paraId="7847528A" w14:textId="147AB159" w:rsidR="000E4F22" w:rsidRDefault="00C15723" w:rsidP="00C15723">
      <w:pPr>
        <w:pStyle w:val="11Abcambold"/>
      </w:pPr>
      <w:r w:rsidRPr="00C15723">
        <w:t>A</w:t>
      </w:r>
      <w:r>
        <w:t>djust the final volume to 100 µL with GG</w:t>
      </w:r>
      <w:r w:rsidRPr="00C15723">
        <w:t>T Assay Buffer</w:t>
      </w:r>
      <w:r w:rsidR="000E4F22">
        <w:t>.</w:t>
      </w:r>
    </w:p>
    <w:p w14:paraId="2C954AC4" w14:textId="77777777" w:rsidR="00F375B2" w:rsidRDefault="00F375B2" w:rsidP="00D74A72">
      <w:pPr>
        <w:pStyle w:val="11Abcambold"/>
        <w:numPr>
          <w:ilvl w:val="0"/>
          <w:numId w:val="0"/>
        </w:num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5"/>
        <w:gridCol w:w="1547"/>
        <w:gridCol w:w="1293"/>
        <w:gridCol w:w="1212"/>
      </w:tblGrid>
      <w:tr w:rsidR="00BC23EA" w:rsidRPr="007A54B5" w14:paraId="6C452D13" w14:textId="77777777" w:rsidTr="002265A4">
        <w:tc>
          <w:tcPr>
            <w:tcW w:w="1005" w:type="dxa"/>
          </w:tcPr>
          <w:p w14:paraId="21DD3CC3" w14:textId="77777777" w:rsidR="00BC23EA" w:rsidRPr="00AD7FAE" w:rsidRDefault="00BC23EA" w:rsidP="00D74A72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15" w:name="_Hlk524691723"/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Standard #</w:t>
            </w:r>
          </w:p>
        </w:tc>
        <w:tc>
          <w:tcPr>
            <w:tcW w:w="1547" w:type="dxa"/>
          </w:tcPr>
          <w:p w14:paraId="3F70DB9B" w14:textId="59FBC27F" w:rsidR="00BC23EA" w:rsidRPr="00AD7FAE" w:rsidRDefault="00C15723" w:rsidP="00D74A72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AMC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1</w:t>
            </w:r>
            <w:r w:rsidR="000E4F22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0 µM 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Standard </w:t>
            </w:r>
            <w:r w:rsidR="00BC23EA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(μL)</w:t>
            </w:r>
          </w:p>
        </w:tc>
        <w:tc>
          <w:tcPr>
            <w:tcW w:w="1293" w:type="dxa"/>
          </w:tcPr>
          <w:p w14:paraId="5A64E3F9" w14:textId="6B1AEC54" w:rsidR="00BC23EA" w:rsidRPr="00AD7FAE" w:rsidRDefault="004D1997" w:rsidP="00D74A72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GGT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Assay Buffer</w:t>
            </w:r>
            <w:r w:rsidR="00BC23EA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(μL)</w:t>
            </w:r>
          </w:p>
        </w:tc>
        <w:tc>
          <w:tcPr>
            <w:tcW w:w="1212" w:type="dxa"/>
          </w:tcPr>
          <w:p w14:paraId="6B8AACAF" w14:textId="38CDD603" w:rsidR="00BC23EA" w:rsidRDefault="00C15723" w:rsidP="00D74A72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AMC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Standard </w:t>
            </w:r>
            <w:r w:rsid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>pmol</w:t>
            </w:r>
            <w:r w:rsidR="007E5B72">
              <w:rPr>
                <w:rFonts w:eastAsiaTheme="minorHAnsi" w:cstheme="minorBidi"/>
                <w:b/>
                <w:noProof/>
                <w:sz w:val="18"/>
                <w:szCs w:val="18"/>
              </w:rPr>
              <w:t>/well</w:t>
            </w:r>
            <w:r w:rsidR="00BC23EA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</w:p>
          <w:p w14:paraId="420F9EA0" w14:textId="1C545577" w:rsidR="00BC23EA" w:rsidRPr="008725FC" w:rsidRDefault="00BC23EA" w:rsidP="00D74A72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</w:p>
        </w:tc>
      </w:tr>
      <w:tr w:rsidR="00BC23EA" w:rsidRPr="007A54B5" w14:paraId="384A0F27" w14:textId="77777777" w:rsidTr="002265A4">
        <w:tc>
          <w:tcPr>
            <w:tcW w:w="1005" w:type="dxa"/>
          </w:tcPr>
          <w:p w14:paraId="2C8240A6" w14:textId="1C7A5AF8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  <w:tc>
          <w:tcPr>
            <w:tcW w:w="1547" w:type="dxa"/>
          </w:tcPr>
          <w:p w14:paraId="1BF6DFD9" w14:textId="2F82D28F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8F63C81" w14:textId="6B0D7417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  <w:r w:rsidR="002265A4"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497C154D" w14:textId="667E6F9F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</w:tr>
      <w:tr w:rsidR="00BC23EA" w:rsidRPr="007A54B5" w14:paraId="71EB3AA7" w14:textId="77777777" w:rsidTr="002265A4">
        <w:tc>
          <w:tcPr>
            <w:tcW w:w="1005" w:type="dxa"/>
          </w:tcPr>
          <w:p w14:paraId="0C341F64" w14:textId="39880619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547" w:type="dxa"/>
          </w:tcPr>
          <w:p w14:paraId="46A4F919" w14:textId="48D496E2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14:paraId="41F50FA5" w14:textId="07A0E9DC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98</w:t>
            </w:r>
          </w:p>
        </w:tc>
        <w:tc>
          <w:tcPr>
            <w:tcW w:w="1212" w:type="dxa"/>
          </w:tcPr>
          <w:p w14:paraId="7166056E" w14:textId="2E6D3706" w:rsidR="00BC23EA" w:rsidRPr="008725FC" w:rsidRDefault="00C15723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20</w:t>
            </w:r>
          </w:p>
        </w:tc>
      </w:tr>
      <w:tr w:rsidR="00BC23EA" w:rsidRPr="007A54B5" w14:paraId="6610BEF0" w14:textId="77777777" w:rsidTr="002265A4">
        <w:tc>
          <w:tcPr>
            <w:tcW w:w="1005" w:type="dxa"/>
          </w:tcPr>
          <w:p w14:paraId="683615DF" w14:textId="7ACB28D7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1547" w:type="dxa"/>
          </w:tcPr>
          <w:p w14:paraId="7DF1F9EE" w14:textId="1EAD3B43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14:paraId="470E0B35" w14:textId="7EDD4B6E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96</w:t>
            </w:r>
          </w:p>
        </w:tc>
        <w:tc>
          <w:tcPr>
            <w:tcW w:w="1212" w:type="dxa"/>
          </w:tcPr>
          <w:p w14:paraId="00D0D1E4" w14:textId="14ABA5BD" w:rsidR="00BC23EA" w:rsidRPr="008725FC" w:rsidRDefault="00C15723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40</w:t>
            </w:r>
          </w:p>
        </w:tc>
      </w:tr>
      <w:tr w:rsidR="00BC23EA" w:rsidRPr="007A54B5" w14:paraId="7BEC4F2D" w14:textId="77777777" w:rsidTr="002265A4">
        <w:tc>
          <w:tcPr>
            <w:tcW w:w="1005" w:type="dxa"/>
          </w:tcPr>
          <w:p w14:paraId="2B79F659" w14:textId="6E594E72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547" w:type="dxa"/>
          </w:tcPr>
          <w:p w14:paraId="00EC8EA0" w14:textId="76C7470A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293" w:type="dxa"/>
          </w:tcPr>
          <w:p w14:paraId="0E283EE2" w14:textId="01E90147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94</w:t>
            </w:r>
          </w:p>
        </w:tc>
        <w:tc>
          <w:tcPr>
            <w:tcW w:w="1212" w:type="dxa"/>
          </w:tcPr>
          <w:p w14:paraId="390124C4" w14:textId="1E05904E" w:rsidR="00BC23EA" w:rsidRPr="008725FC" w:rsidRDefault="00C15723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60</w:t>
            </w:r>
          </w:p>
        </w:tc>
      </w:tr>
      <w:tr w:rsidR="00BC23EA" w:rsidRPr="007A54B5" w14:paraId="543F6356" w14:textId="77777777" w:rsidTr="002265A4">
        <w:tc>
          <w:tcPr>
            <w:tcW w:w="1005" w:type="dxa"/>
          </w:tcPr>
          <w:p w14:paraId="33A65CF2" w14:textId="311AFBC4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1547" w:type="dxa"/>
          </w:tcPr>
          <w:p w14:paraId="10488376" w14:textId="55FD3255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  <w:tc>
          <w:tcPr>
            <w:tcW w:w="1293" w:type="dxa"/>
          </w:tcPr>
          <w:p w14:paraId="48E80DA6" w14:textId="42586422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92</w:t>
            </w:r>
          </w:p>
        </w:tc>
        <w:tc>
          <w:tcPr>
            <w:tcW w:w="1212" w:type="dxa"/>
          </w:tcPr>
          <w:p w14:paraId="09607399" w14:textId="2FCF7F94" w:rsidR="00BC23EA" w:rsidRPr="008725FC" w:rsidRDefault="00C15723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80</w:t>
            </w:r>
          </w:p>
        </w:tc>
      </w:tr>
      <w:tr w:rsidR="00BC23EA" w:rsidRPr="007A54B5" w14:paraId="2481D7CA" w14:textId="77777777" w:rsidTr="002265A4">
        <w:tc>
          <w:tcPr>
            <w:tcW w:w="1005" w:type="dxa"/>
          </w:tcPr>
          <w:p w14:paraId="1ED2C145" w14:textId="78656D30" w:rsidR="00BC23EA" w:rsidRPr="008725FC" w:rsidRDefault="007E5B72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547" w:type="dxa"/>
          </w:tcPr>
          <w:p w14:paraId="164D448B" w14:textId="01AD0AA8" w:rsidR="00BC23EA" w:rsidRPr="008725FC" w:rsidRDefault="002265A4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  <w:tc>
          <w:tcPr>
            <w:tcW w:w="1293" w:type="dxa"/>
          </w:tcPr>
          <w:p w14:paraId="2D4B3F1F" w14:textId="50EBF787" w:rsidR="00BC23EA" w:rsidRPr="008725FC" w:rsidRDefault="00B93D28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90</w:t>
            </w:r>
          </w:p>
        </w:tc>
        <w:tc>
          <w:tcPr>
            <w:tcW w:w="1212" w:type="dxa"/>
          </w:tcPr>
          <w:p w14:paraId="3AC14BB3" w14:textId="20EB14CC" w:rsidR="00BC23EA" w:rsidRPr="008725FC" w:rsidRDefault="00C15723" w:rsidP="00D74A72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100</w:t>
            </w:r>
          </w:p>
        </w:tc>
      </w:tr>
      <w:bookmarkEnd w:id="15"/>
    </w:tbl>
    <w:p w14:paraId="632261E1" w14:textId="77777777" w:rsidR="00BC23EA" w:rsidRPr="00EC7363" w:rsidRDefault="00BC23EA" w:rsidP="00BC23EA">
      <w:pPr>
        <w:pStyle w:val="1AbcamStandardtext"/>
      </w:pPr>
    </w:p>
    <w:p w14:paraId="1671F0AE" w14:textId="567FE567" w:rsidR="008C12E4" w:rsidRDefault="008C12E4">
      <w:pPr>
        <w:spacing w:before="0" w:after="0"/>
      </w:pPr>
      <w:r>
        <w:br w:type="page"/>
      </w:r>
    </w:p>
    <w:p w14:paraId="070192B8" w14:textId="0DA5767C" w:rsidR="00116345" w:rsidRPr="00116345" w:rsidRDefault="00116345" w:rsidP="00116345">
      <w:pPr>
        <w:pStyle w:val="1Abcamheading"/>
      </w:pPr>
      <w:bookmarkStart w:id="16" w:name="_Toc528677050"/>
      <w:r w:rsidRPr="00116345">
        <w:lastRenderedPageBreak/>
        <w:t>Sample Preparation</w:t>
      </w:r>
      <w:bookmarkEnd w:id="16"/>
    </w:p>
    <w:p w14:paraId="7F9690E9" w14:textId="77777777" w:rsidR="00CE2CBD" w:rsidRDefault="000A52BC" w:rsidP="000A52BC">
      <w:pPr>
        <w:pStyle w:val="11Abcambold"/>
      </w:pPr>
      <w:r>
        <w:t>T</w:t>
      </w:r>
      <w:r w:rsidR="004050AD">
        <w:t xml:space="preserve">issues (10 mg) or cells (1 x </w:t>
      </w:r>
      <w:r>
        <w:t>10</w:t>
      </w:r>
      <w:r>
        <w:rPr>
          <w:vertAlign w:val="superscript"/>
        </w:rPr>
        <w:t>6</w:t>
      </w:r>
      <w:r>
        <w:t>) can be homogenized in 200 µL</w:t>
      </w:r>
      <w:r w:rsidRPr="000A52BC">
        <w:t xml:space="preserve"> of GGT Assay Buffer then centrifuged (13,000 </w:t>
      </w:r>
      <w:r w:rsidRPr="00CE2CBD">
        <w:rPr>
          <w:i/>
        </w:rPr>
        <w:t>x g,</w:t>
      </w:r>
      <w:r w:rsidRPr="000A52BC">
        <w:t xml:space="preserve"> 10 min.) to rem</w:t>
      </w:r>
      <w:r w:rsidR="00CE2CBD">
        <w:t>ove insoluble material.</w:t>
      </w:r>
    </w:p>
    <w:p w14:paraId="7B2F3724" w14:textId="7BB8E783" w:rsidR="000A52BC" w:rsidRDefault="000A52BC" w:rsidP="000A52BC">
      <w:pPr>
        <w:pStyle w:val="11Abcambold"/>
      </w:pPr>
      <w:r>
        <w:t>10-20 µL</w:t>
      </w:r>
      <w:r w:rsidRPr="000A52BC">
        <w:t xml:space="preserve"> serum samples can be</w:t>
      </w:r>
      <w:r>
        <w:t xml:space="preserve"> directly added into each well.</w:t>
      </w:r>
    </w:p>
    <w:p w14:paraId="18150EF8" w14:textId="1EB3E168" w:rsidR="000A52BC" w:rsidRDefault="000A52BC" w:rsidP="000A52BC">
      <w:pPr>
        <w:pStyle w:val="11Abcambold"/>
      </w:pPr>
      <w:r w:rsidRPr="000A52BC">
        <w:t>Adjust test sampl</w:t>
      </w:r>
      <w:r>
        <w:t>es and Positive Control to 50 μL</w:t>
      </w:r>
      <w:r w:rsidRPr="000A52BC">
        <w:t>/well with GGT A</w:t>
      </w:r>
      <w:r>
        <w:t>ssay Buffer in a 96-well plate.</w:t>
      </w:r>
    </w:p>
    <w:p w14:paraId="75DB14F1" w14:textId="77777777" w:rsidR="004050AD" w:rsidRDefault="004050AD" w:rsidP="004050AD">
      <w:pPr>
        <w:pStyle w:val="11Abcambold"/>
        <w:numPr>
          <w:ilvl w:val="0"/>
          <w:numId w:val="0"/>
        </w:numPr>
        <w:ind w:left="567"/>
      </w:pPr>
    </w:p>
    <w:p w14:paraId="4A4897F6" w14:textId="708DCCD2" w:rsidR="00B93D28" w:rsidRDefault="000A52BC" w:rsidP="000A52BC">
      <w:pPr>
        <w:pStyle w:val="11Abcambold"/>
        <w:numPr>
          <w:ilvl w:val="0"/>
          <w:numId w:val="0"/>
        </w:numPr>
        <w:ind w:left="567"/>
      </w:pPr>
      <w:r w:rsidRPr="000A52BC">
        <w:rPr>
          <w:b/>
        </w:rPr>
        <w:t>Δ Note:</w:t>
      </w:r>
      <w:r>
        <w:t xml:space="preserve"> </w:t>
      </w:r>
      <w:r w:rsidRPr="000A52BC">
        <w:t>We suggest testing several doses of your sample to make sure the readings are within the lin</w:t>
      </w:r>
      <w:r>
        <w:t>ear range of the standard curve</w:t>
      </w:r>
      <w:r w:rsidR="00B93D28">
        <w:t>.</w:t>
      </w:r>
    </w:p>
    <w:p w14:paraId="1A644FA5" w14:textId="3B641BAB" w:rsidR="00521CBD" w:rsidRDefault="00521CBD" w:rsidP="002265A4">
      <w:pPr>
        <w:pStyle w:val="11Abcambold"/>
        <w:numPr>
          <w:ilvl w:val="0"/>
          <w:numId w:val="0"/>
        </w:numPr>
      </w:pPr>
    </w:p>
    <w:p w14:paraId="0A86376E" w14:textId="77777777" w:rsidR="002265A4" w:rsidRDefault="002265A4" w:rsidP="002265A4">
      <w:pPr>
        <w:pStyle w:val="11Abcambold"/>
        <w:numPr>
          <w:ilvl w:val="0"/>
          <w:numId w:val="0"/>
        </w:numPr>
      </w:pPr>
    </w:p>
    <w:p w14:paraId="17A3EB81" w14:textId="40B3E1AC" w:rsidR="003903A2" w:rsidRPr="00B93D28" w:rsidRDefault="003903A2" w:rsidP="00B93D28">
      <w:pPr>
        <w:pStyle w:val="1AbcamBulletpoints"/>
      </w:pPr>
      <w:r w:rsidRPr="00B93D28">
        <w:br w:type="page"/>
      </w:r>
    </w:p>
    <w:p w14:paraId="1256C1D0" w14:textId="33ED21DC" w:rsidR="006B255F" w:rsidRDefault="00174FD5" w:rsidP="00D74A72">
      <w:pPr>
        <w:pStyle w:val="1Abcamheading"/>
        <w:autoSpaceDE w:val="0"/>
        <w:autoSpaceDN w:val="0"/>
        <w:adjustRightInd w:val="0"/>
        <w:spacing w:before="0" w:after="0"/>
      </w:pPr>
      <w:bookmarkStart w:id="17" w:name="_Toc446403821"/>
      <w:bookmarkStart w:id="18" w:name="_Toc528677051"/>
      <w:bookmarkEnd w:id="17"/>
      <w:r w:rsidRPr="002A066A">
        <w:lastRenderedPageBreak/>
        <w:t>Assay Procedure</w:t>
      </w:r>
      <w:bookmarkStart w:id="19" w:name="_Toc271554832"/>
      <w:bookmarkStart w:id="20" w:name="_Toc273532551"/>
      <w:bookmarkEnd w:id="5"/>
      <w:bookmarkEnd w:id="18"/>
    </w:p>
    <w:p w14:paraId="7C2F2C7A" w14:textId="0B2818F1" w:rsidR="00E90961" w:rsidRPr="000C54E5" w:rsidRDefault="00E90961" w:rsidP="00A311DB">
      <w:pPr>
        <w:pStyle w:val="11Abcambold"/>
        <w:numPr>
          <w:ilvl w:val="0"/>
          <w:numId w:val="0"/>
        </w:numPr>
        <w:ind w:left="567" w:hanging="567"/>
      </w:pPr>
    </w:p>
    <w:p w14:paraId="1F0A24EA" w14:textId="77777777" w:rsidR="00B93D28" w:rsidRPr="00B93D28" w:rsidRDefault="00B93D28" w:rsidP="000A52BC">
      <w:pPr>
        <w:pStyle w:val="11Abcambold"/>
        <w:numPr>
          <w:ilvl w:val="0"/>
          <w:numId w:val="0"/>
        </w:numPr>
        <w:rPr>
          <w:b/>
        </w:rPr>
      </w:pPr>
      <w:bookmarkStart w:id="21" w:name="_Hlk524616750"/>
    </w:p>
    <w:p w14:paraId="6619340E" w14:textId="6DB82E51" w:rsidR="000A52BC" w:rsidRDefault="000A52BC" w:rsidP="000A52BC">
      <w:pPr>
        <w:pStyle w:val="11Abcambold"/>
      </w:pPr>
      <w:r>
        <w:t>Add 50 μL</w:t>
      </w:r>
      <w:r w:rsidRPr="000A52BC">
        <w:t xml:space="preserve"> GGT Substrate Mix into each well containing the test samples a</w:t>
      </w:r>
      <w:r>
        <w:t>nd positive controls. Mix well.</w:t>
      </w:r>
    </w:p>
    <w:p w14:paraId="4DD5C2B3" w14:textId="77777777" w:rsidR="000A52BC" w:rsidRDefault="000A52BC" w:rsidP="000A52BC">
      <w:pPr>
        <w:pStyle w:val="11Abcambold"/>
        <w:numPr>
          <w:ilvl w:val="0"/>
          <w:numId w:val="0"/>
        </w:numPr>
        <w:ind w:left="567"/>
      </w:pPr>
    </w:p>
    <w:p w14:paraId="44646306" w14:textId="367C9EA6" w:rsidR="000A52BC" w:rsidRDefault="000A52BC" w:rsidP="000A52BC">
      <w:pPr>
        <w:pStyle w:val="11Abcambold"/>
        <w:numPr>
          <w:ilvl w:val="0"/>
          <w:numId w:val="0"/>
        </w:numPr>
        <w:ind w:left="567"/>
        <w:rPr>
          <w:b/>
        </w:rPr>
      </w:pPr>
      <w:r w:rsidRPr="000A52BC">
        <w:rPr>
          <w:b/>
        </w:rPr>
        <w:t xml:space="preserve">Do Not Add </w:t>
      </w:r>
      <w:r w:rsidR="007D6995">
        <w:rPr>
          <w:b/>
        </w:rPr>
        <w:t xml:space="preserve">Substrate Mix </w:t>
      </w:r>
      <w:r w:rsidRPr="000A52BC">
        <w:rPr>
          <w:b/>
        </w:rPr>
        <w:t>to AMC Standards.</w:t>
      </w:r>
    </w:p>
    <w:p w14:paraId="085F969E" w14:textId="77777777" w:rsidR="000A52BC" w:rsidRDefault="000A52BC" w:rsidP="000A52BC">
      <w:pPr>
        <w:pStyle w:val="11Abcambold"/>
        <w:numPr>
          <w:ilvl w:val="0"/>
          <w:numId w:val="0"/>
        </w:numPr>
        <w:ind w:left="567"/>
      </w:pPr>
    </w:p>
    <w:p w14:paraId="6E296D96" w14:textId="0F2CDD02" w:rsidR="000A52BC" w:rsidRDefault="000A52BC" w:rsidP="000A52BC">
      <w:pPr>
        <w:pStyle w:val="11Abcambold"/>
      </w:pPr>
      <w:r>
        <w:t>For AMC St</w:t>
      </w:r>
      <w:r w:rsidRPr="000A52BC">
        <w:t>an</w:t>
      </w:r>
      <w:r>
        <w:t xml:space="preserve">dard Curve, measure the fluorescence </w:t>
      </w:r>
      <w:r w:rsidRPr="000A52BC">
        <w:t>at Ex/Em = 365/460 nm</w:t>
      </w:r>
      <w:r>
        <w:t xml:space="preserve"> in a microplate reader.</w:t>
      </w:r>
    </w:p>
    <w:p w14:paraId="583585B4" w14:textId="4AA517E8" w:rsidR="000A52BC" w:rsidRDefault="000A52BC" w:rsidP="000A52BC">
      <w:pPr>
        <w:pStyle w:val="11Abcambold"/>
      </w:pPr>
      <w:r>
        <w:t>For samples and positive controls, incubate the mix for 3 mins. at 37°C, then measure fluorescence at Ex/Em = 365/460 nm in a microplate reader (RFU</w:t>
      </w:r>
      <w:r>
        <w:rPr>
          <w:vertAlign w:val="subscript"/>
        </w:rPr>
        <w:t>0</w:t>
      </w:r>
      <w:r>
        <w:t>).</w:t>
      </w:r>
    </w:p>
    <w:p w14:paraId="3A930629" w14:textId="65DF205E" w:rsidR="007D6995" w:rsidRDefault="007D6995" w:rsidP="000A52BC">
      <w:pPr>
        <w:pStyle w:val="11Abcambold"/>
      </w:pPr>
      <w:r>
        <w:t>Incubate for another 30 mins to 2 hours at 37°C to measure again (RFU</w:t>
      </w:r>
      <w:r>
        <w:rPr>
          <w:vertAlign w:val="subscript"/>
        </w:rPr>
        <w:t>1</w:t>
      </w:r>
      <w:r>
        <w:t>).</w:t>
      </w:r>
    </w:p>
    <w:p w14:paraId="097D815F" w14:textId="77777777" w:rsidR="007D6995" w:rsidRDefault="007D6995" w:rsidP="007D6995">
      <w:pPr>
        <w:pStyle w:val="11Abcambold"/>
        <w:numPr>
          <w:ilvl w:val="0"/>
          <w:numId w:val="0"/>
        </w:numPr>
        <w:ind w:left="567"/>
      </w:pPr>
    </w:p>
    <w:p w14:paraId="4FC985BC" w14:textId="06CA59C1" w:rsidR="007D6995" w:rsidRDefault="007D6995" w:rsidP="007D6995">
      <w:pPr>
        <w:pStyle w:val="11Abcambold"/>
        <w:numPr>
          <w:ilvl w:val="0"/>
          <w:numId w:val="0"/>
        </w:numPr>
        <w:ind w:left="567"/>
      </w:pPr>
      <w:r w:rsidRPr="00B93D28">
        <w:rPr>
          <w:b/>
        </w:rPr>
        <w:t>Δ Note:</w:t>
      </w:r>
      <w:r>
        <w:t xml:space="preserve"> We recommend measuring the fluorescence in a kinetic mode method (preferably every 3-5 mins). Choose a linear range which falls within the AMC Standard Curve to calculate the GGT activity of the samples.</w:t>
      </w:r>
    </w:p>
    <w:p w14:paraId="17BAA0D1" w14:textId="77777777" w:rsidR="000A52BC" w:rsidRPr="000A52BC" w:rsidRDefault="000A52BC" w:rsidP="000A52BC">
      <w:pPr>
        <w:pStyle w:val="11Abcambold"/>
        <w:numPr>
          <w:ilvl w:val="0"/>
          <w:numId w:val="0"/>
        </w:numPr>
        <w:ind w:left="567"/>
      </w:pPr>
    </w:p>
    <w:p w14:paraId="0639AE34" w14:textId="28CA263B" w:rsidR="00B93D28" w:rsidRDefault="00B93D28" w:rsidP="00B93D28">
      <w:pPr>
        <w:pStyle w:val="11Abcambold"/>
        <w:numPr>
          <w:ilvl w:val="0"/>
          <w:numId w:val="0"/>
        </w:numPr>
        <w:ind w:left="567"/>
      </w:pPr>
      <w:r w:rsidRPr="00B93D28">
        <w:rPr>
          <w:b/>
        </w:rPr>
        <w:t>Δ Note:</w:t>
      </w:r>
      <w:r>
        <w:t xml:space="preserve"> </w:t>
      </w:r>
      <w:r w:rsidR="002265A4" w:rsidRPr="002265A4">
        <w:t xml:space="preserve">Incubation time depends on the </w:t>
      </w:r>
      <w:r w:rsidR="004D1997">
        <w:t>GGT</w:t>
      </w:r>
      <w:r w:rsidR="002265A4" w:rsidRPr="002265A4">
        <w:t xml:space="preserve"> activity in the samples.</w:t>
      </w:r>
      <w:r>
        <w:t xml:space="preserve"> </w:t>
      </w:r>
      <w:r w:rsidRPr="00B93D28">
        <w:t xml:space="preserve">Longer incubation time may be required for samples having low </w:t>
      </w:r>
      <w:r w:rsidR="004D1997">
        <w:t>GGT</w:t>
      </w:r>
      <w:r w:rsidRPr="00B93D28">
        <w:t xml:space="preserve"> activity</w:t>
      </w:r>
      <w:r>
        <w:t>.</w:t>
      </w:r>
    </w:p>
    <w:p w14:paraId="58EE226A" w14:textId="2501337A" w:rsidR="00A819B7" w:rsidRDefault="002265A4" w:rsidP="002265A4">
      <w:pPr>
        <w:spacing w:before="0" w:after="0"/>
      </w:pPr>
      <w:r>
        <w:br w:type="page"/>
      </w:r>
    </w:p>
    <w:p w14:paraId="0624E7E0" w14:textId="375289B6" w:rsidR="00A819B7" w:rsidRDefault="00A819B7" w:rsidP="00A819B7">
      <w:pPr>
        <w:pStyle w:val="1Abcamheading"/>
      </w:pPr>
      <w:r>
        <w:lastRenderedPageBreak/>
        <w:t xml:space="preserve"> </w:t>
      </w:r>
      <w:bookmarkStart w:id="22" w:name="_Toc528677052"/>
      <w:r>
        <w:t>Data Analysis</w:t>
      </w:r>
      <w:bookmarkEnd w:id="22"/>
    </w:p>
    <w:p w14:paraId="0C6457F6" w14:textId="77777777" w:rsidR="007D6995" w:rsidRDefault="007D6995" w:rsidP="007D6995">
      <w:pPr>
        <w:pStyle w:val="11Abcambold"/>
      </w:pPr>
      <w:r w:rsidRPr="007D6995">
        <w:t>Subtrac</w:t>
      </w:r>
      <w:r>
        <w:t>t 0 standard from all readings.</w:t>
      </w:r>
    </w:p>
    <w:p w14:paraId="73A067A3" w14:textId="77777777" w:rsidR="007D6995" w:rsidRDefault="007D6995" w:rsidP="007D6995">
      <w:pPr>
        <w:pStyle w:val="11Abcambold"/>
      </w:pPr>
      <w:r w:rsidRPr="007D6995">
        <w:t>Plot the AMC standard Curve, then calculate the GG</w:t>
      </w:r>
      <w:r>
        <w:t>T activity of the test samples:</w:t>
      </w:r>
    </w:p>
    <w:p w14:paraId="0DAAB2C8" w14:textId="77777777" w:rsidR="007D6995" w:rsidRDefault="007D6995" w:rsidP="007D6995">
      <w:pPr>
        <w:pStyle w:val="11Abcambold"/>
        <w:numPr>
          <w:ilvl w:val="0"/>
          <w:numId w:val="0"/>
        </w:numPr>
        <w:ind w:left="567"/>
      </w:pPr>
    </w:p>
    <w:p w14:paraId="138076F7" w14:textId="68996BEF" w:rsidR="007D6995" w:rsidRDefault="007D6995" w:rsidP="007D6995">
      <w:pPr>
        <w:pStyle w:val="11Abcambold"/>
        <w:numPr>
          <w:ilvl w:val="0"/>
          <w:numId w:val="0"/>
        </w:numPr>
        <w:ind w:left="567"/>
        <w:rPr>
          <w:vertAlign w:val="subscript"/>
        </w:rPr>
      </w:pPr>
      <w:r w:rsidRPr="007D6995">
        <w:t>∆RFU = RFU</w:t>
      </w:r>
      <w:r w:rsidRPr="007D6995">
        <w:rPr>
          <w:vertAlign w:val="subscript"/>
        </w:rPr>
        <w:t>1</w:t>
      </w:r>
      <w:r w:rsidRPr="007D6995">
        <w:t xml:space="preserve"> - RFU</w:t>
      </w:r>
      <w:r w:rsidRPr="007D6995">
        <w:rPr>
          <w:vertAlign w:val="subscript"/>
        </w:rPr>
        <w:t>0</w:t>
      </w:r>
    </w:p>
    <w:p w14:paraId="60CEA263" w14:textId="77777777" w:rsidR="007D6995" w:rsidRPr="007D6995" w:rsidRDefault="007D6995" w:rsidP="007D6995">
      <w:pPr>
        <w:pStyle w:val="11Abcambold"/>
        <w:numPr>
          <w:ilvl w:val="0"/>
          <w:numId w:val="0"/>
        </w:numPr>
        <w:ind w:left="567"/>
      </w:pPr>
    </w:p>
    <w:p w14:paraId="43F6DFF7" w14:textId="7E205C02" w:rsidR="00DC4685" w:rsidRDefault="007D6995" w:rsidP="007D6995">
      <w:pPr>
        <w:pStyle w:val="11Abcambold"/>
      </w:pPr>
      <w:r>
        <w:t>A</w:t>
      </w:r>
      <w:r w:rsidRPr="007D6995">
        <w:t xml:space="preserve">pply the ∆RFU to the AMC standard curve to get B </w:t>
      </w:r>
      <w:proofErr w:type="spellStart"/>
      <w:r w:rsidR="00302383">
        <w:t>p</w:t>
      </w:r>
      <w:r w:rsidRPr="007D6995">
        <w:t>mol</w:t>
      </w:r>
      <w:proofErr w:type="spellEnd"/>
      <w:r w:rsidRPr="007D6995">
        <w:t xml:space="preserve"> of AMC generated by GGT in the given time.</w:t>
      </w:r>
    </w:p>
    <w:p w14:paraId="73770E15" w14:textId="77777777" w:rsidR="00783DFE" w:rsidRDefault="00783DFE" w:rsidP="00783DFE">
      <w:pPr>
        <w:pStyle w:val="1AbcamStandardtext"/>
      </w:pPr>
    </w:p>
    <w:p w14:paraId="49388C71" w14:textId="445E82C8" w:rsidR="00783DFE" w:rsidRPr="001679E3" w:rsidRDefault="001679E3" w:rsidP="00783DFE">
      <w:pPr>
        <w:pStyle w:val="1AbcamStandardtext"/>
        <w:jc w:val="center"/>
      </w:pPr>
      <w:r w:rsidRPr="001679E3">
        <w:t xml:space="preserve">Sample </w:t>
      </w:r>
      <w:r w:rsidR="004D1997">
        <w:t>GGT</w:t>
      </w:r>
      <w:r w:rsidRPr="001679E3">
        <w:t xml:space="preserve"> Activity = </w:t>
      </w:r>
      <w:r w:rsidR="007D6995" w:rsidRPr="007D6995">
        <w:rPr>
          <w:b/>
        </w:rPr>
        <w:t>{</w:t>
      </w:r>
      <w:r w:rsidR="007D6995">
        <w:rPr>
          <w:b/>
        </w:rPr>
        <w:t>B</w:t>
      </w:r>
      <w:proofErr w:type="gramStart"/>
      <w:r w:rsidR="007D6995">
        <w:rPr>
          <w:b/>
        </w:rPr>
        <w:t>/(</w:t>
      </w:r>
      <w:proofErr w:type="gramEnd"/>
      <w:r w:rsidRPr="001679E3">
        <w:rPr>
          <w:b/>
        </w:rPr>
        <w:t xml:space="preserve">T </w:t>
      </w:r>
      <w:r w:rsidR="00AC130B">
        <w:rPr>
          <w:b/>
        </w:rPr>
        <w:t>x</w:t>
      </w:r>
      <w:r w:rsidRPr="001679E3">
        <w:rPr>
          <w:b/>
        </w:rPr>
        <w:t xml:space="preserve"> V</w:t>
      </w:r>
      <w:r w:rsidR="007D6995">
        <w:rPr>
          <w:b/>
        </w:rPr>
        <w:t>)}</w:t>
      </w:r>
      <w:r w:rsidRPr="001679E3">
        <w:t xml:space="preserve"> </w:t>
      </w:r>
      <w:r w:rsidR="00AC130B" w:rsidRPr="00AC130B">
        <w:rPr>
          <w:b/>
        </w:rPr>
        <w:t>x D</w:t>
      </w:r>
      <w:r w:rsidR="00AC130B">
        <w:t xml:space="preserve"> </w:t>
      </w:r>
      <w:r w:rsidR="007D6995">
        <w:t xml:space="preserve">= </w:t>
      </w:r>
      <w:proofErr w:type="spellStart"/>
      <w:r w:rsidR="00302383">
        <w:t>p</w:t>
      </w:r>
      <w:r w:rsidRPr="001679E3">
        <w:t>mol</w:t>
      </w:r>
      <w:proofErr w:type="spellEnd"/>
      <w:r w:rsidRPr="001679E3">
        <w:t>/min/</w:t>
      </w:r>
      <w:r w:rsidR="00AC130B">
        <w:t>m</w:t>
      </w:r>
      <w:r w:rsidR="00C21941">
        <w:t>L</w:t>
      </w:r>
      <w:r w:rsidR="007D6995">
        <w:t xml:space="preserve"> = </w:t>
      </w:r>
      <w:proofErr w:type="spellStart"/>
      <w:r w:rsidR="00302383">
        <w:t>μ</w:t>
      </w:r>
      <w:r w:rsidR="007D6995">
        <w:t>U</w:t>
      </w:r>
      <w:proofErr w:type="spellEnd"/>
      <w:r w:rsidR="007D6995">
        <w:t>/mL</w:t>
      </w:r>
    </w:p>
    <w:p w14:paraId="19F688F4" w14:textId="77777777" w:rsidR="00A819B7" w:rsidRPr="00783DFE" w:rsidRDefault="00A819B7" w:rsidP="00783DFE">
      <w:pPr>
        <w:pStyle w:val="1AbcamStandardtext"/>
        <w:jc w:val="center"/>
        <w:rPr>
          <w:b/>
        </w:rPr>
      </w:pPr>
    </w:p>
    <w:p w14:paraId="0FBC7FB6" w14:textId="77777777" w:rsidR="001679E3" w:rsidRPr="001679E3" w:rsidRDefault="001679E3" w:rsidP="00783DFE">
      <w:pPr>
        <w:pStyle w:val="1AbcamStandardtext"/>
        <w:rPr>
          <w:b/>
        </w:rPr>
      </w:pPr>
      <w:r w:rsidRPr="001679E3">
        <w:rPr>
          <w:b/>
        </w:rPr>
        <w:t>Where:</w:t>
      </w:r>
    </w:p>
    <w:p w14:paraId="303EC3EA" w14:textId="77777777" w:rsidR="001679E3" w:rsidRDefault="001679E3" w:rsidP="00783DFE">
      <w:pPr>
        <w:pStyle w:val="1AbcamStandardtext"/>
      </w:pPr>
    </w:p>
    <w:p w14:paraId="15169DA1" w14:textId="2F27250C" w:rsidR="00783DFE" w:rsidRDefault="00783DFE" w:rsidP="00783DFE">
      <w:pPr>
        <w:pStyle w:val="1AbcamStandardtext"/>
      </w:pPr>
      <w:r w:rsidRPr="00783DFE">
        <w:rPr>
          <w:b/>
        </w:rPr>
        <w:t>B</w:t>
      </w:r>
      <w:r>
        <w:t xml:space="preserve"> is </w:t>
      </w:r>
      <w:r w:rsidR="007D6995">
        <w:t>AMC</w:t>
      </w:r>
      <w:r w:rsidR="001679E3" w:rsidRPr="001679E3">
        <w:t xml:space="preserve"> amount in the sample </w:t>
      </w:r>
      <w:r w:rsidR="007D6995">
        <w:t>well from Standard Curve (</w:t>
      </w:r>
      <w:proofErr w:type="spellStart"/>
      <w:r w:rsidR="00302383">
        <w:t>p</w:t>
      </w:r>
      <w:r w:rsidR="001679E3">
        <w:t>mol</w:t>
      </w:r>
      <w:proofErr w:type="spellEnd"/>
      <w:r w:rsidR="001679E3">
        <w:t>).</w:t>
      </w:r>
      <w:r w:rsidRPr="00783DFE">
        <w:cr/>
      </w:r>
      <w:r w:rsidR="001679E3">
        <w:rPr>
          <w:b/>
        </w:rPr>
        <w:t>T</w:t>
      </w:r>
      <w:r>
        <w:t xml:space="preserve"> is </w:t>
      </w:r>
      <w:r w:rsidR="001679E3">
        <w:t>reaction time (</w:t>
      </w:r>
      <w:r w:rsidR="00C21941">
        <w:t>min</w:t>
      </w:r>
      <w:r w:rsidR="001679E3" w:rsidRPr="001679E3">
        <w:t>)</w:t>
      </w:r>
      <w:r w:rsidR="001679E3">
        <w:t>.</w:t>
      </w:r>
    </w:p>
    <w:p w14:paraId="3A6DA493" w14:textId="12FD26BC" w:rsidR="001679E3" w:rsidRDefault="001679E3" w:rsidP="00783DFE">
      <w:pPr>
        <w:pStyle w:val="1AbcamStandardtext"/>
      </w:pPr>
      <w:r w:rsidRPr="001679E3">
        <w:rPr>
          <w:b/>
        </w:rPr>
        <w:t>V</w:t>
      </w:r>
      <w:r w:rsidRPr="001679E3">
        <w:t xml:space="preserve"> is sample volume</w:t>
      </w:r>
      <w:r w:rsidR="00AC130B">
        <w:t xml:space="preserve"> added into the reaction well (mL</w:t>
      </w:r>
      <w:r w:rsidRPr="001679E3">
        <w:t>)</w:t>
      </w:r>
    </w:p>
    <w:p w14:paraId="61349201" w14:textId="53839422" w:rsidR="00783DFE" w:rsidRDefault="00783DFE" w:rsidP="00783DFE">
      <w:pPr>
        <w:pStyle w:val="1AbcamStandardtext"/>
      </w:pPr>
      <w:r w:rsidRPr="00783DFE">
        <w:rPr>
          <w:b/>
        </w:rPr>
        <w:t>D</w:t>
      </w:r>
      <w:r>
        <w:t xml:space="preserve"> is sample dilution factor</w:t>
      </w:r>
      <w:r w:rsidR="00AC130B">
        <w:t xml:space="preserve"> (D=1 when samples are undiluted)</w:t>
      </w:r>
    </w:p>
    <w:p w14:paraId="6DFFF4CB" w14:textId="77777777" w:rsidR="001679E3" w:rsidRDefault="001679E3" w:rsidP="00783DFE">
      <w:pPr>
        <w:pStyle w:val="1AbcamStandardtext"/>
      </w:pPr>
    </w:p>
    <w:bookmarkEnd w:id="21"/>
    <w:p w14:paraId="1265EA4A" w14:textId="77777777" w:rsidR="001679E3" w:rsidRDefault="001679E3" w:rsidP="00A819B7">
      <w:pPr>
        <w:pStyle w:val="1AbcamStandardtext"/>
      </w:pPr>
    </w:p>
    <w:p w14:paraId="5D6C0B83" w14:textId="7769674D" w:rsidR="00375E88" w:rsidRDefault="001679E3" w:rsidP="00A819B7">
      <w:pPr>
        <w:pStyle w:val="1AbcamStandardtext"/>
      </w:pPr>
      <w:r w:rsidRPr="001679E3">
        <w:rPr>
          <w:b/>
        </w:rPr>
        <w:t>Unit Definition:</w:t>
      </w:r>
      <w:r w:rsidR="007D6995">
        <w:rPr>
          <w:b/>
        </w:rPr>
        <w:t xml:space="preserve"> </w:t>
      </w:r>
      <w:r w:rsidR="007D6995" w:rsidRPr="007D6995">
        <w:t xml:space="preserve">One unit is the amount GGT to generate </w:t>
      </w:r>
      <w:r w:rsidR="007D6995">
        <w:t>1.0 μmol of AMC per min at 37°C</w:t>
      </w:r>
      <w:r w:rsidRPr="001679E3">
        <w:t xml:space="preserve">. </w:t>
      </w:r>
      <w:r w:rsidR="007D6995" w:rsidRPr="007D6995">
        <w:t>One AMC unit is equal to 3.93 IU.</w:t>
      </w:r>
      <w:r w:rsidR="00375E88" w:rsidRPr="002A066A">
        <w:br w:type="page"/>
      </w:r>
    </w:p>
    <w:bookmarkEnd w:id="19"/>
    <w:bookmarkEnd w:id="20"/>
    <w:p w14:paraId="5DB8F534" w14:textId="57F24F41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23" w:name="_Toc528677053"/>
      <w:r w:rsidR="00E44FA4" w:rsidRPr="002A066A">
        <w:t xml:space="preserve">Typical </w:t>
      </w:r>
      <w:r w:rsidR="00B86D77" w:rsidRPr="002A066A">
        <w:t>Data</w:t>
      </w:r>
      <w:bookmarkEnd w:id="23"/>
    </w:p>
    <w:p w14:paraId="1BA3B6BE" w14:textId="063DDAF9" w:rsidR="00B86D77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</w:p>
    <w:p w14:paraId="0E063663" w14:textId="77777777" w:rsidR="001679E3" w:rsidRDefault="001679E3" w:rsidP="00D530F3">
      <w:pPr>
        <w:spacing w:before="60" w:after="60"/>
        <w:rPr>
          <w:lang w:val="en-GB"/>
        </w:rPr>
      </w:pPr>
    </w:p>
    <w:p w14:paraId="059AA3EB" w14:textId="0A259232" w:rsidR="00A424DD" w:rsidRDefault="0056062C" w:rsidP="00D530F3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01CF1C1" wp14:editId="12CF5271">
            <wp:extent cx="2039532" cy="1560241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32" cy="156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491A" w14:textId="21F0B675" w:rsidR="00A424DD" w:rsidRDefault="00A424DD" w:rsidP="00D530F3">
      <w:pPr>
        <w:spacing w:before="60" w:after="60"/>
        <w:rPr>
          <w:lang w:val="en-GB"/>
        </w:rPr>
      </w:pPr>
    </w:p>
    <w:p w14:paraId="6D2EADED" w14:textId="723B452D" w:rsidR="00197FDA" w:rsidRDefault="00E44FA4" w:rsidP="0056062C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7D6995">
        <w:t>AMC</w:t>
      </w:r>
      <w:r w:rsidR="001679E3" w:rsidRPr="001679E3">
        <w:t xml:space="preserve"> Standard Curve</w:t>
      </w:r>
      <w:r w:rsidR="001679E3">
        <w:t>.</w:t>
      </w:r>
    </w:p>
    <w:p w14:paraId="6C7DD3DE" w14:textId="77777777" w:rsidR="001679E3" w:rsidRDefault="001679E3" w:rsidP="0056062C">
      <w:pPr>
        <w:pStyle w:val="1AbcamImageLegend"/>
      </w:pPr>
    </w:p>
    <w:p w14:paraId="01DA9A85" w14:textId="3A66A421" w:rsidR="00374095" w:rsidRDefault="00374095" w:rsidP="008A2F6E">
      <w:pPr>
        <w:pStyle w:val="1AbcamStandardtext"/>
        <w:rPr>
          <w:noProof/>
        </w:rPr>
      </w:pPr>
    </w:p>
    <w:p w14:paraId="5A4B2485" w14:textId="5654C4BA" w:rsidR="00374095" w:rsidRDefault="0056062C" w:rsidP="00374095">
      <w:pPr>
        <w:pStyle w:val="1AbcamImageLegend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 wp14:anchorId="0EF578FA" wp14:editId="46A949BD">
            <wp:extent cx="2469776" cy="1802936"/>
            <wp:effectExtent l="0" t="0" r="698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76" cy="18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0D13" w14:textId="7DF5557C" w:rsidR="00374095" w:rsidRDefault="00374095" w:rsidP="00374095">
      <w:pPr>
        <w:pStyle w:val="1AbcamImageLegend"/>
        <w:rPr>
          <w:sz w:val="20"/>
          <w:szCs w:val="20"/>
        </w:rPr>
      </w:pPr>
    </w:p>
    <w:p w14:paraId="4AFA5D4C" w14:textId="1AFB87A8" w:rsidR="001679E3" w:rsidRDefault="0056062C" w:rsidP="001679E3">
      <w:pPr>
        <w:pStyle w:val="1AbcamImageLegend"/>
      </w:pPr>
      <w:r w:rsidRPr="0056062C">
        <w:rPr>
          <w:b/>
        </w:rPr>
        <w:t>Figure 2.</w:t>
      </w:r>
      <w:r>
        <w:t xml:space="preserve"> </w:t>
      </w:r>
      <w:r w:rsidR="007D6995">
        <w:t>GGT Positive Control and serum sample</w:t>
      </w:r>
      <w:r w:rsidR="00AC130B" w:rsidRPr="00AC130B">
        <w:t>.</w:t>
      </w:r>
    </w:p>
    <w:p w14:paraId="4D2CE8B2" w14:textId="4EE7CECD" w:rsidR="001679E3" w:rsidRDefault="001679E3" w:rsidP="001679E3">
      <w:pPr>
        <w:pStyle w:val="1AbcamImageLegend"/>
      </w:pPr>
    </w:p>
    <w:p w14:paraId="2DF57C05" w14:textId="3DA394B9" w:rsidR="001679E3" w:rsidRDefault="001679E3" w:rsidP="001679E3">
      <w:pPr>
        <w:pStyle w:val="1AbcamImageLegend"/>
      </w:pPr>
    </w:p>
    <w:p w14:paraId="0549F477" w14:textId="57206369" w:rsidR="00FE4E16" w:rsidRDefault="00FE4E16" w:rsidP="001E2DD7">
      <w:pPr>
        <w:pStyle w:val="1Abcamheading"/>
      </w:pPr>
      <w:bookmarkStart w:id="24" w:name="_Toc475603240"/>
      <w:bookmarkStart w:id="25" w:name="_Toc528677054"/>
      <w:r w:rsidRPr="002A066A">
        <w:lastRenderedPageBreak/>
        <w:t>Notes</w:t>
      </w:r>
      <w:bookmarkEnd w:id="24"/>
      <w:bookmarkEnd w:id="25"/>
    </w:p>
    <w:p w14:paraId="1092989A" w14:textId="62F4FD2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BA167C9" w14:textId="2A176BF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9532B3" w14:textId="79C6ECAB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724EAF" w14:textId="3F418570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FA8E8D0" w14:textId="1DF84636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8AA4681" w14:textId="175FA83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BC62325" w14:textId="0B3F2D5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1BC2A58" w14:textId="7AB13879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84945B3" w14:textId="375489A1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</w:p>
    <w:p w14:paraId="5E03CDC0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D52BB3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6"/>
          <w:footerReference w:type="first" r:id="rId17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5DD17650" w14:textId="682A9E3D" w:rsidR="002A066A" w:rsidRPr="008737D3" w:rsidRDefault="002A066A" w:rsidP="002A066A">
      <w:pPr>
        <w:spacing w:before="0" w:after="0"/>
        <w:rPr>
          <w:sz w:val="18"/>
          <w:szCs w:val="18"/>
        </w:rPr>
      </w:pPr>
      <w:r w:rsidRPr="008737D3">
        <w:rPr>
          <w:sz w:val="18"/>
          <w:szCs w:val="18"/>
        </w:rPr>
        <w:t>Copyright © 2</w:t>
      </w:r>
      <w:r w:rsidR="009D40A6">
        <w:rPr>
          <w:sz w:val="18"/>
          <w:szCs w:val="18"/>
        </w:rPr>
        <w:t>01</w:t>
      </w:r>
      <w:r w:rsidR="00ED263F">
        <w:rPr>
          <w:sz w:val="18"/>
          <w:szCs w:val="18"/>
        </w:rPr>
        <w:t>8</w:t>
      </w:r>
      <w:r w:rsidR="009D40A6">
        <w:rPr>
          <w:sz w:val="18"/>
          <w:szCs w:val="18"/>
        </w:rPr>
        <w:t xml:space="preserve"> Abcam</w:t>
      </w:r>
      <w:r w:rsidR="00A75412">
        <w:rPr>
          <w:sz w:val="18"/>
          <w:szCs w:val="18"/>
        </w:rPr>
        <w:t>.</w:t>
      </w:r>
      <w:r w:rsidR="009D40A6">
        <w:rPr>
          <w:sz w:val="18"/>
          <w:szCs w:val="18"/>
        </w:rPr>
        <w:t xml:space="preserve"> All Rights Reserved.</w:t>
      </w:r>
      <w:r w:rsidRPr="008737D3">
        <w:rPr>
          <w:sz w:val="18"/>
          <w:szCs w:val="18"/>
        </w:rPr>
        <w:t xml:space="preserve"> The Abcam logo is a registered trademark.</w:t>
      </w:r>
      <w:r>
        <w:rPr>
          <w:sz w:val="18"/>
          <w:szCs w:val="18"/>
        </w:rPr>
        <w:t xml:space="preserve"> </w:t>
      </w:r>
      <w:r w:rsidRPr="008737D3">
        <w:rPr>
          <w:sz w:val="18"/>
          <w:szCs w:val="18"/>
        </w:rPr>
        <w:t>All information / detail is correct at time of going to print.</w:t>
      </w:r>
    </w:p>
    <w:p w14:paraId="47B4CA2E" w14:textId="77777777" w:rsidR="00FD0ED8" w:rsidRPr="002A066A" w:rsidRDefault="00FD0ED8" w:rsidP="00FD0ED8">
      <w:r w:rsidRPr="002A066A">
        <w:rPr>
          <w:b/>
        </w:rPr>
        <w:t>Austria</w:t>
      </w:r>
      <w:r w:rsidRPr="002A066A">
        <w:br/>
        <w:t>wissenschaftlicherdienst@abcam.com | 019-288-259</w:t>
      </w:r>
      <w:r w:rsidRPr="002A066A">
        <w:br/>
      </w:r>
      <w:r w:rsidRPr="002A066A">
        <w:rPr>
          <w:b/>
        </w:rPr>
        <w:t>France</w:t>
      </w:r>
      <w:r w:rsidRPr="002A066A">
        <w:br/>
        <w:t>supportscientifique@abcam.com | 01.46.94.62.96</w:t>
      </w:r>
      <w:r w:rsidRPr="002A066A">
        <w:br/>
      </w:r>
      <w:r w:rsidRPr="002A066A">
        <w:rPr>
          <w:b/>
        </w:rPr>
        <w:t>Germany</w:t>
      </w:r>
      <w:r w:rsidRPr="002A066A">
        <w:br/>
        <w:t>wissenschaftlicherdienst@abcam.com | 030-896-779-154</w:t>
      </w:r>
      <w:r w:rsidRPr="002A066A">
        <w:br/>
      </w:r>
      <w:r w:rsidRPr="002A066A">
        <w:rPr>
          <w:b/>
        </w:rPr>
        <w:t>Spain</w:t>
      </w:r>
      <w:r w:rsidRPr="002A066A">
        <w:br/>
        <w:t>soportecientifico@abcam.com | 91-114-65-60</w:t>
      </w:r>
    </w:p>
    <w:p w14:paraId="7DBD2EDC" w14:textId="77777777" w:rsidR="00FD0ED8" w:rsidRPr="002A066A" w:rsidRDefault="00FD0ED8" w:rsidP="00FD0ED8">
      <w:r w:rsidRPr="002A066A">
        <w:rPr>
          <w:b/>
        </w:rPr>
        <w:t>Switzerland</w:t>
      </w:r>
      <w:r w:rsidRPr="002A066A">
        <w:br/>
        <w:t xml:space="preserve">technical@abcam.com </w:t>
      </w:r>
      <w:r w:rsidRPr="002A066A">
        <w:br/>
        <w:t>Deutsch: 043-501-64-24 | Français: 061-500-05-30</w:t>
      </w:r>
      <w:r w:rsidRPr="002A066A">
        <w:br/>
      </w:r>
      <w:r w:rsidRPr="002A066A">
        <w:rPr>
          <w:b/>
        </w:rPr>
        <w:t>UK, EU and ROW</w:t>
      </w:r>
      <w:r w:rsidRPr="002A066A">
        <w:br/>
        <w:t>technical@abcam.com | +44(0)1223-696000</w:t>
      </w:r>
    </w:p>
    <w:p w14:paraId="5DBB9A31" w14:textId="77777777" w:rsidR="00FD0ED8" w:rsidRPr="002A066A" w:rsidRDefault="00FD0ED8" w:rsidP="00FD0ED8">
      <w:r w:rsidRPr="002A066A">
        <w:rPr>
          <w:b/>
        </w:rPr>
        <w:t>Canada</w:t>
      </w:r>
      <w:r w:rsidRPr="002A066A">
        <w:br/>
        <w:t>ca.technical@abcam.com | 877-749-8807</w:t>
      </w:r>
      <w:r w:rsidRPr="002A066A">
        <w:br/>
      </w:r>
      <w:r w:rsidRPr="002A066A">
        <w:rPr>
          <w:b/>
        </w:rPr>
        <w:t>US and Latin America</w:t>
      </w:r>
      <w:r w:rsidRPr="002A066A">
        <w:br/>
        <w:t>us.technical@abcam.com | 888-772-2226</w:t>
      </w:r>
    </w:p>
    <w:p w14:paraId="011735C7" w14:textId="0DF88CD8" w:rsidR="00FD0ED8" w:rsidRPr="002A066A" w:rsidRDefault="00FD0ED8" w:rsidP="00FD0ED8">
      <w:r w:rsidRPr="002A066A">
        <w:rPr>
          <w:b/>
        </w:rPr>
        <w:t>Asia Pacific</w:t>
      </w:r>
      <w:r w:rsidRPr="002A066A">
        <w:t xml:space="preserve"> </w:t>
      </w:r>
      <w:r w:rsidRPr="002A066A">
        <w:br/>
        <w:t>hk.technical@abcam.com | (852) 2603-6823</w:t>
      </w:r>
      <w:r w:rsidRPr="002A066A">
        <w:br/>
      </w:r>
      <w:r w:rsidRPr="002A066A">
        <w:rPr>
          <w:b/>
        </w:rPr>
        <w:t>China</w:t>
      </w:r>
      <w:r w:rsidRPr="002A066A">
        <w:br/>
        <w:t xml:space="preserve">cn.technical@abcam.com | </w:t>
      </w:r>
      <w:r w:rsidR="00A64491" w:rsidRPr="00A64491">
        <w:t xml:space="preserve">400 921 </w:t>
      </w:r>
      <w:proofErr w:type="gramStart"/>
      <w:r w:rsidR="00A64491" w:rsidRPr="00A64491">
        <w:t>0189  /</w:t>
      </w:r>
      <w:proofErr w:type="gramEnd"/>
      <w:r w:rsidR="00A64491" w:rsidRPr="00A64491">
        <w:t xml:space="preserve">  +86 21 2070 0500</w:t>
      </w:r>
      <w:r w:rsidRPr="002A066A">
        <w:br/>
      </w:r>
      <w:r w:rsidRPr="002A066A">
        <w:rPr>
          <w:b/>
        </w:rPr>
        <w:t>Japan</w:t>
      </w:r>
      <w:r w:rsidRPr="002A066A">
        <w:br/>
        <w:t>technical@abcam.co.jp | +81-(0)3-6231-0940</w:t>
      </w:r>
      <w:r w:rsidRPr="002A066A">
        <w:br/>
      </w:r>
      <w:r w:rsidRPr="002A066A">
        <w:rPr>
          <w:b/>
        </w:rPr>
        <w:t>Singapore</w:t>
      </w:r>
      <w:r w:rsidRPr="002A066A">
        <w:t xml:space="preserve"> </w:t>
      </w:r>
      <w:r w:rsidRPr="002A066A">
        <w:br/>
        <w:t>sg.technical@abcam.com | 800 188-5244</w:t>
      </w:r>
    </w:p>
    <w:p w14:paraId="7276BCF3" w14:textId="064C95EB" w:rsidR="00DC1372" w:rsidRPr="002A066A" w:rsidRDefault="00FD0ED8" w:rsidP="00665893">
      <w:r w:rsidRPr="002A066A">
        <w:rPr>
          <w:b/>
        </w:rPr>
        <w:t>Australia</w:t>
      </w:r>
      <w:r w:rsidRPr="002A066A">
        <w:br/>
        <w:t>au.technical@abcam.com | +61-(0)3-8652-1450</w:t>
      </w:r>
      <w:r w:rsidRPr="002A066A">
        <w:br/>
      </w:r>
      <w:r w:rsidRPr="002A066A">
        <w:rPr>
          <w:b/>
        </w:rPr>
        <w:t>New Zealand</w:t>
      </w:r>
      <w:r w:rsidRPr="002A066A">
        <w:t xml:space="preserve"> </w:t>
      </w:r>
      <w:r w:rsidRPr="002A066A">
        <w:br/>
        <w:t>nz.technical@abc</w:t>
      </w:r>
      <w:r w:rsidR="005F5494">
        <w:t>am</w:t>
      </w:r>
      <w:bookmarkStart w:id="26" w:name="_GoBack"/>
      <w:bookmarkEnd w:id="26"/>
      <w:r w:rsidRPr="002A066A">
        <w:t>.com | +64-(0)9-909-7829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18"/>
      <w:footerReference w:type="first" r:id="rId19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4C3E" w14:textId="77777777" w:rsidR="00302383" w:rsidRDefault="00302383" w:rsidP="00DC1372">
      <w:r>
        <w:separator/>
      </w:r>
    </w:p>
    <w:p w14:paraId="23A6B31A" w14:textId="77777777" w:rsidR="00302383" w:rsidRDefault="00302383"/>
    <w:p w14:paraId="4D31B859" w14:textId="77777777" w:rsidR="00302383" w:rsidRDefault="00302383"/>
  </w:endnote>
  <w:endnote w:type="continuationSeparator" w:id="0">
    <w:p w14:paraId="6F9B3186" w14:textId="77777777" w:rsidR="00302383" w:rsidRDefault="00302383" w:rsidP="00DC1372">
      <w:r>
        <w:continuationSeparator/>
      </w:r>
    </w:p>
    <w:p w14:paraId="2FC7DD50" w14:textId="77777777" w:rsidR="00302383" w:rsidRDefault="00302383"/>
    <w:p w14:paraId="218214D0" w14:textId="77777777" w:rsidR="00302383" w:rsidRDefault="00302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CCC7" w14:textId="77777777" w:rsidR="00302383" w:rsidRDefault="00302383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302383" w:rsidRDefault="00302383" w:rsidP="00DC1372">
    <w:pPr>
      <w:pStyle w:val="Footer"/>
      <w:ind w:right="360"/>
    </w:pPr>
  </w:p>
  <w:p w14:paraId="230FC1AD" w14:textId="77777777" w:rsidR="00302383" w:rsidRDefault="003023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D73B" w14:textId="7912C7CF" w:rsidR="00302383" w:rsidRPr="003B15FA" w:rsidRDefault="00302383" w:rsidP="003B15FA">
    <w:pPr>
      <w:pStyle w:val="Footer"/>
    </w:pPr>
    <w:r w:rsidRPr="006D4E00">
      <w:rPr>
        <w:sz w:val="16"/>
        <w:szCs w:val="16"/>
      </w:rPr>
      <w:t>Copyright © 201</w:t>
    </w:r>
    <w:r>
      <w:rPr>
        <w:sz w:val="16"/>
        <w:szCs w:val="16"/>
      </w:rPr>
      <w:t>8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12FB" w14:textId="77777777" w:rsidR="00302383" w:rsidRPr="00471BB0" w:rsidRDefault="00302383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3700" w14:textId="74507604" w:rsidR="00302383" w:rsidRPr="003B15FA" w:rsidRDefault="00302383" w:rsidP="003B15FA">
    <w:pPr>
      <w:tabs>
        <w:tab w:val="center" w:pos="4320"/>
        <w:tab w:val="right" w:pos="8640"/>
      </w:tabs>
    </w:pPr>
    <w:r>
      <w:rPr>
        <w:sz w:val="16"/>
        <w:szCs w:val="16"/>
      </w:rPr>
      <w:t>ab241030</w:t>
    </w:r>
    <w:r w:rsidRPr="00085233">
      <w:rPr>
        <w:sz w:val="16"/>
        <w:szCs w:val="16"/>
      </w:rPr>
      <w:t xml:space="preserve"> </w:t>
    </w:r>
    <w:r>
      <w:rPr>
        <w:sz w:val="16"/>
        <w:szCs w:val="16"/>
      </w:rPr>
      <w:t>Gamma Glutamyl Transferase Assay Kit (Fluorometric</w:t>
    </w:r>
    <w:r w:rsidRPr="00046891">
      <w:rPr>
        <w:sz w:val="16"/>
        <w:szCs w:val="16"/>
      </w:rPr>
      <w:t>)</w:t>
    </w:r>
    <w:r>
      <w:rPr>
        <w:sz w:val="16"/>
        <w:szCs w:val="16"/>
      </w:rPr>
      <w:tab/>
    </w:r>
    <w:r w:rsidRPr="003B15FA">
      <w:rPr>
        <w:sz w:val="16"/>
        <w:szCs w:val="16"/>
      </w:rPr>
      <w:ptab w:relativeTo="margin" w:alignment="right" w:leader="none"/>
    </w:r>
    <w:r w:rsidRPr="003B15FA">
      <w:rPr>
        <w:sz w:val="16"/>
        <w:szCs w:val="16"/>
      </w:rPr>
      <w:fldChar w:fldCharType="begin"/>
    </w:r>
    <w:r w:rsidRPr="003B15FA">
      <w:rPr>
        <w:sz w:val="16"/>
        <w:szCs w:val="16"/>
      </w:rPr>
      <w:instrText xml:space="preserve"> PAGE  \* Arabic  \* MERGEFORMAT </w:instrText>
    </w:r>
    <w:r w:rsidRPr="003B15FA">
      <w:rPr>
        <w:sz w:val="16"/>
        <w:szCs w:val="16"/>
      </w:rPr>
      <w:fldChar w:fldCharType="separate"/>
    </w:r>
    <w:r>
      <w:rPr>
        <w:noProof/>
        <w:sz w:val="16"/>
        <w:szCs w:val="16"/>
      </w:rPr>
      <w:t>16</w:t>
    </w:r>
    <w:r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FD2A" w14:textId="77777777" w:rsidR="00302383" w:rsidRPr="00471BB0" w:rsidRDefault="00302383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86D7" w14:textId="4609C0CC" w:rsidR="00302383" w:rsidRPr="001F3104" w:rsidRDefault="00302383" w:rsidP="001F3104">
    <w:pPr>
      <w:pStyle w:val="Footer"/>
    </w:pPr>
    <w:r w:rsidRPr="006D4E00">
      <w:rPr>
        <w:sz w:val="16"/>
        <w:szCs w:val="16"/>
      </w:rPr>
      <w:t>Copyright © 201</w:t>
    </w:r>
    <w:r>
      <w:rPr>
        <w:sz w:val="16"/>
        <w:szCs w:val="16"/>
      </w:rPr>
      <w:t>8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F812" w14:textId="77777777" w:rsidR="00302383" w:rsidRPr="00471BB0" w:rsidRDefault="00302383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4323" w14:textId="77777777" w:rsidR="00302383" w:rsidRDefault="00302383" w:rsidP="00DC1372">
      <w:r>
        <w:separator/>
      </w:r>
    </w:p>
    <w:p w14:paraId="5CE44E22" w14:textId="77777777" w:rsidR="00302383" w:rsidRDefault="00302383"/>
    <w:p w14:paraId="3D9665F0" w14:textId="77777777" w:rsidR="00302383" w:rsidRDefault="00302383"/>
  </w:footnote>
  <w:footnote w:type="continuationSeparator" w:id="0">
    <w:p w14:paraId="78E09EF0" w14:textId="77777777" w:rsidR="00302383" w:rsidRDefault="00302383" w:rsidP="00DC1372">
      <w:r>
        <w:continuationSeparator/>
      </w:r>
    </w:p>
    <w:p w14:paraId="5C3E4D0E" w14:textId="77777777" w:rsidR="00302383" w:rsidRDefault="00302383"/>
    <w:p w14:paraId="5D1EF344" w14:textId="77777777" w:rsidR="00302383" w:rsidRDefault="00302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FDFA5" w14:textId="77777777" w:rsidR="00302383" w:rsidRDefault="00302383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302383" w:rsidRDefault="003023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00F3" w14:textId="77777777" w:rsidR="00302383" w:rsidRDefault="00302383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522A69E2"/>
    <w:lvl w:ilvl="0" w:tplc="767CE44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7"/>
  </w:num>
  <w:num w:numId="6">
    <w:abstractNumId w:val="22"/>
  </w:num>
  <w:num w:numId="7">
    <w:abstractNumId w:val="25"/>
  </w:num>
  <w:num w:numId="8">
    <w:abstractNumId w:val="18"/>
  </w:num>
  <w:num w:numId="9">
    <w:abstractNumId w:val="19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4"/>
  </w:num>
  <w:num w:numId="15">
    <w:abstractNumId w:val="24"/>
  </w:num>
  <w:num w:numId="16">
    <w:abstractNumId w:val="3"/>
  </w:num>
  <w:num w:numId="17">
    <w:abstractNumId w:val="0"/>
  </w:num>
  <w:num w:numId="18">
    <w:abstractNumId w:val="9"/>
  </w:num>
  <w:num w:numId="19">
    <w:abstractNumId w:val="6"/>
  </w:num>
  <w:num w:numId="20">
    <w:abstractNumId w:val="16"/>
  </w:num>
  <w:num w:numId="21">
    <w:abstractNumId w:val="10"/>
  </w:num>
  <w:num w:numId="22">
    <w:abstractNumId w:val="11"/>
  </w:num>
  <w:num w:numId="23">
    <w:abstractNumId w:val="23"/>
  </w:num>
  <w:num w:numId="24">
    <w:abstractNumId w:val="8"/>
  </w:num>
  <w:num w:numId="25">
    <w:abstractNumId w:val="12"/>
  </w:num>
  <w:num w:numId="26">
    <w:abstractNumId w:val="21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6E80"/>
    <w:rsid w:val="00007205"/>
    <w:rsid w:val="00013984"/>
    <w:rsid w:val="00013D0A"/>
    <w:rsid w:val="00014148"/>
    <w:rsid w:val="0003337F"/>
    <w:rsid w:val="00043E6C"/>
    <w:rsid w:val="00046891"/>
    <w:rsid w:val="000519C2"/>
    <w:rsid w:val="000523E1"/>
    <w:rsid w:val="00052D70"/>
    <w:rsid w:val="00052E61"/>
    <w:rsid w:val="0005431B"/>
    <w:rsid w:val="00056D89"/>
    <w:rsid w:val="000740F7"/>
    <w:rsid w:val="000744AC"/>
    <w:rsid w:val="00085233"/>
    <w:rsid w:val="00096105"/>
    <w:rsid w:val="000A2DCC"/>
    <w:rsid w:val="000A52BC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22"/>
    <w:rsid w:val="000E4FA8"/>
    <w:rsid w:val="000E5E2C"/>
    <w:rsid w:val="000F0173"/>
    <w:rsid w:val="000F0972"/>
    <w:rsid w:val="001110FC"/>
    <w:rsid w:val="001112A0"/>
    <w:rsid w:val="00116345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679E3"/>
    <w:rsid w:val="00174FD5"/>
    <w:rsid w:val="001760F8"/>
    <w:rsid w:val="00176175"/>
    <w:rsid w:val="0018707A"/>
    <w:rsid w:val="00187415"/>
    <w:rsid w:val="001879A9"/>
    <w:rsid w:val="00197FDA"/>
    <w:rsid w:val="001A4A94"/>
    <w:rsid w:val="001B583F"/>
    <w:rsid w:val="001B7467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1F5C23"/>
    <w:rsid w:val="0021509B"/>
    <w:rsid w:val="00220404"/>
    <w:rsid w:val="00222423"/>
    <w:rsid w:val="002265A4"/>
    <w:rsid w:val="00227F9F"/>
    <w:rsid w:val="00231117"/>
    <w:rsid w:val="00242D88"/>
    <w:rsid w:val="00244627"/>
    <w:rsid w:val="0025058F"/>
    <w:rsid w:val="00255E25"/>
    <w:rsid w:val="002603D1"/>
    <w:rsid w:val="00260B00"/>
    <w:rsid w:val="00262B70"/>
    <w:rsid w:val="00262F3B"/>
    <w:rsid w:val="00264DBC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2F55C6"/>
    <w:rsid w:val="00302383"/>
    <w:rsid w:val="00302BD8"/>
    <w:rsid w:val="0030365A"/>
    <w:rsid w:val="003061F8"/>
    <w:rsid w:val="00307C98"/>
    <w:rsid w:val="003253D8"/>
    <w:rsid w:val="00326058"/>
    <w:rsid w:val="00326E64"/>
    <w:rsid w:val="0032714C"/>
    <w:rsid w:val="00331AEA"/>
    <w:rsid w:val="003357EB"/>
    <w:rsid w:val="0033728C"/>
    <w:rsid w:val="003410CB"/>
    <w:rsid w:val="003475EB"/>
    <w:rsid w:val="00354811"/>
    <w:rsid w:val="003722E2"/>
    <w:rsid w:val="00374095"/>
    <w:rsid w:val="00375E88"/>
    <w:rsid w:val="00380497"/>
    <w:rsid w:val="003810BB"/>
    <w:rsid w:val="003839FE"/>
    <w:rsid w:val="00387DA1"/>
    <w:rsid w:val="003903A2"/>
    <w:rsid w:val="00391C31"/>
    <w:rsid w:val="00397108"/>
    <w:rsid w:val="003975F2"/>
    <w:rsid w:val="00397F0D"/>
    <w:rsid w:val="003B15FA"/>
    <w:rsid w:val="003B538C"/>
    <w:rsid w:val="003D5A74"/>
    <w:rsid w:val="003D7FB7"/>
    <w:rsid w:val="003E1BB6"/>
    <w:rsid w:val="003E277F"/>
    <w:rsid w:val="003E2AFE"/>
    <w:rsid w:val="003E4ABF"/>
    <w:rsid w:val="003E69E9"/>
    <w:rsid w:val="004050AD"/>
    <w:rsid w:val="00405915"/>
    <w:rsid w:val="00410D8B"/>
    <w:rsid w:val="00414435"/>
    <w:rsid w:val="00420620"/>
    <w:rsid w:val="0043186A"/>
    <w:rsid w:val="00435C08"/>
    <w:rsid w:val="00440C9B"/>
    <w:rsid w:val="00441EC7"/>
    <w:rsid w:val="00445BED"/>
    <w:rsid w:val="0045027E"/>
    <w:rsid w:val="00471BB0"/>
    <w:rsid w:val="0047515A"/>
    <w:rsid w:val="00491AA0"/>
    <w:rsid w:val="004A09CA"/>
    <w:rsid w:val="004A73BA"/>
    <w:rsid w:val="004B0897"/>
    <w:rsid w:val="004B7B21"/>
    <w:rsid w:val="004D1997"/>
    <w:rsid w:val="004D70B1"/>
    <w:rsid w:val="004D79B3"/>
    <w:rsid w:val="004E4D1D"/>
    <w:rsid w:val="004F2E85"/>
    <w:rsid w:val="004F5B1C"/>
    <w:rsid w:val="005033B1"/>
    <w:rsid w:val="00504A2A"/>
    <w:rsid w:val="00504A8E"/>
    <w:rsid w:val="005137BA"/>
    <w:rsid w:val="0051552B"/>
    <w:rsid w:val="00521CBD"/>
    <w:rsid w:val="00550065"/>
    <w:rsid w:val="00550EE8"/>
    <w:rsid w:val="0056062C"/>
    <w:rsid w:val="00563AB5"/>
    <w:rsid w:val="00592267"/>
    <w:rsid w:val="00595684"/>
    <w:rsid w:val="005963A1"/>
    <w:rsid w:val="005B2FE0"/>
    <w:rsid w:val="005B4251"/>
    <w:rsid w:val="005D086D"/>
    <w:rsid w:val="005D2654"/>
    <w:rsid w:val="005D3429"/>
    <w:rsid w:val="005D4A4E"/>
    <w:rsid w:val="005D5667"/>
    <w:rsid w:val="005E07C9"/>
    <w:rsid w:val="005E3152"/>
    <w:rsid w:val="005F4732"/>
    <w:rsid w:val="005F5494"/>
    <w:rsid w:val="006119B8"/>
    <w:rsid w:val="00633C55"/>
    <w:rsid w:val="00633CE7"/>
    <w:rsid w:val="00635949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D5BA1"/>
    <w:rsid w:val="006E40FB"/>
    <w:rsid w:val="00700BAF"/>
    <w:rsid w:val="0071197C"/>
    <w:rsid w:val="0073150B"/>
    <w:rsid w:val="0073217A"/>
    <w:rsid w:val="00732AA2"/>
    <w:rsid w:val="00737A70"/>
    <w:rsid w:val="00746382"/>
    <w:rsid w:val="007539DD"/>
    <w:rsid w:val="00755831"/>
    <w:rsid w:val="00761710"/>
    <w:rsid w:val="007619E2"/>
    <w:rsid w:val="00783DFE"/>
    <w:rsid w:val="0079206C"/>
    <w:rsid w:val="007948D9"/>
    <w:rsid w:val="007A54B5"/>
    <w:rsid w:val="007A60F2"/>
    <w:rsid w:val="007A61F7"/>
    <w:rsid w:val="007A6450"/>
    <w:rsid w:val="007B1E09"/>
    <w:rsid w:val="007C6B23"/>
    <w:rsid w:val="007D5672"/>
    <w:rsid w:val="007D6995"/>
    <w:rsid w:val="007E2748"/>
    <w:rsid w:val="007E5B72"/>
    <w:rsid w:val="007E5C0E"/>
    <w:rsid w:val="007F072E"/>
    <w:rsid w:val="007F1A39"/>
    <w:rsid w:val="007F21D7"/>
    <w:rsid w:val="007F5EBC"/>
    <w:rsid w:val="00800999"/>
    <w:rsid w:val="00804703"/>
    <w:rsid w:val="00816D99"/>
    <w:rsid w:val="00826A4D"/>
    <w:rsid w:val="00833EC4"/>
    <w:rsid w:val="00855612"/>
    <w:rsid w:val="0085567B"/>
    <w:rsid w:val="008727A9"/>
    <w:rsid w:val="00873D8C"/>
    <w:rsid w:val="0088153B"/>
    <w:rsid w:val="008A0667"/>
    <w:rsid w:val="008A2F6E"/>
    <w:rsid w:val="008A4473"/>
    <w:rsid w:val="008B2920"/>
    <w:rsid w:val="008B4D57"/>
    <w:rsid w:val="008C0ACE"/>
    <w:rsid w:val="008C0DA4"/>
    <w:rsid w:val="008C12E4"/>
    <w:rsid w:val="008C5D5E"/>
    <w:rsid w:val="008D155B"/>
    <w:rsid w:val="008D3BB0"/>
    <w:rsid w:val="008D3C6E"/>
    <w:rsid w:val="008E0945"/>
    <w:rsid w:val="008E3135"/>
    <w:rsid w:val="00901E8F"/>
    <w:rsid w:val="00904876"/>
    <w:rsid w:val="00920CA4"/>
    <w:rsid w:val="00946FA4"/>
    <w:rsid w:val="00954FAB"/>
    <w:rsid w:val="00955481"/>
    <w:rsid w:val="009558F2"/>
    <w:rsid w:val="009564C7"/>
    <w:rsid w:val="009567DC"/>
    <w:rsid w:val="0096742B"/>
    <w:rsid w:val="00967CE2"/>
    <w:rsid w:val="00971D31"/>
    <w:rsid w:val="009752DA"/>
    <w:rsid w:val="00976B87"/>
    <w:rsid w:val="00977A58"/>
    <w:rsid w:val="00993C34"/>
    <w:rsid w:val="009B472D"/>
    <w:rsid w:val="009D40A6"/>
    <w:rsid w:val="00A13E14"/>
    <w:rsid w:val="00A20163"/>
    <w:rsid w:val="00A217EC"/>
    <w:rsid w:val="00A311DB"/>
    <w:rsid w:val="00A31460"/>
    <w:rsid w:val="00A40EA9"/>
    <w:rsid w:val="00A424DD"/>
    <w:rsid w:val="00A4487B"/>
    <w:rsid w:val="00A4547A"/>
    <w:rsid w:val="00A50279"/>
    <w:rsid w:val="00A57CEF"/>
    <w:rsid w:val="00A61EE0"/>
    <w:rsid w:val="00A64491"/>
    <w:rsid w:val="00A75412"/>
    <w:rsid w:val="00A777CC"/>
    <w:rsid w:val="00A80899"/>
    <w:rsid w:val="00A819B7"/>
    <w:rsid w:val="00A81E25"/>
    <w:rsid w:val="00A835F2"/>
    <w:rsid w:val="00A9248A"/>
    <w:rsid w:val="00A93842"/>
    <w:rsid w:val="00AA2058"/>
    <w:rsid w:val="00AA76C0"/>
    <w:rsid w:val="00AB2B9A"/>
    <w:rsid w:val="00AC130B"/>
    <w:rsid w:val="00AC3F23"/>
    <w:rsid w:val="00AC607F"/>
    <w:rsid w:val="00AD2A65"/>
    <w:rsid w:val="00AD5456"/>
    <w:rsid w:val="00AE3B29"/>
    <w:rsid w:val="00AF4129"/>
    <w:rsid w:val="00B02B56"/>
    <w:rsid w:val="00B44F2B"/>
    <w:rsid w:val="00B47D3A"/>
    <w:rsid w:val="00B553F7"/>
    <w:rsid w:val="00B6093A"/>
    <w:rsid w:val="00B65B1D"/>
    <w:rsid w:val="00B72440"/>
    <w:rsid w:val="00B73032"/>
    <w:rsid w:val="00B74805"/>
    <w:rsid w:val="00B8255E"/>
    <w:rsid w:val="00B8423B"/>
    <w:rsid w:val="00B86BEB"/>
    <w:rsid w:val="00B86D77"/>
    <w:rsid w:val="00B9084B"/>
    <w:rsid w:val="00B9305B"/>
    <w:rsid w:val="00B93D28"/>
    <w:rsid w:val="00BA030F"/>
    <w:rsid w:val="00BA3269"/>
    <w:rsid w:val="00BA44C9"/>
    <w:rsid w:val="00BA4F42"/>
    <w:rsid w:val="00BA5D43"/>
    <w:rsid w:val="00BA77F0"/>
    <w:rsid w:val="00BB488D"/>
    <w:rsid w:val="00BB5447"/>
    <w:rsid w:val="00BC23EA"/>
    <w:rsid w:val="00BD0364"/>
    <w:rsid w:val="00BD36DA"/>
    <w:rsid w:val="00BF4659"/>
    <w:rsid w:val="00BF5975"/>
    <w:rsid w:val="00BF65CB"/>
    <w:rsid w:val="00C01E6B"/>
    <w:rsid w:val="00C12998"/>
    <w:rsid w:val="00C12EBE"/>
    <w:rsid w:val="00C15723"/>
    <w:rsid w:val="00C15E7D"/>
    <w:rsid w:val="00C21941"/>
    <w:rsid w:val="00C3470E"/>
    <w:rsid w:val="00C52378"/>
    <w:rsid w:val="00C57FD3"/>
    <w:rsid w:val="00C708D5"/>
    <w:rsid w:val="00C7670C"/>
    <w:rsid w:val="00C76AC7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D750C"/>
    <w:rsid w:val="00CE2CBD"/>
    <w:rsid w:val="00CE7217"/>
    <w:rsid w:val="00CF5C3B"/>
    <w:rsid w:val="00CF6941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36C6"/>
    <w:rsid w:val="00D74A72"/>
    <w:rsid w:val="00D751DA"/>
    <w:rsid w:val="00D77C0B"/>
    <w:rsid w:val="00D846D3"/>
    <w:rsid w:val="00D9005D"/>
    <w:rsid w:val="00DA316D"/>
    <w:rsid w:val="00DB39E6"/>
    <w:rsid w:val="00DC1372"/>
    <w:rsid w:val="00DC1BE4"/>
    <w:rsid w:val="00DC45C0"/>
    <w:rsid w:val="00DC4685"/>
    <w:rsid w:val="00DD2A5B"/>
    <w:rsid w:val="00DF2200"/>
    <w:rsid w:val="00DF5155"/>
    <w:rsid w:val="00DF73C9"/>
    <w:rsid w:val="00E043D5"/>
    <w:rsid w:val="00E1415E"/>
    <w:rsid w:val="00E212C7"/>
    <w:rsid w:val="00E23F59"/>
    <w:rsid w:val="00E2448A"/>
    <w:rsid w:val="00E26CC5"/>
    <w:rsid w:val="00E304A3"/>
    <w:rsid w:val="00E328B4"/>
    <w:rsid w:val="00E351A1"/>
    <w:rsid w:val="00E44FA4"/>
    <w:rsid w:val="00E46D91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479"/>
    <w:rsid w:val="00EB29BD"/>
    <w:rsid w:val="00EB6596"/>
    <w:rsid w:val="00EC5878"/>
    <w:rsid w:val="00EC7363"/>
    <w:rsid w:val="00ED21B9"/>
    <w:rsid w:val="00ED263F"/>
    <w:rsid w:val="00EE3AF6"/>
    <w:rsid w:val="00EE3D9C"/>
    <w:rsid w:val="00EE7AF5"/>
    <w:rsid w:val="00EF1DC4"/>
    <w:rsid w:val="00EF5E31"/>
    <w:rsid w:val="00F102C1"/>
    <w:rsid w:val="00F107B1"/>
    <w:rsid w:val="00F1129A"/>
    <w:rsid w:val="00F132CD"/>
    <w:rsid w:val="00F2362D"/>
    <w:rsid w:val="00F23F25"/>
    <w:rsid w:val="00F375B2"/>
    <w:rsid w:val="00F37A7E"/>
    <w:rsid w:val="00F42219"/>
    <w:rsid w:val="00F45E53"/>
    <w:rsid w:val="00F47BCF"/>
    <w:rsid w:val="00F52D8E"/>
    <w:rsid w:val="00F54055"/>
    <w:rsid w:val="00F57CCB"/>
    <w:rsid w:val="00F6044E"/>
    <w:rsid w:val="00F66B2E"/>
    <w:rsid w:val="00F764D7"/>
    <w:rsid w:val="00F8500B"/>
    <w:rsid w:val="00F963B9"/>
    <w:rsid w:val="00FA0E17"/>
    <w:rsid w:val="00FA7DBE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4D70B1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EC7363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  <w:rPr>
      <w:b/>
    </w:r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056D89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819B7"/>
    <w:pPr>
      <w:ind w:left="360"/>
    </w:pPr>
  </w:style>
  <w:style w:type="character" w:customStyle="1" w:styleId="1AbcamTOCChar">
    <w:name w:val="1 Abcam TOC Char"/>
    <w:basedOn w:val="DefaultParagraphFont"/>
    <w:link w:val="1AbcamTOC"/>
    <w:rsid w:val="00A819B7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0744AC"/>
    <w:rPr>
      <w:b w:val="0"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08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ogleeson\Desktop\www.abcam.com\assaykitguidelines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C24B-64D6-4E62-A8AB-28F9256C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David Harvey</cp:lastModifiedBy>
  <cp:revision>3</cp:revision>
  <cp:lastPrinted>2018-04-13T15:00:00Z</cp:lastPrinted>
  <dcterms:created xsi:type="dcterms:W3CDTF">2020-04-06T15:05:00Z</dcterms:created>
  <dcterms:modified xsi:type="dcterms:W3CDTF">2020-04-06T15:30:00Z</dcterms:modified>
</cp:coreProperties>
</file>