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FF6F9" w14:textId="0317AFF6" w:rsidR="00DC1372" w:rsidRPr="006E17B3" w:rsidRDefault="00014148" w:rsidP="00014148">
      <w:pPr>
        <w:rPr>
          <w:lang w:val="en-GB"/>
        </w:rPr>
      </w:pPr>
      <w:r>
        <w:t xml:space="preserve">Version </w:t>
      </w:r>
      <w:r w:rsidR="00556392">
        <w:t>3</w:t>
      </w:r>
      <w:r w:rsidR="001E5705">
        <w:t>a</w:t>
      </w:r>
      <w:r>
        <w:t xml:space="preserve"> Last updated </w:t>
      </w:r>
      <w:r>
        <w:fldChar w:fldCharType="begin"/>
      </w:r>
      <w:r>
        <w:instrText xml:space="preserve"> DATE  \@ "d MMMM yyyy"  \* MERGEFORMAT </w:instrText>
      </w:r>
      <w:r>
        <w:fldChar w:fldCharType="separate"/>
      </w:r>
      <w:r w:rsidR="001E5705">
        <w:rPr>
          <w:noProof/>
        </w:rPr>
        <w:t>25 May 2023</w:t>
      </w:r>
      <w:r>
        <w:fldChar w:fldCharType="end"/>
      </w:r>
    </w:p>
    <w:p w14:paraId="1E42744B" w14:textId="77777777" w:rsidR="00D332B4" w:rsidRDefault="00D332B4" w:rsidP="00DC1372">
      <w:pPr>
        <w:rPr>
          <w:rFonts w:cs="Arial"/>
          <w:lang w:val="en-GB"/>
        </w:rPr>
      </w:pPr>
    </w:p>
    <w:p w14:paraId="76741FCF" w14:textId="77777777" w:rsidR="00D751DA" w:rsidRDefault="00D751DA" w:rsidP="00DC1372">
      <w:pPr>
        <w:rPr>
          <w:rFonts w:cs="Arial"/>
          <w:lang w:val="en-GB"/>
        </w:rPr>
      </w:pPr>
    </w:p>
    <w:p w14:paraId="5FF53BBD" w14:textId="77777777" w:rsidR="00550EE8" w:rsidRDefault="00550EE8" w:rsidP="00DC1372">
      <w:pPr>
        <w:rPr>
          <w:rFonts w:cs="Arial"/>
          <w:lang w:val="en-GB"/>
        </w:rPr>
      </w:pPr>
    </w:p>
    <w:tbl>
      <w:tblPr>
        <w:tblW w:w="0" w:type="auto"/>
        <w:tblInd w:w="-34" w:type="dxa"/>
        <w:tblLook w:val="00A0" w:firstRow="1" w:lastRow="0" w:firstColumn="1" w:lastColumn="0" w:noHBand="0" w:noVBand="0"/>
      </w:tblPr>
      <w:tblGrid>
        <w:gridCol w:w="6096"/>
      </w:tblGrid>
      <w:tr w:rsidR="00F37A7E" w:rsidRPr="00E74DC4" w14:paraId="0D851F8A" w14:textId="77777777" w:rsidTr="00BC4A30">
        <w:trPr>
          <w:trHeight w:hRule="exact" w:val="4027"/>
        </w:trPr>
        <w:tc>
          <w:tcPr>
            <w:tcW w:w="6096" w:type="dxa"/>
            <w:vAlign w:val="center"/>
          </w:tcPr>
          <w:p w14:paraId="1A8C177D" w14:textId="77B67263" w:rsidR="00F37A7E" w:rsidRPr="00DC5F3D" w:rsidRDefault="00854141" w:rsidP="00BC4A30">
            <w:pPr>
              <w:pStyle w:val="Title"/>
              <w:rPr>
                <w:rFonts w:ascii="Century Gothic" w:hAnsi="Century Gothic" w:cs="Lao UI"/>
                <w:b/>
              </w:rPr>
            </w:pPr>
            <w:bookmarkStart w:id="0" w:name="_Hlk511400159"/>
            <w:r>
              <w:rPr>
                <w:rFonts w:ascii="Century Gothic" w:hAnsi="Century Gothic" w:cs="Lao UI"/>
                <w:b/>
              </w:rPr>
              <w:t>ab241043</w:t>
            </w:r>
          </w:p>
          <w:p w14:paraId="0B6DC758" w14:textId="21D557D9" w:rsidR="00F37A7E" w:rsidRPr="00E74DC4" w:rsidRDefault="00854141" w:rsidP="00BC4A30">
            <w:pPr>
              <w:pStyle w:val="Title"/>
              <w:rPr>
                <w:rFonts w:ascii="Century Gothic" w:hAnsi="Century Gothic"/>
              </w:rPr>
            </w:pPr>
            <w:bookmarkStart w:id="1" w:name="_Hlk529367034"/>
            <w:bookmarkStart w:id="2" w:name="_Hlk529367248"/>
            <w:r w:rsidRPr="00854141">
              <w:rPr>
                <w:rFonts w:ascii="Century Gothic" w:hAnsi="Century Gothic" w:cs="Lao UI"/>
                <w:b/>
              </w:rPr>
              <w:t xml:space="preserve">Cystathionine beta Synthase </w:t>
            </w:r>
            <w:bookmarkEnd w:id="1"/>
            <w:r w:rsidRPr="00854141">
              <w:rPr>
                <w:rFonts w:ascii="Century Gothic" w:hAnsi="Century Gothic" w:cs="Lao UI"/>
                <w:b/>
              </w:rPr>
              <w:t>Assay Kit</w:t>
            </w:r>
            <w:bookmarkEnd w:id="2"/>
          </w:p>
        </w:tc>
      </w:tr>
      <w:bookmarkEnd w:id="0"/>
    </w:tbl>
    <w:p w14:paraId="68A29274" w14:textId="77777777" w:rsidR="00D751DA" w:rsidRDefault="00D751DA" w:rsidP="001B583F">
      <w:pPr>
        <w:pStyle w:val="1AbcamStandardtext"/>
      </w:pPr>
    </w:p>
    <w:p w14:paraId="3FD95304" w14:textId="7A43A2F5" w:rsidR="00DC1372" w:rsidRDefault="00B86D77" w:rsidP="001B583F">
      <w:pPr>
        <w:pStyle w:val="1AbcamStandardtext"/>
      </w:pPr>
      <w:r w:rsidRPr="00854141">
        <w:t xml:space="preserve">For </w:t>
      </w:r>
      <w:r w:rsidR="00C82B34" w:rsidRPr="00854141">
        <w:t xml:space="preserve">the </w:t>
      </w:r>
      <w:r w:rsidRPr="00854141">
        <w:t xml:space="preserve">measurement of </w:t>
      </w:r>
      <w:r w:rsidR="00854141" w:rsidRPr="00854141">
        <w:t xml:space="preserve">Cystathionine beta Synthase activity </w:t>
      </w:r>
      <w:r w:rsidRPr="00854141">
        <w:t xml:space="preserve">in </w:t>
      </w:r>
      <w:r w:rsidR="00854141" w:rsidRPr="00854141">
        <w:t>cells and tissues.</w:t>
      </w:r>
    </w:p>
    <w:p w14:paraId="0F52A95B" w14:textId="77777777" w:rsidR="00BF65CB" w:rsidRPr="001B583F" w:rsidRDefault="00BF65CB" w:rsidP="001B583F">
      <w:pPr>
        <w:pStyle w:val="1AbcamStandardtext"/>
      </w:pPr>
    </w:p>
    <w:p w14:paraId="7137C6EC" w14:textId="77777777" w:rsidR="00BF65CB" w:rsidRPr="001B583F" w:rsidRDefault="00BF65CB" w:rsidP="001B583F">
      <w:pPr>
        <w:pStyle w:val="1AbcamStandardtext"/>
      </w:pPr>
    </w:p>
    <w:p w14:paraId="03D734CA" w14:textId="77777777" w:rsidR="00BF65CB" w:rsidRPr="001B583F" w:rsidRDefault="00BF65CB" w:rsidP="001B583F">
      <w:pPr>
        <w:pStyle w:val="1AbcamStandardtext"/>
      </w:pPr>
    </w:p>
    <w:p w14:paraId="7210CFF8" w14:textId="77777777" w:rsidR="00B86D77" w:rsidRPr="001B583F" w:rsidRDefault="00DC1372" w:rsidP="001B583F">
      <w:pPr>
        <w:pStyle w:val="1AbcamStandardtext"/>
      </w:pPr>
      <w:r w:rsidRPr="001B583F">
        <w:t>This product is for research use only and is not intended for diagnostic use.</w:t>
      </w:r>
    </w:p>
    <w:p w14:paraId="35BE867E" w14:textId="3E901D81" w:rsidR="008B2920" w:rsidRPr="001B583F" w:rsidRDefault="008B2920" w:rsidP="008560D7">
      <w:pPr>
        <w:spacing w:before="0" w:after="0"/>
      </w:pPr>
      <w:r w:rsidRPr="001B583F">
        <w:br w:type="page"/>
      </w:r>
    </w:p>
    <w:p w14:paraId="693A6604" w14:textId="77777777" w:rsidR="00B86D77" w:rsidRPr="00116EC6" w:rsidRDefault="00B86D77" w:rsidP="005E07C9">
      <w:pPr>
        <w:pStyle w:val="TOCHeading1"/>
        <w:pBdr>
          <w:bottom w:val="none" w:sz="0" w:space="0" w:color="auto"/>
        </w:pBdr>
        <w:rPr>
          <w:rFonts w:ascii="Century Gothic" w:hAnsi="Century Gothic"/>
          <w:color w:val="auto"/>
        </w:rPr>
      </w:pPr>
      <w:bookmarkStart w:id="3" w:name="_Toc315440409"/>
      <w:r w:rsidRPr="00116EC6">
        <w:rPr>
          <w:rFonts w:ascii="Century Gothic" w:hAnsi="Century Gothic"/>
          <w:color w:val="auto"/>
        </w:rPr>
        <w:lastRenderedPageBreak/>
        <w:t>Table of Contents</w:t>
      </w:r>
      <w:bookmarkEnd w:id="3"/>
    </w:p>
    <w:bookmarkStart w:id="4" w:name="_Toc446403811"/>
    <w:bookmarkStart w:id="5" w:name="_Toc315440410"/>
    <w:p w14:paraId="5415D630" w14:textId="7C4EAACB" w:rsidR="007231D5" w:rsidRDefault="001F3104">
      <w:pPr>
        <w:pStyle w:val="TOC1"/>
        <w:rPr>
          <w:rFonts w:asciiTheme="minorHAnsi" w:eastAsiaTheme="minorEastAsia" w:hAnsiTheme="minorHAnsi" w:cstheme="minorBidi"/>
          <w:noProof/>
          <w:sz w:val="22"/>
          <w:szCs w:val="22"/>
          <w:lang w:val="en-GB" w:eastAsia="en-GB"/>
        </w:rPr>
      </w:pPr>
      <w:r>
        <w:fldChar w:fldCharType="begin"/>
      </w:r>
      <w:r>
        <w:instrText xml:space="preserve"> TOC \u \t "1 Abcam heading,1" </w:instrText>
      </w:r>
      <w:r>
        <w:fldChar w:fldCharType="separate"/>
      </w:r>
      <w:r w:rsidR="007231D5">
        <w:rPr>
          <w:noProof/>
        </w:rPr>
        <w:t>1.</w:t>
      </w:r>
      <w:r w:rsidR="007231D5">
        <w:rPr>
          <w:rFonts w:asciiTheme="minorHAnsi" w:eastAsiaTheme="minorEastAsia" w:hAnsiTheme="minorHAnsi" w:cstheme="minorBidi"/>
          <w:noProof/>
          <w:sz w:val="22"/>
          <w:szCs w:val="22"/>
          <w:lang w:val="en-GB" w:eastAsia="en-GB"/>
        </w:rPr>
        <w:tab/>
      </w:r>
      <w:r w:rsidR="007231D5">
        <w:rPr>
          <w:noProof/>
        </w:rPr>
        <w:t>Overview</w:t>
      </w:r>
      <w:r w:rsidR="007231D5">
        <w:rPr>
          <w:noProof/>
        </w:rPr>
        <w:tab/>
      </w:r>
      <w:r w:rsidR="007231D5">
        <w:rPr>
          <w:noProof/>
        </w:rPr>
        <w:fldChar w:fldCharType="begin"/>
      </w:r>
      <w:r w:rsidR="007231D5">
        <w:rPr>
          <w:noProof/>
        </w:rPr>
        <w:instrText xml:space="preserve"> PAGEREF _Toc531249489 \h </w:instrText>
      </w:r>
      <w:r w:rsidR="007231D5">
        <w:rPr>
          <w:noProof/>
        </w:rPr>
      </w:r>
      <w:r w:rsidR="007231D5">
        <w:rPr>
          <w:noProof/>
        </w:rPr>
        <w:fldChar w:fldCharType="separate"/>
      </w:r>
      <w:r w:rsidR="007231D5">
        <w:rPr>
          <w:noProof/>
        </w:rPr>
        <w:t>2</w:t>
      </w:r>
      <w:r w:rsidR="007231D5">
        <w:rPr>
          <w:noProof/>
        </w:rPr>
        <w:fldChar w:fldCharType="end"/>
      </w:r>
    </w:p>
    <w:p w14:paraId="64C6E4C6" w14:textId="7DD175A2" w:rsidR="007231D5" w:rsidRDefault="007231D5">
      <w:pPr>
        <w:pStyle w:val="TOC1"/>
        <w:rPr>
          <w:rFonts w:asciiTheme="minorHAnsi" w:eastAsiaTheme="minorEastAsia" w:hAnsiTheme="minorHAnsi" w:cstheme="minorBidi"/>
          <w:noProof/>
          <w:sz w:val="22"/>
          <w:szCs w:val="22"/>
          <w:lang w:val="en-GB" w:eastAsia="en-GB"/>
        </w:rPr>
      </w:pPr>
      <w:r>
        <w:rPr>
          <w:noProof/>
        </w:rPr>
        <w:t>2.</w:t>
      </w:r>
      <w:r>
        <w:rPr>
          <w:rFonts w:asciiTheme="minorHAnsi" w:eastAsiaTheme="minorEastAsia" w:hAnsiTheme="minorHAnsi" w:cstheme="minorBidi"/>
          <w:noProof/>
          <w:sz w:val="22"/>
          <w:szCs w:val="22"/>
          <w:lang w:val="en-GB" w:eastAsia="en-GB"/>
        </w:rPr>
        <w:tab/>
      </w:r>
      <w:r>
        <w:rPr>
          <w:noProof/>
        </w:rPr>
        <w:t>Materials Supplied and Storage</w:t>
      </w:r>
      <w:r>
        <w:rPr>
          <w:noProof/>
        </w:rPr>
        <w:tab/>
      </w:r>
      <w:r>
        <w:rPr>
          <w:noProof/>
        </w:rPr>
        <w:fldChar w:fldCharType="begin"/>
      </w:r>
      <w:r>
        <w:rPr>
          <w:noProof/>
        </w:rPr>
        <w:instrText xml:space="preserve"> PAGEREF _Toc531249490 \h </w:instrText>
      </w:r>
      <w:r>
        <w:rPr>
          <w:noProof/>
        </w:rPr>
      </w:r>
      <w:r>
        <w:rPr>
          <w:noProof/>
        </w:rPr>
        <w:fldChar w:fldCharType="separate"/>
      </w:r>
      <w:r>
        <w:rPr>
          <w:noProof/>
        </w:rPr>
        <w:t>4</w:t>
      </w:r>
      <w:r>
        <w:rPr>
          <w:noProof/>
        </w:rPr>
        <w:fldChar w:fldCharType="end"/>
      </w:r>
    </w:p>
    <w:p w14:paraId="3D436B01" w14:textId="02F23093" w:rsidR="007231D5" w:rsidRDefault="007231D5">
      <w:pPr>
        <w:pStyle w:val="TOC1"/>
        <w:rPr>
          <w:rFonts w:asciiTheme="minorHAnsi" w:eastAsiaTheme="minorEastAsia" w:hAnsiTheme="minorHAnsi" w:cstheme="minorBidi"/>
          <w:noProof/>
          <w:sz w:val="22"/>
          <w:szCs w:val="22"/>
          <w:lang w:val="en-GB" w:eastAsia="en-GB"/>
        </w:rPr>
      </w:pPr>
      <w:r>
        <w:rPr>
          <w:noProof/>
        </w:rPr>
        <w:t>3.</w:t>
      </w:r>
      <w:r>
        <w:rPr>
          <w:rFonts w:asciiTheme="minorHAnsi" w:eastAsiaTheme="minorEastAsia" w:hAnsiTheme="minorHAnsi" w:cstheme="minorBidi"/>
          <w:noProof/>
          <w:sz w:val="22"/>
          <w:szCs w:val="22"/>
          <w:lang w:val="en-GB" w:eastAsia="en-GB"/>
        </w:rPr>
        <w:tab/>
      </w:r>
      <w:r>
        <w:rPr>
          <w:noProof/>
        </w:rPr>
        <w:t>Materials Required, Not Supplied</w:t>
      </w:r>
      <w:r>
        <w:rPr>
          <w:noProof/>
        </w:rPr>
        <w:tab/>
      </w:r>
      <w:r>
        <w:rPr>
          <w:noProof/>
        </w:rPr>
        <w:fldChar w:fldCharType="begin"/>
      </w:r>
      <w:r>
        <w:rPr>
          <w:noProof/>
        </w:rPr>
        <w:instrText xml:space="preserve"> PAGEREF _Toc531249491 \h </w:instrText>
      </w:r>
      <w:r>
        <w:rPr>
          <w:noProof/>
        </w:rPr>
      </w:r>
      <w:r>
        <w:rPr>
          <w:noProof/>
        </w:rPr>
        <w:fldChar w:fldCharType="separate"/>
      </w:r>
      <w:r>
        <w:rPr>
          <w:noProof/>
        </w:rPr>
        <w:t>5</w:t>
      </w:r>
      <w:r>
        <w:rPr>
          <w:noProof/>
        </w:rPr>
        <w:fldChar w:fldCharType="end"/>
      </w:r>
    </w:p>
    <w:p w14:paraId="5E6CCE7E" w14:textId="4010ACB9" w:rsidR="007231D5" w:rsidRDefault="007231D5">
      <w:pPr>
        <w:pStyle w:val="TOC1"/>
        <w:rPr>
          <w:rFonts w:asciiTheme="minorHAnsi" w:eastAsiaTheme="minorEastAsia" w:hAnsiTheme="minorHAnsi" w:cstheme="minorBidi"/>
          <w:noProof/>
          <w:sz w:val="22"/>
          <w:szCs w:val="22"/>
          <w:lang w:val="en-GB" w:eastAsia="en-GB"/>
        </w:rPr>
      </w:pPr>
      <w:r>
        <w:rPr>
          <w:noProof/>
        </w:rPr>
        <w:t>4.</w:t>
      </w:r>
      <w:r>
        <w:rPr>
          <w:rFonts w:asciiTheme="minorHAnsi" w:eastAsiaTheme="minorEastAsia" w:hAnsiTheme="minorHAnsi" w:cstheme="minorBidi"/>
          <w:noProof/>
          <w:sz w:val="22"/>
          <w:szCs w:val="22"/>
          <w:lang w:val="en-GB" w:eastAsia="en-GB"/>
        </w:rPr>
        <w:tab/>
      </w:r>
      <w:r>
        <w:rPr>
          <w:noProof/>
        </w:rPr>
        <w:t>General guidelines, precautions, and troubleshooting</w:t>
      </w:r>
      <w:r>
        <w:rPr>
          <w:noProof/>
        </w:rPr>
        <w:tab/>
      </w:r>
      <w:r>
        <w:rPr>
          <w:noProof/>
        </w:rPr>
        <w:fldChar w:fldCharType="begin"/>
      </w:r>
      <w:r>
        <w:rPr>
          <w:noProof/>
        </w:rPr>
        <w:instrText xml:space="preserve"> PAGEREF _Toc531249492 \h </w:instrText>
      </w:r>
      <w:r>
        <w:rPr>
          <w:noProof/>
        </w:rPr>
      </w:r>
      <w:r>
        <w:rPr>
          <w:noProof/>
        </w:rPr>
        <w:fldChar w:fldCharType="separate"/>
      </w:r>
      <w:r>
        <w:rPr>
          <w:noProof/>
        </w:rPr>
        <w:t>6</w:t>
      </w:r>
      <w:r>
        <w:rPr>
          <w:noProof/>
        </w:rPr>
        <w:fldChar w:fldCharType="end"/>
      </w:r>
    </w:p>
    <w:p w14:paraId="0F3A9C68" w14:textId="574B1D6A" w:rsidR="007231D5" w:rsidRDefault="007231D5">
      <w:pPr>
        <w:pStyle w:val="TOC1"/>
        <w:rPr>
          <w:rFonts w:asciiTheme="minorHAnsi" w:eastAsiaTheme="minorEastAsia" w:hAnsiTheme="minorHAnsi" w:cstheme="minorBidi"/>
          <w:noProof/>
          <w:sz w:val="22"/>
          <w:szCs w:val="22"/>
          <w:lang w:val="en-GB" w:eastAsia="en-GB"/>
        </w:rPr>
      </w:pPr>
      <w:r>
        <w:rPr>
          <w:noProof/>
        </w:rPr>
        <w:t>5.</w:t>
      </w:r>
      <w:r>
        <w:rPr>
          <w:rFonts w:asciiTheme="minorHAnsi" w:eastAsiaTheme="minorEastAsia" w:hAnsiTheme="minorHAnsi" w:cstheme="minorBidi"/>
          <w:noProof/>
          <w:sz w:val="22"/>
          <w:szCs w:val="22"/>
          <w:lang w:val="en-GB" w:eastAsia="en-GB"/>
        </w:rPr>
        <w:tab/>
      </w:r>
      <w:r>
        <w:rPr>
          <w:noProof/>
        </w:rPr>
        <w:t>Reagent Preparation</w:t>
      </w:r>
      <w:r>
        <w:rPr>
          <w:noProof/>
        </w:rPr>
        <w:tab/>
      </w:r>
      <w:r>
        <w:rPr>
          <w:noProof/>
        </w:rPr>
        <w:fldChar w:fldCharType="begin"/>
      </w:r>
      <w:r>
        <w:rPr>
          <w:noProof/>
        </w:rPr>
        <w:instrText xml:space="preserve"> PAGEREF _Toc531249493 \h </w:instrText>
      </w:r>
      <w:r>
        <w:rPr>
          <w:noProof/>
        </w:rPr>
      </w:r>
      <w:r>
        <w:rPr>
          <w:noProof/>
        </w:rPr>
        <w:fldChar w:fldCharType="separate"/>
      </w:r>
      <w:r>
        <w:rPr>
          <w:noProof/>
        </w:rPr>
        <w:t>7</w:t>
      </w:r>
      <w:r>
        <w:rPr>
          <w:noProof/>
        </w:rPr>
        <w:fldChar w:fldCharType="end"/>
      </w:r>
    </w:p>
    <w:p w14:paraId="568EF315" w14:textId="5A380638" w:rsidR="007231D5" w:rsidRDefault="007231D5">
      <w:pPr>
        <w:pStyle w:val="TOC1"/>
        <w:rPr>
          <w:rFonts w:asciiTheme="minorHAnsi" w:eastAsiaTheme="minorEastAsia" w:hAnsiTheme="minorHAnsi" w:cstheme="minorBidi"/>
          <w:noProof/>
          <w:sz w:val="22"/>
          <w:szCs w:val="22"/>
          <w:lang w:val="en-GB" w:eastAsia="en-GB"/>
        </w:rPr>
      </w:pPr>
      <w:r>
        <w:rPr>
          <w:noProof/>
        </w:rPr>
        <w:t>6.</w:t>
      </w:r>
      <w:r>
        <w:rPr>
          <w:rFonts w:asciiTheme="minorHAnsi" w:eastAsiaTheme="minorEastAsia" w:hAnsiTheme="minorHAnsi" w:cstheme="minorBidi"/>
          <w:noProof/>
          <w:sz w:val="22"/>
          <w:szCs w:val="22"/>
          <w:lang w:val="en-GB" w:eastAsia="en-GB"/>
        </w:rPr>
        <w:tab/>
      </w:r>
      <w:r>
        <w:rPr>
          <w:noProof/>
        </w:rPr>
        <w:t>Standard Preparation</w:t>
      </w:r>
      <w:r>
        <w:rPr>
          <w:noProof/>
        </w:rPr>
        <w:tab/>
      </w:r>
      <w:r>
        <w:rPr>
          <w:noProof/>
        </w:rPr>
        <w:fldChar w:fldCharType="begin"/>
      </w:r>
      <w:r>
        <w:rPr>
          <w:noProof/>
        </w:rPr>
        <w:instrText xml:space="preserve"> PAGEREF _Toc531249494 \h </w:instrText>
      </w:r>
      <w:r>
        <w:rPr>
          <w:noProof/>
        </w:rPr>
      </w:r>
      <w:r>
        <w:rPr>
          <w:noProof/>
        </w:rPr>
        <w:fldChar w:fldCharType="separate"/>
      </w:r>
      <w:r>
        <w:rPr>
          <w:noProof/>
        </w:rPr>
        <w:t>8</w:t>
      </w:r>
      <w:r>
        <w:rPr>
          <w:noProof/>
        </w:rPr>
        <w:fldChar w:fldCharType="end"/>
      </w:r>
    </w:p>
    <w:p w14:paraId="45105A66" w14:textId="29B27314" w:rsidR="007231D5" w:rsidRDefault="007231D5">
      <w:pPr>
        <w:pStyle w:val="TOC1"/>
        <w:rPr>
          <w:rFonts w:asciiTheme="minorHAnsi" w:eastAsiaTheme="minorEastAsia" w:hAnsiTheme="minorHAnsi" w:cstheme="minorBidi"/>
          <w:noProof/>
          <w:sz w:val="22"/>
          <w:szCs w:val="22"/>
          <w:lang w:val="en-GB" w:eastAsia="en-GB"/>
        </w:rPr>
      </w:pPr>
      <w:r>
        <w:rPr>
          <w:noProof/>
        </w:rPr>
        <w:t>7.</w:t>
      </w:r>
      <w:r>
        <w:rPr>
          <w:rFonts w:asciiTheme="minorHAnsi" w:eastAsiaTheme="minorEastAsia" w:hAnsiTheme="minorHAnsi" w:cstheme="minorBidi"/>
          <w:noProof/>
          <w:sz w:val="22"/>
          <w:szCs w:val="22"/>
          <w:lang w:val="en-GB" w:eastAsia="en-GB"/>
        </w:rPr>
        <w:tab/>
      </w:r>
      <w:r>
        <w:rPr>
          <w:noProof/>
        </w:rPr>
        <w:t>Sample Preparation</w:t>
      </w:r>
      <w:r>
        <w:rPr>
          <w:noProof/>
        </w:rPr>
        <w:tab/>
      </w:r>
      <w:r>
        <w:rPr>
          <w:noProof/>
        </w:rPr>
        <w:fldChar w:fldCharType="begin"/>
      </w:r>
      <w:r>
        <w:rPr>
          <w:noProof/>
        </w:rPr>
        <w:instrText xml:space="preserve"> PAGEREF _Toc531249495 \h </w:instrText>
      </w:r>
      <w:r>
        <w:rPr>
          <w:noProof/>
        </w:rPr>
      </w:r>
      <w:r>
        <w:rPr>
          <w:noProof/>
        </w:rPr>
        <w:fldChar w:fldCharType="separate"/>
      </w:r>
      <w:r>
        <w:rPr>
          <w:noProof/>
        </w:rPr>
        <w:t>9</w:t>
      </w:r>
      <w:r>
        <w:rPr>
          <w:noProof/>
        </w:rPr>
        <w:fldChar w:fldCharType="end"/>
      </w:r>
    </w:p>
    <w:p w14:paraId="1F68D8DE" w14:textId="71B99781" w:rsidR="007231D5" w:rsidRDefault="007231D5">
      <w:pPr>
        <w:pStyle w:val="TOC1"/>
        <w:rPr>
          <w:rFonts w:asciiTheme="minorHAnsi" w:eastAsiaTheme="minorEastAsia" w:hAnsiTheme="minorHAnsi" w:cstheme="minorBidi"/>
          <w:noProof/>
          <w:sz w:val="22"/>
          <w:szCs w:val="22"/>
          <w:lang w:val="en-GB" w:eastAsia="en-GB"/>
        </w:rPr>
      </w:pPr>
      <w:r>
        <w:rPr>
          <w:noProof/>
        </w:rPr>
        <w:t>8.</w:t>
      </w:r>
      <w:r>
        <w:rPr>
          <w:rFonts w:asciiTheme="minorHAnsi" w:eastAsiaTheme="minorEastAsia" w:hAnsiTheme="minorHAnsi" w:cstheme="minorBidi"/>
          <w:noProof/>
          <w:sz w:val="22"/>
          <w:szCs w:val="22"/>
          <w:lang w:val="en-GB" w:eastAsia="en-GB"/>
        </w:rPr>
        <w:tab/>
      </w:r>
      <w:r>
        <w:rPr>
          <w:noProof/>
        </w:rPr>
        <w:t>Assay Procedure</w:t>
      </w:r>
      <w:r>
        <w:rPr>
          <w:noProof/>
        </w:rPr>
        <w:tab/>
      </w:r>
      <w:r>
        <w:rPr>
          <w:noProof/>
        </w:rPr>
        <w:fldChar w:fldCharType="begin"/>
      </w:r>
      <w:r>
        <w:rPr>
          <w:noProof/>
        </w:rPr>
        <w:instrText xml:space="preserve"> PAGEREF _Toc531249496 \h </w:instrText>
      </w:r>
      <w:r>
        <w:rPr>
          <w:noProof/>
        </w:rPr>
      </w:r>
      <w:r>
        <w:rPr>
          <w:noProof/>
        </w:rPr>
        <w:fldChar w:fldCharType="separate"/>
      </w:r>
      <w:r>
        <w:rPr>
          <w:noProof/>
        </w:rPr>
        <w:t>10</w:t>
      </w:r>
      <w:r>
        <w:rPr>
          <w:noProof/>
        </w:rPr>
        <w:fldChar w:fldCharType="end"/>
      </w:r>
    </w:p>
    <w:p w14:paraId="14548003" w14:textId="73F4826C" w:rsidR="007231D5" w:rsidRDefault="007231D5">
      <w:pPr>
        <w:pStyle w:val="TOC1"/>
        <w:rPr>
          <w:rFonts w:asciiTheme="minorHAnsi" w:eastAsiaTheme="minorEastAsia" w:hAnsiTheme="minorHAnsi" w:cstheme="minorBidi"/>
          <w:noProof/>
          <w:sz w:val="22"/>
          <w:szCs w:val="22"/>
          <w:lang w:val="en-GB" w:eastAsia="en-GB"/>
        </w:rPr>
      </w:pPr>
      <w:r>
        <w:rPr>
          <w:noProof/>
        </w:rPr>
        <w:t>9.</w:t>
      </w:r>
      <w:r>
        <w:rPr>
          <w:rFonts w:asciiTheme="minorHAnsi" w:eastAsiaTheme="minorEastAsia" w:hAnsiTheme="minorHAnsi" w:cstheme="minorBidi"/>
          <w:noProof/>
          <w:sz w:val="22"/>
          <w:szCs w:val="22"/>
          <w:lang w:val="en-GB" w:eastAsia="en-GB"/>
        </w:rPr>
        <w:tab/>
      </w:r>
      <w:r>
        <w:rPr>
          <w:noProof/>
        </w:rPr>
        <w:t>Data Analysis</w:t>
      </w:r>
      <w:r>
        <w:rPr>
          <w:noProof/>
        </w:rPr>
        <w:tab/>
      </w:r>
      <w:r>
        <w:rPr>
          <w:noProof/>
        </w:rPr>
        <w:fldChar w:fldCharType="begin"/>
      </w:r>
      <w:r>
        <w:rPr>
          <w:noProof/>
        </w:rPr>
        <w:instrText xml:space="preserve"> PAGEREF _Toc531249497 \h </w:instrText>
      </w:r>
      <w:r>
        <w:rPr>
          <w:noProof/>
        </w:rPr>
      </w:r>
      <w:r>
        <w:rPr>
          <w:noProof/>
        </w:rPr>
        <w:fldChar w:fldCharType="separate"/>
      </w:r>
      <w:r>
        <w:rPr>
          <w:noProof/>
        </w:rPr>
        <w:t>12</w:t>
      </w:r>
      <w:r>
        <w:rPr>
          <w:noProof/>
        </w:rPr>
        <w:fldChar w:fldCharType="end"/>
      </w:r>
    </w:p>
    <w:p w14:paraId="08BFB1E2" w14:textId="0669D00A" w:rsidR="007231D5" w:rsidRDefault="007231D5">
      <w:pPr>
        <w:pStyle w:val="TOC1"/>
        <w:rPr>
          <w:rFonts w:asciiTheme="minorHAnsi" w:eastAsiaTheme="minorEastAsia" w:hAnsiTheme="minorHAnsi" w:cstheme="minorBidi"/>
          <w:noProof/>
          <w:sz w:val="22"/>
          <w:szCs w:val="22"/>
          <w:lang w:val="en-GB" w:eastAsia="en-GB"/>
        </w:rPr>
      </w:pPr>
      <w:r>
        <w:rPr>
          <w:noProof/>
        </w:rPr>
        <w:t>10.</w:t>
      </w:r>
      <w:r>
        <w:rPr>
          <w:rFonts w:asciiTheme="minorHAnsi" w:eastAsiaTheme="minorEastAsia" w:hAnsiTheme="minorHAnsi" w:cstheme="minorBidi"/>
          <w:noProof/>
          <w:sz w:val="22"/>
          <w:szCs w:val="22"/>
          <w:lang w:val="en-GB" w:eastAsia="en-GB"/>
        </w:rPr>
        <w:tab/>
      </w:r>
      <w:r>
        <w:rPr>
          <w:noProof/>
        </w:rPr>
        <w:t>Typical Data</w:t>
      </w:r>
      <w:r>
        <w:rPr>
          <w:noProof/>
        </w:rPr>
        <w:tab/>
      </w:r>
      <w:r>
        <w:rPr>
          <w:noProof/>
        </w:rPr>
        <w:fldChar w:fldCharType="begin"/>
      </w:r>
      <w:r>
        <w:rPr>
          <w:noProof/>
        </w:rPr>
        <w:instrText xml:space="preserve"> PAGEREF _Toc531249498 \h </w:instrText>
      </w:r>
      <w:r>
        <w:rPr>
          <w:noProof/>
        </w:rPr>
      </w:r>
      <w:r>
        <w:rPr>
          <w:noProof/>
        </w:rPr>
        <w:fldChar w:fldCharType="separate"/>
      </w:r>
      <w:r>
        <w:rPr>
          <w:noProof/>
        </w:rPr>
        <w:t>13</w:t>
      </w:r>
      <w:r>
        <w:rPr>
          <w:noProof/>
        </w:rPr>
        <w:fldChar w:fldCharType="end"/>
      </w:r>
    </w:p>
    <w:p w14:paraId="3D17E6D2" w14:textId="0FB8C945" w:rsidR="007231D5" w:rsidRDefault="007231D5">
      <w:pPr>
        <w:pStyle w:val="TOC1"/>
        <w:rPr>
          <w:rFonts w:asciiTheme="minorHAnsi" w:eastAsiaTheme="minorEastAsia" w:hAnsiTheme="minorHAnsi" w:cstheme="minorBidi"/>
          <w:noProof/>
          <w:sz w:val="22"/>
          <w:szCs w:val="22"/>
          <w:lang w:val="en-GB" w:eastAsia="en-GB"/>
        </w:rPr>
      </w:pPr>
      <w:r>
        <w:rPr>
          <w:noProof/>
        </w:rPr>
        <w:t>11.</w:t>
      </w:r>
      <w:r>
        <w:rPr>
          <w:rFonts w:asciiTheme="minorHAnsi" w:eastAsiaTheme="minorEastAsia" w:hAnsiTheme="minorHAnsi" w:cstheme="minorBidi"/>
          <w:noProof/>
          <w:sz w:val="22"/>
          <w:szCs w:val="22"/>
          <w:lang w:val="en-GB" w:eastAsia="en-GB"/>
        </w:rPr>
        <w:tab/>
      </w:r>
      <w:r>
        <w:rPr>
          <w:noProof/>
        </w:rPr>
        <w:t>Notes</w:t>
      </w:r>
      <w:r>
        <w:rPr>
          <w:noProof/>
        </w:rPr>
        <w:tab/>
      </w:r>
      <w:r>
        <w:rPr>
          <w:noProof/>
        </w:rPr>
        <w:fldChar w:fldCharType="begin"/>
      </w:r>
      <w:r>
        <w:rPr>
          <w:noProof/>
        </w:rPr>
        <w:instrText xml:space="preserve"> PAGEREF _Toc531249499 \h </w:instrText>
      </w:r>
      <w:r>
        <w:rPr>
          <w:noProof/>
        </w:rPr>
      </w:r>
      <w:r>
        <w:rPr>
          <w:noProof/>
        </w:rPr>
        <w:fldChar w:fldCharType="separate"/>
      </w:r>
      <w:r>
        <w:rPr>
          <w:noProof/>
        </w:rPr>
        <w:t>15</w:t>
      </w:r>
      <w:r>
        <w:rPr>
          <w:noProof/>
        </w:rPr>
        <w:fldChar w:fldCharType="end"/>
      </w:r>
    </w:p>
    <w:p w14:paraId="7EE20ADD" w14:textId="5EA75286" w:rsidR="00B9305B" w:rsidRDefault="001F3104" w:rsidP="00595684">
      <w:pPr>
        <w:pStyle w:val="TOC1"/>
      </w:pPr>
      <w:r>
        <w:fldChar w:fldCharType="end"/>
      </w:r>
    </w:p>
    <w:p w14:paraId="572A9D21" w14:textId="18DAD20F" w:rsidR="008560D7" w:rsidRDefault="008560D7" w:rsidP="008560D7"/>
    <w:p w14:paraId="1DB93F7A" w14:textId="66C4DD5F" w:rsidR="008560D7" w:rsidRDefault="008560D7" w:rsidP="008560D7"/>
    <w:p w14:paraId="296D6C3D" w14:textId="65DE3B1F" w:rsidR="008560D7" w:rsidRDefault="008560D7" w:rsidP="008560D7"/>
    <w:p w14:paraId="198F01BC" w14:textId="1E424B3C" w:rsidR="008560D7" w:rsidRDefault="008560D7" w:rsidP="008560D7"/>
    <w:p w14:paraId="704D10A4" w14:textId="3F0E13AA" w:rsidR="008560D7" w:rsidRDefault="008560D7" w:rsidP="008560D7"/>
    <w:p w14:paraId="1A15320F" w14:textId="77777777" w:rsidR="007231D5" w:rsidRDefault="007231D5" w:rsidP="008560D7"/>
    <w:p w14:paraId="08AD92C1" w14:textId="1DC755CD" w:rsidR="008560D7" w:rsidRDefault="008560D7" w:rsidP="008560D7"/>
    <w:p w14:paraId="0333508D" w14:textId="62A5D1BD" w:rsidR="008560D7" w:rsidRDefault="008560D7" w:rsidP="008560D7"/>
    <w:p w14:paraId="0E6C396D" w14:textId="68E3B514" w:rsidR="008560D7" w:rsidRDefault="008560D7" w:rsidP="008560D7"/>
    <w:p w14:paraId="168E5C78" w14:textId="77777777" w:rsidR="007231D5" w:rsidRDefault="007231D5" w:rsidP="008560D7">
      <w:pPr>
        <w:sectPr w:rsidR="007231D5" w:rsidSect="007F1A39">
          <w:footerReference w:type="default" r:id="rId8"/>
          <w:footerReference w:type="first" r:id="rId9"/>
          <w:pgSz w:w="8400" w:h="11900"/>
          <w:pgMar w:top="737" w:right="737" w:bottom="737" w:left="1021" w:header="0" w:footer="0" w:gutter="0"/>
          <w:cols w:space="708"/>
          <w:docGrid w:linePitch="272"/>
        </w:sectPr>
      </w:pPr>
    </w:p>
    <w:p w14:paraId="02A6C019" w14:textId="3A2E1FFF" w:rsidR="008560D7" w:rsidRPr="008560D7" w:rsidRDefault="008560D7" w:rsidP="008560D7"/>
    <w:p w14:paraId="2F270870" w14:textId="77777777" w:rsidR="000E4FA8" w:rsidRPr="002A066A" w:rsidRDefault="000E4FA8" w:rsidP="00380497">
      <w:pPr>
        <w:pStyle w:val="1Abcamheading"/>
      </w:pPr>
      <w:bookmarkStart w:id="6" w:name="_Toc531249489"/>
      <w:r w:rsidRPr="002A066A">
        <w:t>Overview</w:t>
      </w:r>
      <w:bookmarkEnd w:id="4"/>
      <w:bookmarkEnd w:id="6"/>
    </w:p>
    <w:p w14:paraId="4D28123F" w14:textId="3252E777" w:rsidR="00755831" w:rsidRDefault="008560D7" w:rsidP="006B2A3A">
      <w:pPr>
        <w:pStyle w:val="1AbcamStandardtext"/>
      </w:pPr>
      <w:r w:rsidRPr="008560D7">
        <w:t xml:space="preserve">Cystathionine beta Synthase Assay Kit </w:t>
      </w:r>
      <w:r>
        <w:t xml:space="preserve">(ab241043) </w:t>
      </w:r>
      <w:r w:rsidRPr="008560D7">
        <w:t>utilizes cysteine and homocysteine as substrates to produce H2S. Hydrogen sulfide reacts with the azido-functional group of the fluorescent probe yielding a fluorescent amino group (Ex/</w:t>
      </w:r>
      <w:proofErr w:type="spellStart"/>
      <w:r w:rsidRPr="008560D7">
        <w:t>Em</w:t>
      </w:r>
      <w:proofErr w:type="spellEnd"/>
      <w:r w:rsidRPr="008560D7">
        <w:t xml:space="preserve"> = 368/460 nm). The assay is highly sensitive, has a simple easy-to-follow protocol, and can detect as low as 1.45 </w:t>
      </w:r>
      <w:proofErr w:type="spellStart"/>
      <w:r w:rsidRPr="008560D7">
        <w:t>mU</w:t>
      </w:r>
      <w:proofErr w:type="spellEnd"/>
      <w:r w:rsidRPr="008560D7">
        <w:t xml:space="preserve"> of CβS activity.</w:t>
      </w:r>
    </w:p>
    <w:p w14:paraId="31868551" w14:textId="10B53A0A" w:rsidR="00BB0E0B" w:rsidRDefault="00BB0E0B" w:rsidP="006B2A3A">
      <w:pPr>
        <w:pStyle w:val="1AbcamStandardtext"/>
      </w:pPr>
    </w:p>
    <w:p w14:paraId="65E525E4" w14:textId="10F68146" w:rsidR="008560D7" w:rsidRPr="00BB0E0B" w:rsidRDefault="00BB0E0B" w:rsidP="006B2A3A">
      <w:pPr>
        <w:pStyle w:val="1AbcamStandardtext"/>
      </w:pPr>
      <w:r>
        <w:rPr>
          <w:noProof/>
        </w:rPr>
        <mc:AlternateContent>
          <mc:Choice Requires="wps">
            <w:drawing>
              <wp:anchor distT="0" distB="0" distL="114300" distR="114300" simplePos="0" relativeHeight="251667968" behindDoc="0" locked="0" layoutInCell="1" allowOverlap="1" wp14:anchorId="5662C8C9" wp14:editId="62423A7F">
                <wp:simplePos x="0" y="0"/>
                <wp:positionH relativeFrom="column">
                  <wp:posOffset>1685290</wp:posOffset>
                </wp:positionH>
                <wp:positionV relativeFrom="paragraph">
                  <wp:posOffset>83820</wp:posOffset>
                </wp:positionV>
                <wp:extent cx="542925" cy="9525"/>
                <wp:effectExtent l="0" t="57150" r="28575" b="85725"/>
                <wp:wrapNone/>
                <wp:docPr id="3" name="Straight Arrow Connector 3"/>
                <wp:cNvGraphicFramePr/>
                <a:graphic xmlns:a="http://schemas.openxmlformats.org/drawingml/2006/main">
                  <a:graphicData uri="http://schemas.microsoft.com/office/word/2010/wordprocessingShape">
                    <wps:wsp>
                      <wps:cNvCnPr/>
                      <wps:spPr>
                        <a:xfrm>
                          <a:off x="0" y="0"/>
                          <a:ext cx="5429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E10D2E2" id="_x0000_t32" coordsize="21600,21600" o:spt="32" o:oned="t" path="m,l21600,21600e" filled="f">
                <v:path arrowok="t" fillok="f" o:connecttype="none"/>
                <o:lock v:ext="edit" shapetype="t"/>
              </v:shapetype>
              <v:shape id="Straight Arrow Connector 3" o:spid="_x0000_s1026" type="#_x0000_t32" style="position:absolute;margin-left:132.7pt;margin-top:6.6pt;width:42.75pt;height:.75pt;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" strokecolor="black [3040]">
                <v:stroke endarrow="block"/>
              </v:shape>
            </w:pict>
          </mc:Fallback>
        </mc:AlternateContent>
      </w:r>
      <w:r>
        <w:t xml:space="preserve">Cysteine + homocysteine                       </w:t>
      </w:r>
      <w:r w:rsidR="00841E53">
        <w:t>cystathionine</w:t>
      </w:r>
      <w:r>
        <w:t xml:space="preserve"> + H</w:t>
      </w:r>
      <w:r>
        <w:rPr>
          <w:vertAlign w:val="subscript"/>
        </w:rPr>
        <w:t>2</w:t>
      </w:r>
      <w:r>
        <w:t>S</w:t>
      </w:r>
    </w:p>
    <w:p w14:paraId="2083600F" w14:textId="0EE96C4B" w:rsidR="00F966E8" w:rsidRDefault="00F966E8" w:rsidP="006B2A3A">
      <w:pPr>
        <w:pStyle w:val="1AbcamStandardtext"/>
      </w:pPr>
      <w:r>
        <w:rPr>
          <w:noProof/>
        </w:rPr>
        <mc:AlternateContent>
          <mc:Choice Requires="wps">
            <w:drawing>
              <wp:anchor distT="0" distB="0" distL="114300" distR="114300" simplePos="0" relativeHeight="251668992" behindDoc="0" locked="0" layoutInCell="1" allowOverlap="1" wp14:anchorId="2BEC3185" wp14:editId="7027F249">
                <wp:simplePos x="0" y="0"/>
                <wp:positionH relativeFrom="column">
                  <wp:posOffset>2942590</wp:posOffset>
                </wp:positionH>
                <wp:positionV relativeFrom="paragraph">
                  <wp:posOffset>42545</wp:posOffset>
                </wp:positionV>
                <wp:extent cx="9525" cy="523875"/>
                <wp:effectExtent l="76200" t="0" r="66675" b="47625"/>
                <wp:wrapNone/>
                <wp:docPr id="8" name="Straight Arrow Connector 8"/>
                <wp:cNvGraphicFramePr/>
                <a:graphic xmlns:a="http://schemas.openxmlformats.org/drawingml/2006/main">
                  <a:graphicData uri="http://schemas.microsoft.com/office/word/2010/wordprocessingShape">
                    <wps:wsp>
                      <wps:cNvCnPr/>
                      <wps:spPr>
                        <a:xfrm flipH="1">
                          <a:off x="0" y="0"/>
                          <a:ext cx="9525" cy="523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A5A7F6" id="Straight Arrow Connector 8" o:spid="_x0000_s1026" type="#_x0000_t32" style="position:absolute;margin-left:231.7pt;margin-top:3.35pt;width:.75pt;height:41.25pt;flip:x;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" strokecolor="black [3040]">
                <v:stroke endarrow="block"/>
              </v:shape>
            </w:pict>
          </mc:Fallback>
        </mc:AlternateContent>
      </w:r>
    </w:p>
    <w:p w14:paraId="40E53213" w14:textId="6F0B1EDB" w:rsidR="008560D7" w:rsidRPr="002A066A" w:rsidRDefault="00F966E8" w:rsidP="006B2A3A">
      <w:pPr>
        <w:pStyle w:val="1AbcamStandardtext"/>
      </w:pPr>
      <w:r>
        <w:tab/>
      </w:r>
      <w:r>
        <w:tab/>
      </w:r>
      <w:r>
        <w:tab/>
      </w:r>
      <w:r>
        <w:tab/>
        <w:t xml:space="preserve">         </w:t>
      </w:r>
      <w:r w:rsidRPr="00F966E8">
        <w:t xml:space="preserve">CβS Probe </w:t>
      </w:r>
    </w:p>
    <w:p w14:paraId="0BBB8CAE" w14:textId="77777777" w:rsidR="00BB0E0B" w:rsidRDefault="00BB0E0B" w:rsidP="001B583F">
      <w:pPr>
        <w:pStyle w:val="1AbcamStandardtext"/>
        <w:jc w:val="center"/>
      </w:pPr>
    </w:p>
    <w:p w14:paraId="5C9110D6" w14:textId="3912AA73" w:rsidR="00BB0E0B" w:rsidRDefault="00F966E8" w:rsidP="001B583F">
      <w:pPr>
        <w:pStyle w:val="1AbcamStandardtext"/>
        <w:jc w:val="center"/>
      </w:pPr>
      <w:r>
        <w:t xml:space="preserve">                                                         Fluorescence (Ex/</w:t>
      </w:r>
      <w:proofErr w:type="spellStart"/>
      <w:r>
        <w:t>Em</w:t>
      </w:r>
      <w:proofErr w:type="spellEnd"/>
      <w:r>
        <w:t xml:space="preserve"> = 368/460 nm)</w:t>
      </w:r>
    </w:p>
    <w:p w14:paraId="605EC302" w14:textId="77777777" w:rsidR="00BB0E0B" w:rsidRDefault="00BB0E0B" w:rsidP="001B583F">
      <w:pPr>
        <w:pStyle w:val="1AbcamStandardtext"/>
        <w:jc w:val="center"/>
      </w:pPr>
    </w:p>
    <w:p w14:paraId="038BEB94" w14:textId="77777777" w:rsidR="00BB0E0B" w:rsidRDefault="00BB0E0B" w:rsidP="001B583F">
      <w:pPr>
        <w:pStyle w:val="1AbcamStandardtext"/>
        <w:jc w:val="center"/>
      </w:pPr>
    </w:p>
    <w:p w14:paraId="4C09FAB3" w14:textId="77777777" w:rsidR="00C710BC" w:rsidRDefault="00C710BC" w:rsidP="001B583F">
      <w:pPr>
        <w:pStyle w:val="1AbcamStandardtext"/>
        <w:jc w:val="center"/>
      </w:pPr>
    </w:p>
    <w:p w14:paraId="1550D463" w14:textId="0EC8E51B" w:rsidR="000E4FA8" w:rsidRPr="002A066A" w:rsidRDefault="00C710BC" w:rsidP="001B583F">
      <w:pPr>
        <w:pStyle w:val="1AbcamStandardtext"/>
        <w:jc w:val="center"/>
      </w:pPr>
      <w:r>
        <w:t>Prepare tissue / cell lysate sample.</w:t>
      </w:r>
    </w:p>
    <w:p w14:paraId="58F097DB" w14:textId="77777777" w:rsidR="001B583F" w:rsidRDefault="001B583F" w:rsidP="001B583F">
      <w:pPr>
        <w:pStyle w:val="1AbcamStandardtext"/>
        <w:jc w:val="center"/>
      </w:pPr>
      <w:r w:rsidRPr="001B583F">
        <w:rPr>
          <w:noProof/>
          <w:lang w:val="en-GB" w:eastAsia="en-GB"/>
        </w:rPr>
        <mc:AlternateContent>
          <mc:Choice Requires="wps">
            <w:drawing>
              <wp:anchor distT="0" distB="0" distL="114300" distR="114300" simplePos="0" relativeHeight="251664896" behindDoc="0" locked="0" layoutInCell="1" allowOverlap="1" wp14:anchorId="08F7E015" wp14:editId="15C677E7">
                <wp:simplePos x="0" y="0"/>
                <wp:positionH relativeFrom="margin">
                  <wp:posOffset>2015490</wp:posOffset>
                </wp:positionH>
                <wp:positionV relativeFrom="paragraph">
                  <wp:posOffset>64770</wp:posOffset>
                </wp:positionV>
                <wp:extent cx="180975" cy="231140"/>
                <wp:effectExtent l="38100" t="0" r="28575" b="3556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621E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58.7pt;margin-top:5.1pt;width:14.25pt;height:18.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nH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">
                <w10:wrap anchorx="margin"/>
              </v:shape>
            </w:pict>
          </mc:Fallback>
        </mc:AlternateContent>
      </w:r>
    </w:p>
    <w:p w14:paraId="20FE87C0" w14:textId="77777777" w:rsidR="000E4FA8" w:rsidRPr="002A066A" w:rsidRDefault="000E4FA8" w:rsidP="001B583F">
      <w:pPr>
        <w:pStyle w:val="1AbcamStandardtext"/>
        <w:jc w:val="center"/>
      </w:pPr>
    </w:p>
    <w:p w14:paraId="5FAA8666" w14:textId="57919B7E" w:rsidR="00755831" w:rsidRPr="002A066A" w:rsidRDefault="00C710BC" w:rsidP="00755831">
      <w:pPr>
        <w:pStyle w:val="1AbcamStandardtext"/>
        <w:jc w:val="center"/>
      </w:pPr>
      <w:r>
        <w:t>Prepare Standards and Positive Control. Prepare Master Mix, Background Mix and Standard Curve Mix.</w:t>
      </w:r>
    </w:p>
    <w:p w14:paraId="2BF2D2FE" w14:textId="77777777" w:rsidR="001B583F" w:rsidRDefault="001B583F" w:rsidP="001B583F">
      <w:pPr>
        <w:pStyle w:val="1AbcamStandardtext"/>
        <w:jc w:val="center"/>
      </w:pPr>
      <w:r w:rsidRPr="002A066A">
        <w:rPr>
          <w:noProof/>
          <w:lang w:val="en-GB" w:eastAsia="en-GB"/>
        </w:rPr>
        <mc:AlternateContent>
          <mc:Choice Requires="wps">
            <w:drawing>
              <wp:anchor distT="0" distB="0" distL="114300" distR="114300" simplePos="0" relativeHeight="251665920" behindDoc="0" locked="0" layoutInCell="1" allowOverlap="1" wp14:anchorId="73DF7FCC" wp14:editId="72076099">
                <wp:simplePos x="0" y="0"/>
                <wp:positionH relativeFrom="margin">
                  <wp:posOffset>2015490</wp:posOffset>
                </wp:positionH>
                <wp:positionV relativeFrom="paragraph">
                  <wp:posOffset>58420</wp:posOffset>
                </wp:positionV>
                <wp:extent cx="180975" cy="231140"/>
                <wp:effectExtent l="38100" t="0" r="28575" b="3556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D4B45" id="AutoShape 9" o:spid="_x0000_s1026" type="#_x0000_t67" style="position:absolute;margin-left:158.7pt;margin-top:4.6pt;width:14.25pt;height:18.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G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">
                <w10:wrap anchorx="margin"/>
              </v:shape>
            </w:pict>
          </mc:Fallback>
        </mc:AlternateContent>
      </w:r>
    </w:p>
    <w:p w14:paraId="1D952F3F" w14:textId="77777777" w:rsidR="000E4FA8" w:rsidRPr="002A066A" w:rsidRDefault="000E4FA8" w:rsidP="001B583F">
      <w:pPr>
        <w:pStyle w:val="1AbcamStandardtext"/>
        <w:jc w:val="center"/>
      </w:pPr>
    </w:p>
    <w:p w14:paraId="7F42369C" w14:textId="3FA7B7A0" w:rsidR="00755831" w:rsidRPr="002A066A" w:rsidRDefault="00C710BC" w:rsidP="00755831">
      <w:pPr>
        <w:pStyle w:val="1AbcamStandardtext"/>
        <w:jc w:val="center"/>
      </w:pPr>
      <w:r>
        <w:t>Add Sample, No Enzyme Control and Positive Control</w:t>
      </w:r>
      <w:r w:rsidR="00755831">
        <w:t xml:space="preserve"> </w:t>
      </w:r>
      <w:r>
        <w:t>to Master Mix. Add Background Controls to Background Mix. Add Standard Curve samples to Standard Curve Mix.</w:t>
      </w:r>
    </w:p>
    <w:p w14:paraId="2A35FDC0" w14:textId="77777777" w:rsidR="00000557" w:rsidRDefault="001B583F" w:rsidP="001B583F">
      <w:pPr>
        <w:pStyle w:val="1AbcamStandardtext"/>
        <w:jc w:val="center"/>
        <w:rPr>
          <w:lang w:val="en-GB"/>
        </w:rPr>
      </w:pPr>
      <w:r w:rsidRPr="002A066A">
        <w:rPr>
          <w:noProof/>
          <w:lang w:val="en-GB" w:eastAsia="en-GB"/>
        </w:rPr>
        <mc:AlternateContent>
          <mc:Choice Requires="wps">
            <w:drawing>
              <wp:anchor distT="0" distB="0" distL="114300" distR="114300" simplePos="0" relativeHeight="251666944" behindDoc="0" locked="0" layoutInCell="1" allowOverlap="1" wp14:anchorId="2E242C65" wp14:editId="63CB131A">
                <wp:simplePos x="0" y="0"/>
                <wp:positionH relativeFrom="margin">
                  <wp:posOffset>2015490</wp:posOffset>
                </wp:positionH>
                <wp:positionV relativeFrom="paragraph">
                  <wp:posOffset>67945</wp:posOffset>
                </wp:positionV>
                <wp:extent cx="180975" cy="231140"/>
                <wp:effectExtent l="38100" t="0" r="28575" b="3556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33535" id="AutoShape 10" o:spid="_x0000_s1026" type="#_x0000_t67" style="position:absolute;margin-left:158.7pt;margin-top:5.35pt;width:14.25pt;height:18.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hoQwIAAJI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">
                <w10:wrap anchorx="margin"/>
              </v:shape>
            </w:pict>
          </mc:Fallback>
        </mc:AlternateContent>
      </w:r>
    </w:p>
    <w:p w14:paraId="74548AFC" w14:textId="77777777" w:rsidR="001B583F" w:rsidRPr="002A066A" w:rsidRDefault="001B583F" w:rsidP="001B583F">
      <w:pPr>
        <w:pStyle w:val="1AbcamStandardtext"/>
        <w:jc w:val="center"/>
        <w:rPr>
          <w:lang w:val="en-GB"/>
        </w:rPr>
      </w:pPr>
    </w:p>
    <w:p w14:paraId="6A64D663" w14:textId="483405A2" w:rsidR="00755831" w:rsidRPr="002A066A" w:rsidRDefault="00C710BC" w:rsidP="00755831">
      <w:pPr>
        <w:pStyle w:val="1AbcamStandardtext"/>
        <w:jc w:val="center"/>
      </w:pPr>
      <w:r w:rsidRPr="00C710BC">
        <w:t>Measure fluorescence immediately at Ex/</w:t>
      </w:r>
      <w:proofErr w:type="spellStart"/>
      <w:r w:rsidRPr="00C710BC">
        <w:t>Em</w:t>
      </w:r>
      <w:proofErr w:type="spellEnd"/>
      <w:r w:rsidRPr="00C710BC">
        <w:t>= 368/460 n</w:t>
      </w:r>
      <w:r>
        <w:t>m in kinetic mode for 40-60 minutes</w:t>
      </w:r>
      <w:r w:rsidRPr="00C710BC">
        <w:t xml:space="preserve"> at 37°C</w:t>
      </w:r>
      <w:r>
        <w:t>.</w:t>
      </w:r>
      <w:r w:rsidR="00755831">
        <w:t xml:space="preserve"> </w:t>
      </w:r>
    </w:p>
    <w:p w14:paraId="39818316" w14:textId="77777777" w:rsidR="000E4FA8" w:rsidRDefault="000E4FA8" w:rsidP="001B583F">
      <w:pPr>
        <w:pStyle w:val="1AbcamStandardtext"/>
        <w:rPr>
          <w:lang w:val="en-GB"/>
        </w:rPr>
      </w:pPr>
    </w:p>
    <w:p w14:paraId="388EA4C8" w14:textId="77777777" w:rsidR="00AD2A65" w:rsidRDefault="00AD2A65" w:rsidP="001B583F">
      <w:pPr>
        <w:pStyle w:val="1AbcamStandardtext"/>
        <w:rPr>
          <w:lang w:val="en-GB"/>
        </w:rPr>
      </w:pPr>
    </w:p>
    <w:p w14:paraId="53545290" w14:textId="77777777" w:rsidR="00AD2A65" w:rsidRDefault="00AD2A65" w:rsidP="001B583F">
      <w:pPr>
        <w:pStyle w:val="1AbcamStandardtext"/>
        <w:rPr>
          <w:lang w:val="en-GB"/>
        </w:rPr>
      </w:pPr>
    </w:p>
    <w:p w14:paraId="1948FF0C" w14:textId="77777777" w:rsidR="000E4FA8" w:rsidRDefault="000E4FA8" w:rsidP="001E2DD7">
      <w:pPr>
        <w:pStyle w:val="1Abcamheading"/>
      </w:pPr>
      <w:bookmarkStart w:id="7" w:name="_Toc446403816"/>
      <w:bookmarkStart w:id="8" w:name="_Toc531249490"/>
      <w:r w:rsidRPr="002A066A">
        <w:lastRenderedPageBreak/>
        <w:t xml:space="preserve">Materials </w:t>
      </w:r>
      <w:r w:rsidR="00174FD5" w:rsidRPr="002A066A">
        <w:t>S</w:t>
      </w:r>
      <w:r w:rsidRPr="002A066A">
        <w:t>upplied</w:t>
      </w:r>
      <w:bookmarkEnd w:id="7"/>
      <w:r w:rsidR="00DC1BE4">
        <w:t xml:space="preserve"> and S</w:t>
      </w:r>
      <w:r w:rsidR="00BA030F">
        <w:t>torage</w:t>
      </w:r>
      <w:bookmarkEnd w:id="8"/>
    </w:p>
    <w:p w14:paraId="206D3439" w14:textId="61F034CA" w:rsidR="001402DA" w:rsidRDefault="00DC1BE4" w:rsidP="00DC1BE4">
      <w:r>
        <w:t xml:space="preserve">Store kit </w:t>
      </w:r>
      <w:r w:rsidRPr="00B02964">
        <w:t xml:space="preserve">at </w:t>
      </w:r>
      <w:r w:rsidR="00B02964" w:rsidRPr="00B02964">
        <w:t>-20</w:t>
      </w:r>
      <w:r w:rsidRPr="00B02964">
        <w:t xml:space="preserve">°C in the dark </w:t>
      </w:r>
      <w:r w:rsidR="00C82B34" w:rsidRPr="00B02964">
        <w:t>immediately</w:t>
      </w:r>
      <w:r w:rsidR="00C82B34">
        <w:t xml:space="preserve"> </w:t>
      </w:r>
      <w:r>
        <w:t>on receipt</w:t>
      </w:r>
      <w:r w:rsidR="00C82B34">
        <w:t xml:space="preserve"> and check below for storage for individual components</w:t>
      </w:r>
      <w:r>
        <w:t xml:space="preserve">. Kit can be stored for 1 year from receipt, if components have not been reconstituted. </w:t>
      </w:r>
    </w:p>
    <w:p w14:paraId="7710C8D2" w14:textId="77777777" w:rsidR="006B6677" w:rsidRDefault="006B6677" w:rsidP="00DC1BE4">
      <w:r>
        <w:t>Avoid repeated freeze-thaws of reagents.</w:t>
      </w:r>
    </w:p>
    <w:tbl>
      <w:tblPr>
        <w:tblW w:w="7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8"/>
        <w:gridCol w:w="1109"/>
        <w:gridCol w:w="1440"/>
        <w:gridCol w:w="1440"/>
      </w:tblGrid>
      <w:tr w:rsidR="000E4FA8" w:rsidRPr="002A066A" w14:paraId="05F4CE50" w14:textId="77777777" w:rsidTr="004F5B1C">
        <w:trPr>
          <w:trHeight w:val="306"/>
          <w:jc w:val="center"/>
        </w:trPr>
        <w:tc>
          <w:tcPr>
            <w:tcW w:w="3118" w:type="dxa"/>
            <w:vAlign w:val="center"/>
          </w:tcPr>
          <w:p w14:paraId="59F50704" w14:textId="77777777" w:rsidR="000E4FA8" w:rsidRPr="002A066A" w:rsidRDefault="000E4FA8" w:rsidP="00855612">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Item</w:t>
            </w:r>
          </w:p>
        </w:tc>
        <w:tc>
          <w:tcPr>
            <w:tcW w:w="1109" w:type="dxa"/>
            <w:vAlign w:val="center"/>
          </w:tcPr>
          <w:p w14:paraId="281AFF7E" w14:textId="77777777" w:rsidR="000E4FA8" w:rsidRPr="002A066A" w:rsidRDefault="000E4FA8" w:rsidP="00855612">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Quantity</w:t>
            </w:r>
          </w:p>
        </w:tc>
        <w:tc>
          <w:tcPr>
            <w:tcW w:w="1440" w:type="dxa"/>
            <w:vAlign w:val="center"/>
          </w:tcPr>
          <w:p w14:paraId="2EC852DA" w14:textId="77777777" w:rsidR="000E4FA8" w:rsidRPr="002A066A" w:rsidRDefault="000E4FA8" w:rsidP="00B47D3A">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 xml:space="preserve">Storage </w:t>
            </w:r>
            <w:r w:rsidR="00A20163">
              <w:rPr>
                <w:rFonts w:cs="Arial"/>
                <w:b/>
                <w:bCs/>
                <w:color w:val="000000"/>
                <w:szCs w:val="18"/>
                <w:lang w:val="en-GB"/>
              </w:rPr>
              <w:t>temperature</w:t>
            </w:r>
            <w:r w:rsidRPr="002A066A">
              <w:rPr>
                <w:rFonts w:cs="Arial"/>
                <w:b/>
                <w:bCs/>
                <w:color w:val="000000"/>
                <w:szCs w:val="18"/>
                <w:lang w:val="en-GB"/>
              </w:rPr>
              <w:t xml:space="preserve"> (</w:t>
            </w:r>
            <w:r w:rsidR="00B47D3A">
              <w:rPr>
                <w:rFonts w:cs="Arial"/>
                <w:b/>
                <w:bCs/>
                <w:color w:val="000000"/>
                <w:szCs w:val="18"/>
                <w:lang w:val="en-GB"/>
              </w:rPr>
              <w:t>b</w:t>
            </w:r>
            <w:r w:rsidRPr="002A066A">
              <w:rPr>
                <w:rFonts w:cs="Arial"/>
                <w:b/>
                <w:bCs/>
                <w:color w:val="000000"/>
                <w:szCs w:val="18"/>
                <w:lang w:val="en-GB"/>
              </w:rPr>
              <w:t>efore prep)</w:t>
            </w:r>
          </w:p>
        </w:tc>
        <w:tc>
          <w:tcPr>
            <w:tcW w:w="1440" w:type="dxa"/>
            <w:vAlign w:val="center"/>
          </w:tcPr>
          <w:p w14:paraId="561F3303" w14:textId="77777777" w:rsidR="000E4FA8" w:rsidRPr="002A066A" w:rsidRDefault="000E4FA8" w:rsidP="00B47D3A">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 xml:space="preserve">Storage </w:t>
            </w:r>
            <w:r w:rsidR="00A20163">
              <w:rPr>
                <w:rFonts w:cs="Arial"/>
                <w:b/>
                <w:bCs/>
                <w:color w:val="000000"/>
                <w:szCs w:val="18"/>
                <w:lang w:val="en-GB"/>
              </w:rPr>
              <w:t>temperature</w:t>
            </w:r>
            <w:r w:rsidRPr="002A066A">
              <w:rPr>
                <w:rFonts w:cs="Arial"/>
                <w:b/>
                <w:bCs/>
                <w:color w:val="000000"/>
                <w:szCs w:val="18"/>
                <w:lang w:val="en-GB"/>
              </w:rPr>
              <w:t xml:space="preserve"> (</w:t>
            </w:r>
            <w:r w:rsidR="00B47D3A">
              <w:rPr>
                <w:rFonts w:cs="Arial"/>
                <w:b/>
                <w:bCs/>
                <w:color w:val="000000"/>
                <w:szCs w:val="18"/>
                <w:lang w:val="en-GB"/>
              </w:rPr>
              <w:t>a</w:t>
            </w:r>
            <w:r w:rsidRPr="002A066A">
              <w:rPr>
                <w:rFonts w:cs="Arial"/>
                <w:b/>
                <w:bCs/>
                <w:color w:val="000000"/>
                <w:szCs w:val="18"/>
                <w:lang w:val="en-GB"/>
              </w:rPr>
              <w:t>fter prep)</w:t>
            </w:r>
          </w:p>
        </w:tc>
      </w:tr>
      <w:tr w:rsidR="000E4FA8" w:rsidRPr="002A066A" w14:paraId="7075565B" w14:textId="77777777" w:rsidTr="004F5B1C">
        <w:trPr>
          <w:trHeight w:val="306"/>
          <w:jc w:val="center"/>
        </w:trPr>
        <w:tc>
          <w:tcPr>
            <w:tcW w:w="3118" w:type="dxa"/>
            <w:vAlign w:val="center"/>
          </w:tcPr>
          <w:p w14:paraId="1B9B8CD6" w14:textId="775522DB" w:rsidR="000E4FA8" w:rsidRPr="00B02964" w:rsidRDefault="00B02964" w:rsidP="00855612">
            <w:pPr>
              <w:autoSpaceDE w:val="0"/>
              <w:autoSpaceDN w:val="0"/>
              <w:adjustRightInd w:val="0"/>
              <w:spacing w:before="60" w:after="60"/>
              <w:rPr>
                <w:rFonts w:cs="Arial"/>
                <w:b/>
                <w:bCs/>
                <w:color w:val="000000"/>
                <w:sz w:val="18"/>
                <w:szCs w:val="18"/>
                <w:lang w:val="en-GB"/>
              </w:rPr>
            </w:pPr>
            <w:r w:rsidRPr="00B02964">
              <w:rPr>
                <w:rFonts w:cs="Arial"/>
                <w:bCs/>
                <w:color w:val="000000"/>
                <w:sz w:val="18"/>
                <w:szCs w:val="18"/>
              </w:rPr>
              <w:t>CβS Assay Buffer</w:t>
            </w:r>
          </w:p>
        </w:tc>
        <w:tc>
          <w:tcPr>
            <w:tcW w:w="1109" w:type="dxa"/>
            <w:vAlign w:val="center"/>
          </w:tcPr>
          <w:p w14:paraId="3976A2F1" w14:textId="52566CB3" w:rsidR="000E4FA8" w:rsidRPr="00B02964" w:rsidRDefault="00B02964"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25 mL</w:t>
            </w:r>
          </w:p>
        </w:tc>
        <w:tc>
          <w:tcPr>
            <w:tcW w:w="1440" w:type="dxa"/>
            <w:vAlign w:val="center"/>
          </w:tcPr>
          <w:p w14:paraId="1755D00B" w14:textId="287DDBA5" w:rsidR="000E4FA8" w:rsidRPr="00B02964" w:rsidRDefault="00F0105D"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00B02964" w:rsidRPr="00B02964">
              <w:rPr>
                <w:rFonts w:cs="Arial"/>
                <w:color w:val="000000"/>
                <w:sz w:val="18"/>
                <w:szCs w:val="18"/>
                <w:lang w:val="en-GB"/>
              </w:rPr>
              <w:t>°C</w:t>
            </w:r>
          </w:p>
        </w:tc>
        <w:tc>
          <w:tcPr>
            <w:tcW w:w="1440" w:type="dxa"/>
            <w:vAlign w:val="center"/>
          </w:tcPr>
          <w:p w14:paraId="521AFD54" w14:textId="254154C2" w:rsidR="000E4FA8" w:rsidRPr="00B02964" w:rsidRDefault="00F0105D"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00AC3F23" w:rsidRPr="00B02964">
              <w:rPr>
                <w:rFonts w:cs="Arial"/>
                <w:color w:val="000000"/>
                <w:sz w:val="18"/>
                <w:szCs w:val="18"/>
                <w:lang w:val="en-GB"/>
              </w:rPr>
              <w:t>°C</w:t>
            </w:r>
          </w:p>
        </w:tc>
      </w:tr>
      <w:tr w:rsidR="000E4FA8" w:rsidRPr="002A066A" w14:paraId="351C6E24" w14:textId="77777777" w:rsidTr="004F5B1C">
        <w:trPr>
          <w:trHeight w:val="306"/>
          <w:jc w:val="center"/>
        </w:trPr>
        <w:tc>
          <w:tcPr>
            <w:tcW w:w="3118" w:type="dxa"/>
            <w:vAlign w:val="center"/>
          </w:tcPr>
          <w:p w14:paraId="607ECEE7" w14:textId="5BD5B280" w:rsidR="000E4FA8" w:rsidRPr="00B02964" w:rsidRDefault="00B02964" w:rsidP="00855612">
            <w:pPr>
              <w:autoSpaceDE w:val="0"/>
              <w:autoSpaceDN w:val="0"/>
              <w:adjustRightInd w:val="0"/>
              <w:spacing w:before="60" w:after="60"/>
              <w:rPr>
                <w:rFonts w:cs="Arial"/>
                <w:bCs/>
                <w:color w:val="000000"/>
                <w:sz w:val="18"/>
                <w:szCs w:val="18"/>
              </w:rPr>
            </w:pPr>
            <w:r w:rsidRPr="00B02964">
              <w:rPr>
                <w:rFonts w:cs="Arial"/>
                <w:bCs/>
                <w:color w:val="000000"/>
                <w:sz w:val="18"/>
                <w:szCs w:val="18"/>
              </w:rPr>
              <w:t>CβS Probe (in DMSO)</w:t>
            </w:r>
          </w:p>
        </w:tc>
        <w:tc>
          <w:tcPr>
            <w:tcW w:w="1109" w:type="dxa"/>
            <w:vAlign w:val="center"/>
          </w:tcPr>
          <w:p w14:paraId="7BD458D8" w14:textId="4EA96812" w:rsidR="000E4FA8" w:rsidRPr="00B02964" w:rsidRDefault="002C3E48"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 xml:space="preserve">500 </w:t>
            </w:r>
            <w:proofErr w:type="spellStart"/>
            <w:r w:rsidRPr="002C3E48">
              <w:rPr>
                <w:rFonts w:cs="Arial"/>
                <w:color w:val="000000"/>
                <w:sz w:val="18"/>
                <w:szCs w:val="18"/>
                <w:lang w:val="en-GB"/>
              </w:rPr>
              <w:t>μ</w:t>
            </w:r>
            <w:r>
              <w:rPr>
                <w:rFonts w:cs="Arial"/>
                <w:color w:val="000000"/>
                <w:sz w:val="18"/>
                <w:szCs w:val="18"/>
                <w:lang w:val="en-GB"/>
              </w:rPr>
              <w:t>L</w:t>
            </w:r>
            <w:proofErr w:type="spellEnd"/>
          </w:p>
        </w:tc>
        <w:tc>
          <w:tcPr>
            <w:tcW w:w="1440" w:type="dxa"/>
            <w:vAlign w:val="center"/>
          </w:tcPr>
          <w:p w14:paraId="1C614A03" w14:textId="6F3B6AAF" w:rsidR="000E4FA8" w:rsidRPr="00B02964" w:rsidRDefault="00B02964"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Pr="00B02964">
              <w:rPr>
                <w:rFonts w:cs="Arial"/>
                <w:color w:val="000000"/>
                <w:sz w:val="18"/>
                <w:szCs w:val="18"/>
                <w:lang w:val="en-GB"/>
              </w:rPr>
              <w:t>°C</w:t>
            </w:r>
          </w:p>
        </w:tc>
        <w:tc>
          <w:tcPr>
            <w:tcW w:w="1440" w:type="dxa"/>
            <w:vAlign w:val="center"/>
          </w:tcPr>
          <w:p w14:paraId="5B610C29" w14:textId="75DA2740" w:rsidR="000E4FA8" w:rsidRPr="00B02964" w:rsidRDefault="008E78BF"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Pr="00B02964">
              <w:rPr>
                <w:rFonts w:cs="Arial"/>
                <w:color w:val="000000"/>
                <w:sz w:val="18"/>
                <w:szCs w:val="18"/>
                <w:lang w:val="en-GB"/>
              </w:rPr>
              <w:t>°C</w:t>
            </w:r>
          </w:p>
        </w:tc>
      </w:tr>
      <w:tr w:rsidR="000E4FA8" w:rsidRPr="002A066A" w14:paraId="027BB5F9" w14:textId="77777777" w:rsidTr="004F5B1C">
        <w:trPr>
          <w:trHeight w:val="306"/>
          <w:jc w:val="center"/>
        </w:trPr>
        <w:tc>
          <w:tcPr>
            <w:tcW w:w="3118" w:type="dxa"/>
            <w:vAlign w:val="center"/>
          </w:tcPr>
          <w:p w14:paraId="1EBA2E7A" w14:textId="0EA200B0" w:rsidR="000E4FA8" w:rsidRPr="002A066A" w:rsidRDefault="00B02964" w:rsidP="00855612">
            <w:pPr>
              <w:autoSpaceDE w:val="0"/>
              <w:autoSpaceDN w:val="0"/>
              <w:adjustRightInd w:val="0"/>
              <w:spacing w:before="60" w:after="60"/>
              <w:rPr>
                <w:rFonts w:cs="Arial"/>
                <w:bCs/>
                <w:color w:val="000000"/>
                <w:sz w:val="18"/>
                <w:szCs w:val="18"/>
              </w:rPr>
            </w:pPr>
            <w:r w:rsidRPr="00B02964">
              <w:rPr>
                <w:rFonts w:cs="Arial"/>
                <w:bCs/>
                <w:color w:val="000000"/>
                <w:sz w:val="18"/>
                <w:szCs w:val="18"/>
              </w:rPr>
              <w:t>CβS Substrate</w:t>
            </w:r>
          </w:p>
        </w:tc>
        <w:tc>
          <w:tcPr>
            <w:tcW w:w="1109" w:type="dxa"/>
            <w:vAlign w:val="center"/>
          </w:tcPr>
          <w:p w14:paraId="6795B82A" w14:textId="494A254F" w:rsidR="000E4FA8" w:rsidRPr="002A066A" w:rsidRDefault="00B02964"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 mL</w:t>
            </w:r>
          </w:p>
        </w:tc>
        <w:tc>
          <w:tcPr>
            <w:tcW w:w="1440" w:type="dxa"/>
            <w:vAlign w:val="center"/>
          </w:tcPr>
          <w:p w14:paraId="75C705C9" w14:textId="5578B867" w:rsidR="000E4FA8" w:rsidRPr="002A066A" w:rsidRDefault="00B02964"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Pr="00B02964">
              <w:rPr>
                <w:rFonts w:cs="Arial"/>
                <w:color w:val="000000"/>
                <w:sz w:val="18"/>
                <w:szCs w:val="18"/>
                <w:lang w:val="en-GB"/>
              </w:rPr>
              <w:t>°C</w:t>
            </w:r>
          </w:p>
        </w:tc>
        <w:tc>
          <w:tcPr>
            <w:tcW w:w="1440" w:type="dxa"/>
            <w:vAlign w:val="center"/>
          </w:tcPr>
          <w:p w14:paraId="6F35EAC0" w14:textId="4D20C66C" w:rsidR="000E4FA8" w:rsidRPr="002A066A" w:rsidRDefault="008E78BF"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Pr="00B02964">
              <w:rPr>
                <w:rFonts w:cs="Arial"/>
                <w:color w:val="000000"/>
                <w:sz w:val="18"/>
                <w:szCs w:val="18"/>
                <w:lang w:val="en-GB"/>
              </w:rPr>
              <w:t>°C</w:t>
            </w:r>
          </w:p>
        </w:tc>
      </w:tr>
      <w:tr w:rsidR="000E4FA8" w:rsidRPr="002A066A" w14:paraId="51D65C27" w14:textId="77777777" w:rsidTr="004F5B1C">
        <w:trPr>
          <w:trHeight w:val="306"/>
          <w:jc w:val="center"/>
        </w:trPr>
        <w:tc>
          <w:tcPr>
            <w:tcW w:w="3118" w:type="dxa"/>
            <w:vAlign w:val="center"/>
          </w:tcPr>
          <w:p w14:paraId="5F00CC6D" w14:textId="229D18FC" w:rsidR="000E4FA8" w:rsidRPr="002A066A" w:rsidRDefault="00B02964" w:rsidP="00B47D3A">
            <w:pPr>
              <w:autoSpaceDE w:val="0"/>
              <w:autoSpaceDN w:val="0"/>
              <w:adjustRightInd w:val="0"/>
              <w:spacing w:before="60" w:after="60"/>
              <w:rPr>
                <w:rFonts w:cs="Arial"/>
                <w:bCs/>
                <w:color w:val="000000"/>
                <w:sz w:val="18"/>
                <w:szCs w:val="18"/>
              </w:rPr>
            </w:pPr>
            <w:r>
              <w:rPr>
                <w:rFonts w:cs="Arial"/>
                <w:bCs/>
                <w:color w:val="000000"/>
                <w:sz w:val="18"/>
                <w:szCs w:val="18"/>
              </w:rPr>
              <w:t>Cofactor 1</w:t>
            </w:r>
          </w:p>
        </w:tc>
        <w:tc>
          <w:tcPr>
            <w:tcW w:w="1109" w:type="dxa"/>
            <w:vAlign w:val="center"/>
          </w:tcPr>
          <w:p w14:paraId="3CAF4991" w14:textId="64CA81AD" w:rsidR="000E4FA8" w:rsidRPr="002A066A" w:rsidRDefault="002C3E48"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 xml:space="preserve">500 </w:t>
            </w:r>
            <w:proofErr w:type="spellStart"/>
            <w:r w:rsidRPr="002C3E48">
              <w:rPr>
                <w:rFonts w:cs="Arial"/>
                <w:color w:val="000000"/>
                <w:sz w:val="18"/>
                <w:szCs w:val="18"/>
                <w:lang w:val="en-GB"/>
              </w:rPr>
              <w:t>μ</w:t>
            </w:r>
            <w:r>
              <w:rPr>
                <w:rFonts w:cs="Arial"/>
                <w:color w:val="000000"/>
                <w:sz w:val="18"/>
                <w:szCs w:val="18"/>
                <w:lang w:val="en-GB"/>
              </w:rPr>
              <w:t>L</w:t>
            </w:r>
            <w:proofErr w:type="spellEnd"/>
          </w:p>
        </w:tc>
        <w:tc>
          <w:tcPr>
            <w:tcW w:w="1440" w:type="dxa"/>
            <w:vAlign w:val="center"/>
          </w:tcPr>
          <w:p w14:paraId="2BA61399" w14:textId="134738F0" w:rsidR="000E4FA8" w:rsidRPr="002A066A" w:rsidRDefault="00B02964"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Pr="00B02964">
              <w:rPr>
                <w:rFonts w:cs="Arial"/>
                <w:color w:val="000000"/>
                <w:sz w:val="18"/>
                <w:szCs w:val="18"/>
                <w:lang w:val="en-GB"/>
              </w:rPr>
              <w:t>°C</w:t>
            </w:r>
          </w:p>
        </w:tc>
        <w:tc>
          <w:tcPr>
            <w:tcW w:w="1440" w:type="dxa"/>
            <w:vAlign w:val="center"/>
          </w:tcPr>
          <w:p w14:paraId="1D4A98D8" w14:textId="7D6906F4" w:rsidR="000E4FA8" w:rsidRPr="002A066A" w:rsidRDefault="008E78BF"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Pr="00B02964">
              <w:rPr>
                <w:rFonts w:cs="Arial"/>
                <w:color w:val="000000"/>
                <w:sz w:val="18"/>
                <w:szCs w:val="18"/>
                <w:lang w:val="en-GB"/>
              </w:rPr>
              <w:t>°C</w:t>
            </w:r>
          </w:p>
        </w:tc>
      </w:tr>
      <w:tr w:rsidR="000E4FA8" w:rsidRPr="002A066A" w14:paraId="6C99A44E" w14:textId="77777777" w:rsidTr="004F5B1C">
        <w:trPr>
          <w:trHeight w:val="306"/>
          <w:jc w:val="center"/>
        </w:trPr>
        <w:tc>
          <w:tcPr>
            <w:tcW w:w="3118" w:type="dxa"/>
            <w:vAlign w:val="center"/>
          </w:tcPr>
          <w:p w14:paraId="279A1B29" w14:textId="37C761CC" w:rsidR="000E4FA8" w:rsidRPr="002A066A" w:rsidRDefault="00B02964" w:rsidP="00B47D3A">
            <w:pPr>
              <w:autoSpaceDE w:val="0"/>
              <w:autoSpaceDN w:val="0"/>
              <w:adjustRightInd w:val="0"/>
              <w:spacing w:before="60" w:after="60"/>
              <w:rPr>
                <w:rFonts w:cs="Arial"/>
                <w:bCs/>
                <w:color w:val="000000"/>
                <w:sz w:val="18"/>
                <w:szCs w:val="18"/>
              </w:rPr>
            </w:pPr>
            <w:r>
              <w:rPr>
                <w:rFonts w:cs="Arial"/>
                <w:bCs/>
                <w:color w:val="000000"/>
                <w:sz w:val="18"/>
                <w:szCs w:val="18"/>
              </w:rPr>
              <w:t>Cofactor 2</w:t>
            </w:r>
          </w:p>
        </w:tc>
        <w:tc>
          <w:tcPr>
            <w:tcW w:w="1109" w:type="dxa"/>
            <w:vAlign w:val="center"/>
          </w:tcPr>
          <w:p w14:paraId="5E10C950" w14:textId="228067B1" w:rsidR="000E4FA8" w:rsidRPr="002A066A" w:rsidRDefault="002C3E48"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 xml:space="preserve">500 </w:t>
            </w:r>
            <w:proofErr w:type="spellStart"/>
            <w:r w:rsidRPr="002C3E48">
              <w:rPr>
                <w:rFonts w:cs="Arial"/>
                <w:color w:val="000000"/>
                <w:sz w:val="18"/>
                <w:szCs w:val="18"/>
                <w:lang w:val="en-GB"/>
              </w:rPr>
              <w:t>μ</w:t>
            </w:r>
            <w:r>
              <w:rPr>
                <w:rFonts w:cs="Arial"/>
                <w:color w:val="000000"/>
                <w:sz w:val="18"/>
                <w:szCs w:val="18"/>
                <w:lang w:val="en-GB"/>
              </w:rPr>
              <w:t>L</w:t>
            </w:r>
            <w:proofErr w:type="spellEnd"/>
          </w:p>
        </w:tc>
        <w:tc>
          <w:tcPr>
            <w:tcW w:w="1440" w:type="dxa"/>
            <w:vAlign w:val="center"/>
          </w:tcPr>
          <w:p w14:paraId="4507DE99" w14:textId="2E6009C8" w:rsidR="000E4FA8" w:rsidRPr="002A066A" w:rsidRDefault="00B02964"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Pr="00B02964">
              <w:rPr>
                <w:rFonts w:cs="Arial"/>
                <w:color w:val="000000"/>
                <w:sz w:val="18"/>
                <w:szCs w:val="18"/>
                <w:lang w:val="en-GB"/>
              </w:rPr>
              <w:t>°C</w:t>
            </w:r>
          </w:p>
        </w:tc>
        <w:tc>
          <w:tcPr>
            <w:tcW w:w="1440" w:type="dxa"/>
            <w:vAlign w:val="center"/>
          </w:tcPr>
          <w:p w14:paraId="59F379EF" w14:textId="413CCA28" w:rsidR="000E4FA8" w:rsidRPr="002A066A" w:rsidRDefault="008E78BF"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Pr="00B02964">
              <w:rPr>
                <w:rFonts w:cs="Arial"/>
                <w:color w:val="000000"/>
                <w:sz w:val="18"/>
                <w:szCs w:val="18"/>
                <w:lang w:val="en-GB"/>
              </w:rPr>
              <w:t>°C</w:t>
            </w:r>
          </w:p>
        </w:tc>
      </w:tr>
      <w:tr w:rsidR="00B02964" w:rsidRPr="002A066A" w14:paraId="3B9A647E" w14:textId="77777777" w:rsidTr="004F5B1C">
        <w:trPr>
          <w:trHeight w:val="306"/>
          <w:jc w:val="center"/>
        </w:trPr>
        <w:tc>
          <w:tcPr>
            <w:tcW w:w="3118" w:type="dxa"/>
            <w:vAlign w:val="center"/>
          </w:tcPr>
          <w:p w14:paraId="136EB2DD" w14:textId="4A0F800C" w:rsidR="00B02964" w:rsidRPr="002A066A" w:rsidRDefault="00B02964" w:rsidP="00B47D3A">
            <w:pPr>
              <w:autoSpaceDE w:val="0"/>
              <w:autoSpaceDN w:val="0"/>
              <w:adjustRightInd w:val="0"/>
              <w:spacing w:before="60" w:after="60"/>
              <w:rPr>
                <w:rFonts w:cs="Arial"/>
                <w:bCs/>
                <w:color w:val="000000"/>
                <w:sz w:val="18"/>
                <w:szCs w:val="18"/>
              </w:rPr>
            </w:pPr>
            <w:r>
              <w:rPr>
                <w:rFonts w:cs="Arial"/>
                <w:bCs/>
                <w:color w:val="000000"/>
                <w:sz w:val="18"/>
                <w:szCs w:val="18"/>
              </w:rPr>
              <w:t>Reducing Agent</w:t>
            </w:r>
            <w:r w:rsidR="008E78BF">
              <w:rPr>
                <w:rFonts w:cs="Arial"/>
                <w:bCs/>
                <w:color w:val="000000"/>
                <w:sz w:val="18"/>
                <w:szCs w:val="18"/>
              </w:rPr>
              <w:t xml:space="preserve"> (20X)</w:t>
            </w:r>
          </w:p>
        </w:tc>
        <w:tc>
          <w:tcPr>
            <w:tcW w:w="1109" w:type="dxa"/>
            <w:vAlign w:val="center"/>
          </w:tcPr>
          <w:p w14:paraId="18D07E03" w14:textId="5E207429" w:rsidR="00B02964" w:rsidRPr="002A066A" w:rsidRDefault="00B02964"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 vial</w:t>
            </w:r>
          </w:p>
        </w:tc>
        <w:tc>
          <w:tcPr>
            <w:tcW w:w="1440" w:type="dxa"/>
            <w:vAlign w:val="center"/>
          </w:tcPr>
          <w:p w14:paraId="117EF5A3" w14:textId="35641925" w:rsidR="00B02964" w:rsidRPr="002A066A" w:rsidRDefault="00B02964"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Pr="00B02964">
              <w:rPr>
                <w:rFonts w:cs="Arial"/>
                <w:color w:val="000000"/>
                <w:sz w:val="18"/>
                <w:szCs w:val="18"/>
                <w:lang w:val="en-GB"/>
              </w:rPr>
              <w:t>°C</w:t>
            </w:r>
          </w:p>
        </w:tc>
        <w:tc>
          <w:tcPr>
            <w:tcW w:w="1440" w:type="dxa"/>
            <w:vAlign w:val="center"/>
          </w:tcPr>
          <w:p w14:paraId="4EA218B3" w14:textId="4C0DD838" w:rsidR="00B02964" w:rsidRPr="002A066A" w:rsidRDefault="008E78BF"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Pr="00B02964">
              <w:rPr>
                <w:rFonts w:cs="Arial"/>
                <w:color w:val="000000"/>
                <w:sz w:val="18"/>
                <w:szCs w:val="18"/>
                <w:lang w:val="en-GB"/>
              </w:rPr>
              <w:t>°C</w:t>
            </w:r>
          </w:p>
        </w:tc>
      </w:tr>
      <w:tr w:rsidR="00B02964" w:rsidRPr="002A066A" w14:paraId="2B2466B3" w14:textId="77777777" w:rsidTr="004F5B1C">
        <w:trPr>
          <w:trHeight w:val="306"/>
          <w:jc w:val="center"/>
        </w:trPr>
        <w:tc>
          <w:tcPr>
            <w:tcW w:w="3118" w:type="dxa"/>
            <w:vAlign w:val="center"/>
          </w:tcPr>
          <w:p w14:paraId="70430FFE" w14:textId="528DCD54" w:rsidR="00B02964" w:rsidRPr="002A066A" w:rsidRDefault="00B02964" w:rsidP="00B47D3A">
            <w:pPr>
              <w:autoSpaceDE w:val="0"/>
              <w:autoSpaceDN w:val="0"/>
              <w:adjustRightInd w:val="0"/>
              <w:spacing w:before="60" w:after="60"/>
              <w:rPr>
                <w:rFonts w:cs="Arial"/>
                <w:bCs/>
                <w:color w:val="000000"/>
                <w:sz w:val="18"/>
                <w:szCs w:val="18"/>
              </w:rPr>
            </w:pPr>
            <w:r>
              <w:rPr>
                <w:rFonts w:cs="Arial"/>
                <w:bCs/>
                <w:color w:val="000000"/>
                <w:sz w:val="18"/>
                <w:szCs w:val="18"/>
              </w:rPr>
              <w:t>AMC Standard (in DMSO, 1 mM)</w:t>
            </w:r>
          </w:p>
        </w:tc>
        <w:tc>
          <w:tcPr>
            <w:tcW w:w="1109" w:type="dxa"/>
            <w:vAlign w:val="center"/>
          </w:tcPr>
          <w:p w14:paraId="57C98127" w14:textId="2C1AB845" w:rsidR="00B02964" w:rsidRPr="002A066A" w:rsidRDefault="002C3E48"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 xml:space="preserve">100 </w:t>
            </w:r>
            <w:proofErr w:type="spellStart"/>
            <w:r w:rsidRPr="002C3E48">
              <w:rPr>
                <w:rFonts w:cs="Arial"/>
                <w:color w:val="000000"/>
                <w:sz w:val="18"/>
                <w:szCs w:val="18"/>
                <w:lang w:val="en-GB"/>
              </w:rPr>
              <w:t>μ</w:t>
            </w:r>
            <w:r>
              <w:rPr>
                <w:rFonts w:cs="Arial"/>
                <w:color w:val="000000"/>
                <w:sz w:val="18"/>
                <w:szCs w:val="18"/>
                <w:lang w:val="en-GB"/>
              </w:rPr>
              <w:t>L</w:t>
            </w:r>
            <w:proofErr w:type="spellEnd"/>
          </w:p>
        </w:tc>
        <w:tc>
          <w:tcPr>
            <w:tcW w:w="1440" w:type="dxa"/>
            <w:vAlign w:val="center"/>
          </w:tcPr>
          <w:p w14:paraId="686C9500" w14:textId="5C2571F6" w:rsidR="00B02964" w:rsidRPr="002A066A" w:rsidRDefault="00B02964"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Pr="00B02964">
              <w:rPr>
                <w:rFonts w:cs="Arial"/>
                <w:color w:val="000000"/>
                <w:sz w:val="18"/>
                <w:szCs w:val="18"/>
                <w:lang w:val="en-GB"/>
              </w:rPr>
              <w:t>°C</w:t>
            </w:r>
          </w:p>
        </w:tc>
        <w:tc>
          <w:tcPr>
            <w:tcW w:w="1440" w:type="dxa"/>
            <w:vAlign w:val="center"/>
          </w:tcPr>
          <w:p w14:paraId="289D070E" w14:textId="6AE160C3" w:rsidR="00B02964" w:rsidRPr="002A066A" w:rsidRDefault="008E78BF"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Pr="00B02964">
              <w:rPr>
                <w:rFonts w:cs="Arial"/>
                <w:color w:val="000000"/>
                <w:sz w:val="18"/>
                <w:szCs w:val="18"/>
                <w:lang w:val="en-GB"/>
              </w:rPr>
              <w:t>°C</w:t>
            </w:r>
          </w:p>
        </w:tc>
      </w:tr>
      <w:tr w:rsidR="00B02964" w:rsidRPr="002A066A" w14:paraId="1D79EE06" w14:textId="77777777" w:rsidTr="004F5B1C">
        <w:trPr>
          <w:trHeight w:val="306"/>
          <w:jc w:val="center"/>
        </w:trPr>
        <w:tc>
          <w:tcPr>
            <w:tcW w:w="3118" w:type="dxa"/>
            <w:vAlign w:val="center"/>
          </w:tcPr>
          <w:p w14:paraId="32DF906B" w14:textId="690AE92D" w:rsidR="00B02964" w:rsidRPr="002A066A" w:rsidRDefault="00B02964" w:rsidP="00B47D3A">
            <w:pPr>
              <w:autoSpaceDE w:val="0"/>
              <w:autoSpaceDN w:val="0"/>
              <w:adjustRightInd w:val="0"/>
              <w:spacing w:before="60" w:after="60"/>
              <w:rPr>
                <w:rFonts w:cs="Arial"/>
                <w:bCs/>
                <w:color w:val="000000"/>
                <w:sz w:val="18"/>
                <w:szCs w:val="18"/>
              </w:rPr>
            </w:pPr>
            <w:r w:rsidRPr="00B02964">
              <w:rPr>
                <w:rFonts w:cs="Arial"/>
                <w:bCs/>
                <w:color w:val="000000"/>
                <w:sz w:val="18"/>
                <w:szCs w:val="18"/>
              </w:rPr>
              <w:t>CβS Positive Control</w:t>
            </w:r>
          </w:p>
        </w:tc>
        <w:tc>
          <w:tcPr>
            <w:tcW w:w="1109" w:type="dxa"/>
            <w:vAlign w:val="center"/>
          </w:tcPr>
          <w:p w14:paraId="45B43482" w14:textId="4CE8E5A7" w:rsidR="00B02964" w:rsidRPr="002A066A" w:rsidRDefault="002C3E48"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 xml:space="preserve">50 </w:t>
            </w:r>
            <w:proofErr w:type="spellStart"/>
            <w:r w:rsidRPr="002C3E48">
              <w:rPr>
                <w:rFonts w:cs="Arial"/>
                <w:color w:val="000000"/>
                <w:sz w:val="18"/>
                <w:szCs w:val="18"/>
                <w:lang w:val="en-GB"/>
              </w:rPr>
              <w:t>μ</w:t>
            </w:r>
            <w:r>
              <w:rPr>
                <w:rFonts w:cs="Arial"/>
                <w:color w:val="000000"/>
                <w:sz w:val="18"/>
                <w:szCs w:val="18"/>
                <w:lang w:val="en-GB"/>
              </w:rPr>
              <w:t>L</w:t>
            </w:r>
            <w:proofErr w:type="spellEnd"/>
          </w:p>
        </w:tc>
        <w:tc>
          <w:tcPr>
            <w:tcW w:w="1440" w:type="dxa"/>
            <w:vAlign w:val="center"/>
          </w:tcPr>
          <w:p w14:paraId="2D4F3EB0" w14:textId="269ADE48" w:rsidR="00B02964" w:rsidRPr="002A066A" w:rsidRDefault="008E78BF"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-8</w:t>
            </w:r>
            <w:r w:rsidR="00B02964">
              <w:rPr>
                <w:rFonts w:cs="Arial"/>
                <w:color w:val="000000"/>
                <w:sz w:val="18"/>
                <w:szCs w:val="18"/>
                <w:lang w:val="en-GB"/>
              </w:rPr>
              <w:t>0</w:t>
            </w:r>
            <w:r w:rsidR="00B02964" w:rsidRPr="00B02964">
              <w:rPr>
                <w:rFonts w:cs="Arial"/>
                <w:color w:val="000000"/>
                <w:sz w:val="18"/>
                <w:szCs w:val="18"/>
                <w:lang w:val="en-GB"/>
              </w:rPr>
              <w:t>°C</w:t>
            </w:r>
          </w:p>
        </w:tc>
        <w:tc>
          <w:tcPr>
            <w:tcW w:w="1440" w:type="dxa"/>
            <w:vAlign w:val="center"/>
          </w:tcPr>
          <w:p w14:paraId="5424A926" w14:textId="02437DD8" w:rsidR="00B02964" w:rsidRPr="002A066A" w:rsidRDefault="008E78BF"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-80</w:t>
            </w:r>
            <w:r w:rsidRPr="00B02964">
              <w:rPr>
                <w:rFonts w:cs="Arial"/>
                <w:color w:val="000000"/>
                <w:sz w:val="18"/>
                <w:szCs w:val="18"/>
                <w:lang w:val="en-GB"/>
              </w:rPr>
              <w:t>°C</w:t>
            </w:r>
          </w:p>
        </w:tc>
      </w:tr>
    </w:tbl>
    <w:p w14:paraId="2C371093" w14:textId="77777777" w:rsidR="001C766D" w:rsidRPr="002A066A" w:rsidRDefault="001C766D" w:rsidP="001B583F">
      <w:pPr>
        <w:pStyle w:val="1AbcamStandardtext"/>
        <w:rPr>
          <w:b/>
        </w:rPr>
      </w:pPr>
      <w:r w:rsidRPr="002A066A">
        <w:rPr>
          <w:b/>
        </w:rPr>
        <w:br w:type="page"/>
      </w:r>
    </w:p>
    <w:p w14:paraId="5783967E" w14:textId="77777777" w:rsidR="000E4FA8" w:rsidRPr="002A066A" w:rsidRDefault="000E4FA8" w:rsidP="001E2DD7">
      <w:pPr>
        <w:pStyle w:val="1Abcamheading"/>
      </w:pPr>
      <w:bookmarkStart w:id="9" w:name="_Toc446403817"/>
      <w:bookmarkStart w:id="10" w:name="_Toc531249491"/>
      <w:r w:rsidRPr="002A066A">
        <w:lastRenderedPageBreak/>
        <w:t xml:space="preserve">Materials </w:t>
      </w:r>
      <w:r w:rsidR="00174FD5" w:rsidRPr="002A066A">
        <w:t>R</w:t>
      </w:r>
      <w:r w:rsidRPr="002A066A">
        <w:t xml:space="preserve">equired, </w:t>
      </w:r>
      <w:r w:rsidR="00174FD5" w:rsidRPr="002A066A">
        <w:t>N</w:t>
      </w:r>
      <w:r w:rsidRPr="002A066A">
        <w:t xml:space="preserve">ot </w:t>
      </w:r>
      <w:r w:rsidR="00174FD5" w:rsidRPr="002A066A">
        <w:t>S</w:t>
      </w:r>
      <w:r w:rsidRPr="002A066A">
        <w:t>upplied</w:t>
      </w:r>
      <w:bookmarkEnd w:id="9"/>
      <w:bookmarkEnd w:id="10"/>
    </w:p>
    <w:p w14:paraId="6E31375D" w14:textId="77777777" w:rsidR="000E4FA8" w:rsidRPr="002A066A" w:rsidRDefault="000E4FA8" w:rsidP="00E351A1">
      <w:pPr>
        <w:pStyle w:val="Standard"/>
        <w:spacing w:line="240" w:lineRule="auto"/>
        <w:jc w:val="left"/>
        <w:rPr>
          <w:rFonts w:ascii="Century Gothic" w:hAnsi="Century Gothic" w:cstheme="minorBidi"/>
          <w:color w:val="auto"/>
          <w:szCs w:val="24"/>
          <w:lang w:val="en-US"/>
        </w:rPr>
      </w:pPr>
      <w:r w:rsidRPr="002A066A">
        <w:rPr>
          <w:rFonts w:ascii="Century Gothic" w:hAnsi="Century Gothic" w:cstheme="minorBidi"/>
          <w:color w:val="auto"/>
          <w:szCs w:val="24"/>
          <w:lang w:val="en-US"/>
        </w:rPr>
        <w:t>These materials are not included in the kit, but will be required to successfully perform this assay:</w:t>
      </w:r>
    </w:p>
    <w:p w14:paraId="44F0FFDF" w14:textId="77777777" w:rsidR="00A3319A" w:rsidRPr="00A3319A" w:rsidRDefault="00C82B34" w:rsidP="00A3319A">
      <w:pPr>
        <w:pStyle w:val="ListParagraph"/>
        <w:numPr>
          <w:ilvl w:val="0"/>
          <w:numId w:val="7"/>
        </w:numPr>
        <w:spacing w:before="60" w:after="60"/>
        <w:ind w:left="357" w:hanging="357"/>
        <w:contextualSpacing w:val="0"/>
      </w:pPr>
      <w:r>
        <w:rPr>
          <w:szCs w:val="20"/>
        </w:rPr>
        <w:t xml:space="preserve"> </w:t>
      </w:r>
      <w:r w:rsidR="00A3319A" w:rsidRPr="00A3319A">
        <w:rPr>
          <w:szCs w:val="20"/>
        </w:rPr>
        <w:t>Cell line for testing: cells with high levels of endogenous CβS or heterologous cells sta</w:t>
      </w:r>
      <w:r w:rsidR="00A3319A">
        <w:rPr>
          <w:szCs w:val="20"/>
        </w:rPr>
        <w:t>bly transfected with human CβS.</w:t>
      </w:r>
    </w:p>
    <w:p w14:paraId="2EDABEA8" w14:textId="77777777" w:rsidR="00A3319A" w:rsidRDefault="00A3319A" w:rsidP="00A3319A">
      <w:pPr>
        <w:pStyle w:val="ListParagraph"/>
        <w:numPr>
          <w:ilvl w:val="0"/>
          <w:numId w:val="7"/>
        </w:numPr>
        <w:spacing w:before="60" w:after="60"/>
        <w:ind w:left="357" w:hanging="357"/>
        <w:contextualSpacing w:val="0"/>
      </w:pPr>
      <w:r w:rsidRPr="00A3319A">
        <w:rPr>
          <w:szCs w:val="20"/>
        </w:rPr>
        <w:t xml:space="preserve">Appropriate cell culture medium and 5% CO2 cell culture incubator. </w:t>
      </w:r>
    </w:p>
    <w:p w14:paraId="316A8CAC" w14:textId="4C3E8CC9" w:rsidR="00A3319A" w:rsidRDefault="00A3319A" w:rsidP="00A3319A">
      <w:pPr>
        <w:pStyle w:val="ListParagraph"/>
        <w:numPr>
          <w:ilvl w:val="0"/>
          <w:numId w:val="7"/>
        </w:numPr>
        <w:spacing w:before="60" w:after="60"/>
        <w:ind w:left="357" w:hanging="357"/>
        <w:contextualSpacing w:val="0"/>
      </w:pPr>
      <w:r w:rsidRPr="00A3319A">
        <w:rPr>
          <w:szCs w:val="20"/>
        </w:rPr>
        <w:t>Multi-well</w:t>
      </w:r>
      <w:r w:rsidR="00D57A57">
        <w:rPr>
          <w:szCs w:val="20"/>
        </w:rPr>
        <w:t xml:space="preserve"> fluorescence microplate reader </w:t>
      </w:r>
      <w:r w:rsidR="00841E53">
        <w:rPr>
          <w:szCs w:val="20"/>
        </w:rPr>
        <w:t>capable</w:t>
      </w:r>
      <w:r w:rsidR="00D57A57">
        <w:rPr>
          <w:szCs w:val="20"/>
        </w:rPr>
        <w:t xml:space="preserve"> of reading at Ex/</w:t>
      </w:r>
      <w:proofErr w:type="spellStart"/>
      <w:r w:rsidR="00D57A57">
        <w:rPr>
          <w:szCs w:val="20"/>
        </w:rPr>
        <w:t>Em</w:t>
      </w:r>
      <w:proofErr w:type="spellEnd"/>
      <w:r w:rsidR="00D57A57">
        <w:rPr>
          <w:szCs w:val="20"/>
        </w:rPr>
        <w:t xml:space="preserve"> = 368/460 nm.</w:t>
      </w:r>
      <w:r w:rsidRPr="00A3319A">
        <w:rPr>
          <w:szCs w:val="20"/>
        </w:rPr>
        <w:t xml:space="preserve"> </w:t>
      </w:r>
    </w:p>
    <w:p w14:paraId="6B9D890B" w14:textId="1346E32A" w:rsidR="00A3319A" w:rsidRPr="000E37C1" w:rsidRDefault="00A3319A" w:rsidP="00A3319A">
      <w:pPr>
        <w:pStyle w:val="ListParagraph"/>
        <w:numPr>
          <w:ilvl w:val="0"/>
          <w:numId w:val="7"/>
        </w:numPr>
        <w:spacing w:before="60" w:after="60"/>
        <w:ind w:left="357" w:hanging="357"/>
        <w:contextualSpacing w:val="0"/>
      </w:pPr>
      <w:r w:rsidRPr="00A3319A">
        <w:rPr>
          <w:szCs w:val="20"/>
        </w:rPr>
        <w:t>96-well white plates with flat bottom.</w:t>
      </w:r>
    </w:p>
    <w:p w14:paraId="21858266" w14:textId="32AE2BDE" w:rsidR="000E37C1" w:rsidRPr="00E30794" w:rsidRDefault="000E37C1" w:rsidP="00A3319A">
      <w:pPr>
        <w:pStyle w:val="ListParagraph"/>
        <w:numPr>
          <w:ilvl w:val="0"/>
          <w:numId w:val="7"/>
        </w:numPr>
        <w:spacing w:before="60" w:after="60"/>
        <w:ind w:left="357" w:hanging="357"/>
        <w:contextualSpacing w:val="0"/>
      </w:pPr>
      <w:r>
        <w:rPr>
          <w:szCs w:val="20"/>
        </w:rPr>
        <w:t>Dounce homogenizer.</w:t>
      </w:r>
    </w:p>
    <w:p w14:paraId="5ED5AFED" w14:textId="6175E257" w:rsidR="00E30794" w:rsidRPr="00A3319A" w:rsidRDefault="00E30794" w:rsidP="00A3319A">
      <w:pPr>
        <w:pStyle w:val="ListParagraph"/>
        <w:numPr>
          <w:ilvl w:val="0"/>
          <w:numId w:val="7"/>
        </w:numPr>
        <w:spacing w:before="60" w:after="60"/>
        <w:ind w:left="357" w:hanging="357"/>
        <w:contextualSpacing w:val="0"/>
      </w:pPr>
      <w:bookmarkStart w:id="11" w:name="_Hlk529372732"/>
      <w:r>
        <w:t>W</w:t>
      </w:r>
      <w:r w:rsidRPr="00A3319A">
        <w:t>e recommend Protease Inhibitor Cocktail II (ab201116) [AEBSF, aprotinin, E-64, EDTA, leupeptin] as general use cocktail.</w:t>
      </w:r>
    </w:p>
    <w:bookmarkEnd w:id="11"/>
    <w:p w14:paraId="1B570986" w14:textId="77777777" w:rsidR="00A3319A" w:rsidRPr="00A3319A" w:rsidRDefault="00A3319A" w:rsidP="00A3319A">
      <w:pPr>
        <w:pStyle w:val="ListParagraph"/>
        <w:spacing w:before="60" w:after="60"/>
        <w:ind w:left="357"/>
        <w:contextualSpacing w:val="0"/>
      </w:pPr>
    </w:p>
    <w:p w14:paraId="3BB4CD22" w14:textId="0279070A" w:rsidR="00BD0364" w:rsidRPr="00A3319A" w:rsidRDefault="00E30794" w:rsidP="00E30794">
      <w:pPr>
        <w:pStyle w:val="ListParagraph"/>
        <w:spacing w:before="60" w:after="60"/>
        <w:ind w:left="357"/>
        <w:contextualSpacing w:val="0"/>
      </w:pPr>
      <w:r>
        <w:br/>
      </w:r>
    </w:p>
    <w:p w14:paraId="222E783B" w14:textId="77777777" w:rsidR="006664D9" w:rsidRPr="002A066A" w:rsidRDefault="000E4FA8" w:rsidP="006664D9">
      <w:pPr>
        <w:spacing w:before="60" w:after="60"/>
      </w:pPr>
      <w:r w:rsidRPr="002A066A">
        <w:br w:type="page"/>
      </w:r>
    </w:p>
    <w:p w14:paraId="6BC731F8" w14:textId="77777777" w:rsidR="006664D9" w:rsidRDefault="006664D9" w:rsidP="006B2A3A">
      <w:pPr>
        <w:pStyle w:val="1Abcamheading"/>
      </w:pPr>
      <w:bookmarkStart w:id="12" w:name="_Toc531249492"/>
      <w:r>
        <w:lastRenderedPageBreak/>
        <w:t>General guidelines, precautions, and troubleshooting</w:t>
      </w:r>
      <w:bookmarkEnd w:id="12"/>
    </w:p>
    <w:p w14:paraId="53D4DC52" w14:textId="77777777" w:rsidR="006664D9" w:rsidRDefault="006664D9" w:rsidP="006664D9">
      <w:pPr>
        <w:pStyle w:val="1AbcamStandardtext"/>
      </w:pPr>
      <w:r>
        <w:t>Please observe safe laboratory practice and consult the safety datasheet.</w:t>
      </w:r>
    </w:p>
    <w:p w14:paraId="28151EEA" w14:textId="77777777" w:rsidR="006664D9" w:rsidRDefault="006664D9" w:rsidP="006664D9">
      <w:pPr>
        <w:pStyle w:val="1AbcamStandardtext"/>
      </w:pPr>
      <w:r>
        <w:t xml:space="preserve">For general guidelines, precautions, limitations on the use of our assay kits and general assay troubleshooting tips, particularly for first time users, please consult our guide: </w:t>
      </w:r>
      <w:hyperlink r:id="rId10" w:history="1">
        <w:r w:rsidRPr="00F01D56">
          <w:rPr>
            <w:rStyle w:val="Hyperlink"/>
          </w:rPr>
          <w:t>www.abcam.com/assaykitguidelines</w:t>
        </w:r>
      </w:hyperlink>
    </w:p>
    <w:p w14:paraId="4D4FCAC7" w14:textId="77777777" w:rsidR="00645B4B" w:rsidRDefault="00697363" w:rsidP="006B2A3A">
      <w:pPr>
        <w:pStyle w:val="1AbcamBulletpoints"/>
      </w:pPr>
      <w:r>
        <w:t>For typical data produced using the assay, please see the assay</w:t>
      </w:r>
      <w:r w:rsidR="001402DA">
        <w:t xml:space="preserve"> kit </w:t>
      </w:r>
      <w:r>
        <w:t xml:space="preserve"> datasheet on our website.</w:t>
      </w:r>
      <w:r w:rsidR="00645B4B">
        <w:br/>
      </w:r>
    </w:p>
    <w:p w14:paraId="214F3B1C" w14:textId="77777777" w:rsidR="00645B4B" w:rsidRDefault="00645B4B">
      <w:pPr>
        <w:spacing w:before="0" w:after="0"/>
        <w:rPr>
          <w:rFonts w:eastAsiaTheme="minorHAnsi" w:cstheme="minorBidi"/>
          <w:color w:val="000000"/>
          <w:szCs w:val="20"/>
        </w:rPr>
      </w:pPr>
      <w:r>
        <w:br w:type="page"/>
      </w:r>
    </w:p>
    <w:p w14:paraId="779B7769" w14:textId="77777777" w:rsidR="000E4FA8" w:rsidRPr="002A066A" w:rsidRDefault="000E4FA8" w:rsidP="001E2DD7">
      <w:pPr>
        <w:pStyle w:val="1Abcamheading"/>
      </w:pPr>
      <w:bookmarkStart w:id="13" w:name="_Toc446403819"/>
      <w:bookmarkStart w:id="14" w:name="_Toc531249493"/>
      <w:r w:rsidRPr="002A066A">
        <w:lastRenderedPageBreak/>
        <w:t>R</w:t>
      </w:r>
      <w:r w:rsidR="00174FD5" w:rsidRPr="002A066A">
        <w:t>eagent P</w:t>
      </w:r>
      <w:r w:rsidRPr="002A066A">
        <w:t>reparation</w:t>
      </w:r>
      <w:bookmarkEnd w:id="13"/>
      <w:bookmarkEnd w:id="14"/>
    </w:p>
    <w:p w14:paraId="2240F9F9" w14:textId="4C71F250" w:rsidR="000E4FA8" w:rsidRPr="00D6186F" w:rsidRDefault="000E4FA8" w:rsidP="008A2F6E">
      <w:pPr>
        <w:pStyle w:val="1AbcamStandardtext"/>
      </w:pPr>
      <w:r w:rsidRPr="00D6186F">
        <w:t>Briefly centrifuge small vials at low speed prior to opening</w:t>
      </w:r>
      <w:r w:rsidR="002A6C5E" w:rsidRPr="00D6186F">
        <w:t>.</w:t>
      </w:r>
      <w:r w:rsidR="00D6186F" w:rsidRPr="00D6186F">
        <w:t xml:space="preserve"> </w:t>
      </w:r>
    </w:p>
    <w:p w14:paraId="31C27EA1" w14:textId="77777777" w:rsidR="006B6677" w:rsidRPr="00D6186F" w:rsidRDefault="006B6677" w:rsidP="00A40EA9">
      <w:pPr>
        <w:spacing w:before="60" w:after="60"/>
        <w:ind w:left="567"/>
      </w:pPr>
    </w:p>
    <w:p w14:paraId="0D80B0AC" w14:textId="4367BFA3" w:rsidR="006B6677" w:rsidRDefault="00D6186F" w:rsidP="006B6677">
      <w:pPr>
        <w:pStyle w:val="11Abcambold"/>
      </w:pPr>
      <w:r w:rsidRPr="00D6186F">
        <w:t>CβS Assay Buffer</w:t>
      </w:r>
    </w:p>
    <w:p w14:paraId="73E122DC" w14:textId="10EF6DA5" w:rsidR="006B6677" w:rsidRPr="00F0105D" w:rsidRDefault="00F0105D" w:rsidP="00F0105D">
      <w:pPr>
        <w:pStyle w:val="11Abcambold"/>
        <w:numPr>
          <w:ilvl w:val="0"/>
          <w:numId w:val="0"/>
        </w:numPr>
        <w:ind w:left="567"/>
        <w:rPr>
          <w:b w:val="0"/>
        </w:rPr>
      </w:pPr>
      <w:r>
        <w:rPr>
          <w:b w:val="0"/>
        </w:rPr>
        <w:t xml:space="preserve">Ready to use as supplied. </w:t>
      </w:r>
      <w:r w:rsidRPr="00F0105D">
        <w:rPr>
          <w:b w:val="0"/>
        </w:rPr>
        <w:t>Equilibrate to room temperature before running the assay. Store at 4°C.</w:t>
      </w:r>
    </w:p>
    <w:p w14:paraId="3F9D3D7D" w14:textId="253F30A1" w:rsidR="00F0105D" w:rsidRDefault="00F0105D" w:rsidP="006B6677">
      <w:pPr>
        <w:pStyle w:val="11Abcambold"/>
      </w:pPr>
      <w:r w:rsidRPr="00F0105D">
        <w:t>CβS Probe (in DMSO)</w:t>
      </w:r>
    </w:p>
    <w:p w14:paraId="0439459E" w14:textId="1A9524AD" w:rsidR="00F0105D" w:rsidRPr="00F0105D" w:rsidRDefault="00F0105D" w:rsidP="00F0105D">
      <w:pPr>
        <w:pStyle w:val="11Abcambold"/>
        <w:numPr>
          <w:ilvl w:val="0"/>
          <w:numId w:val="0"/>
        </w:numPr>
        <w:ind w:left="567"/>
        <w:rPr>
          <w:b w:val="0"/>
        </w:rPr>
      </w:pPr>
      <w:bookmarkStart w:id="15" w:name="_Hlk529368506"/>
      <w:r>
        <w:rPr>
          <w:b w:val="0"/>
        </w:rPr>
        <w:t xml:space="preserve">Ready to use as supplied. </w:t>
      </w:r>
      <w:r w:rsidRPr="00F0105D">
        <w:rPr>
          <w:b w:val="0"/>
        </w:rPr>
        <w:t>Light sensitive. Aliquot and store at -20°C. Allow reagents to equilibrate to room temperature before use.</w:t>
      </w:r>
    </w:p>
    <w:bookmarkEnd w:id="15"/>
    <w:p w14:paraId="12632E1B" w14:textId="264B6DD0" w:rsidR="00F0105D" w:rsidRDefault="00F0105D" w:rsidP="006B6677">
      <w:pPr>
        <w:pStyle w:val="11Abcambold"/>
      </w:pPr>
      <w:r>
        <w:t>CβS Substrate</w:t>
      </w:r>
    </w:p>
    <w:p w14:paraId="36C08D52" w14:textId="098C56EB" w:rsidR="00F0105D" w:rsidRPr="00F0105D" w:rsidRDefault="00F0105D" w:rsidP="00F0105D">
      <w:pPr>
        <w:pStyle w:val="11Abcambold"/>
        <w:numPr>
          <w:ilvl w:val="0"/>
          <w:numId w:val="0"/>
        </w:numPr>
        <w:ind w:left="567"/>
        <w:rPr>
          <w:b w:val="0"/>
        </w:rPr>
      </w:pPr>
      <w:r w:rsidRPr="00F0105D">
        <w:rPr>
          <w:b w:val="0"/>
        </w:rPr>
        <w:t>Ready to use as supplied. Light sensitive. Aliquot and store at -20°C. Allow reagents to equilibrate to room temperature before use.</w:t>
      </w:r>
    </w:p>
    <w:p w14:paraId="41F1651A" w14:textId="4815957B" w:rsidR="00F0105D" w:rsidRDefault="00F0105D" w:rsidP="006B6677">
      <w:pPr>
        <w:pStyle w:val="11Abcambold"/>
      </w:pPr>
      <w:r>
        <w:t>Cofactor 1</w:t>
      </w:r>
    </w:p>
    <w:p w14:paraId="7F1457FC" w14:textId="6F78B8AD" w:rsidR="00F0105D" w:rsidRPr="00F0105D" w:rsidRDefault="00F0105D" w:rsidP="00F0105D">
      <w:pPr>
        <w:pStyle w:val="11Abcambold"/>
        <w:numPr>
          <w:ilvl w:val="0"/>
          <w:numId w:val="0"/>
        </w:numPr>
        <w:ind w:left="567"/>
        <w:rPr>
          <w:b w:val="0"/>
        </w:rPr>
      </w:pPr>
      <w:r w:rsidRPr="00F0105D">
        <w:rPr>
          <w:b w:val="0"/>
        </w:rPr>
        <w:t>Ready to use as supplied. Aliquot and store at -20°C, stable for at least 4 freeze/thaw cycles.</w:t>
      </w:r>
    </w:p>
    <w:p w14:paraId="32526497" w14:textId="6A76E016" w:rsidR="00F0105D" w:rsidRDefault="00F0105D" w:rsidP="006B6677">
      <w:pPr>
        <w:pStyle w:val="11Abcambold"/>
      </w:pPr>
      <w:r>
        <w:t>Cofactor 2</w:t>
      </w:r>
    </w:p>
    <w:p w14:paraId="6D7F96EA" w14:textId="70257E44" w:rsidR="00F0105D" w:rsidRPr="00F0105D" w:rsidRDefault="00F0105D" w:rsidP="00F0105D">
      <w:pPr>
        <w:pStyle w:val="11Abcambold"/>
        <w:numPr>
          <w:ilvl w:val="0"/>
          <w:numId w:val="0"/>
        </w:numPr>
        <w:ind w:left="567"/>
        <w:rPr>
          <w:b w:val="0"/>
        </w:rPr>
      </w:pPr>
      <w:r w:rsidRPr="00F0105D">
        <w:rPr>
          <w:b w:val="0"/>
        </w:rPr>
        <w:t>Ready to use as supplied. Aliquot and store at -20°C, stable for at least 4 freeze/thaw cycles.</w:t>
      </w:r>
    </w:p>
    <w:p w14:paraId="4A12D7C7" w14:textId="4FB02DFE" w:rsidR="00F0105D" w:rsidRDefault="008E78BF" w:rsidP="006B6677">
      <w:pPr>
        <w:pStyle w:val="11Abcambold"/>
      </w:pPr>
      <w:r>
        <w:t>Reducing Agent (20X)</w:t>
      </w:r>
    </w:p>
    <w:p w14:paraId="34E136C0" w14:textId="2F45EBEC" w:rsidR="008E78BF" w:rsidRPr="008E78BF" w:rsidRDefault="008E78BF" w:rsidP="008E78BF">
      <w:pPr>
        <w:pStyle w:val="11Abcambold"/>
        <w:numPr>
          <w:ilvl w:val="0"/>
          <w:numId w:val="0"/>
        </w:numPr>
        <w:ind w:left="567"/>
        <w:rPr>
          <w:b w:val="0"/>
        </w:rPr>
      </w:pPr>
      <w:r w:rsidRPr="008E78BF">
        <w:rPr>
          <w:b w:val="0"/>
        </w:rPr>
        <w:t>Reconstitute with 250 µl CβS Assay Buffer. Store at 4°C. Keep on ice during use. Stable for 4 freeze/thaw cycles.</w:t>
      </w:r>
    </w:p>
    <w:p w14:paraId="2DCF2C7C" w14:textId="43A55ECD" w:rsidR="00F0105D" w:rsidRDefault="008E78BF" w:rsidP="006B6677">
      <w:pPr>
        <w:pStyle w:val="11Abcambold"/>
      </w:pPr>
      <w:r>
        <w:t>AMC Standard (in DMSO)</w:t>
      </w:r>
    </w:p>
    <w:p w14:paraId="3A32B5FD" w14:textId="3BCAAB5B" w:rsidR="008E78BF" w:rsidRPr="008E78BF" w:rsidRDefault="008E78BF" w:rsidP="008E78BF">
      <w:pPr>
        <w:pStyle w:val="11Abcambold"/>
        <w:numPr>
          <w:ilvl w:val="0"/>
          <w:numId w:val="0"/>
        </w:numPr>
        <w:ind w:left="567"/>
        <w:rPr>
          <w:b w:val="0"/>
        </w:rPr>
      </w:pPr>
      <w:r>
        <w:rPr>
          <w:b w:val="0"/>
        </w:rPr>
        <w:t>Ready to use as supplied.</w:t>
      </w:r>
      <w:r w:rsidRPr="008E78BF">
        <w:rPr>
          <w:b w:val="0"/>
        </w:rPr>
        <w:t xml:space="preserve"> Store at -20°C. Use within two months.</w:t>
      </w:r>
    </w:p>
    <w:p w14:paraId="7962EFE8" w14:textId="687FC9C5" w:rsidR="006B6677" w:rsidRDefault="008E78BF" w:rsidP="008E78BF">
      <w:pPr>
        <w:pStyle w:val="11Abcambold"/>
      </w:pPr>
      <w:r>
        <w:t>CβS Positive Control</w:t>
      </w:r>
    </w:p>
    <w:p w14:paraId="096C6E3A" w14:textId="7CE5529F" w:rsidR="008E78BF" w:rsidRPr="008E78BF" w:rsidRDefault="008E78BF" w:rsidP="008E78BF">
      <w:pPr>
        <w:pStyle w:val="11Abcambold"/>
        <w:numPr>
          <w:ilvl w:val="0"/>
          <w:numId w:val="0"/>
        </w:numPr>
        <w:ind w:left="567"/>
        <w:rPr>
          <w:b w:val="0"/>
        </w:rPr>
      </w:pPr>
      <w:r>
        <w:rPr>
          <w:b w:val="0"/>
        </w:rPr>
        <w:t xml:space="preserve">Ready to use as supplied. </w:t>
      </w:r>
      <w:r w:rsidRPr="008E78BF">
        <w:rPr>
          <w:b w:val="0"/>
        </w:rPr>
        <w:t>Aliquot and store at -80°C. Keep on ice while in use. Use within two months.</w:t>
      </w:r>
    </w:p>
    <w:p w14:paraId="639A8726" w14:textId="77777777" w:rsidR="006B6677" w:rsidRPr="00D6186F" w:rsidRDefault="006B6677" w:rsidP="00A40EA9">
      <w:pPr>
        <w:spacing w:before="60" w:after="60"/>
        <w:ind w:left="567"/>
      </w:pPr>
    </w:p>
    <w:p w14:paraId="3A3F9DFD" w14:textId="77777777" w:rsidR="00F47BCF" w:rsidRPr="00D6186F" w:rsidRDefault="00F47BCF">
      <w:pPr>
        <w:spacing w:before="0" w:after="0"/>
      </w:pPr>
    </w:p>
    <w:p w14:paraId="59092EB5" w14:textId="77777777" w:rsidR="00645B4B" w:rsidRDefault="00645B4B">
      <w:pPr>
        <w:spacing w:before="0" w:after="0"/>
      </w:pPr>
      <w:r>
        <w:br w:type="page"/>
      </w:r>
    </w:p>
    <w:p w14:paraId="5051C8B1" w14:textId="77777777" w:rsidR="000E4FA8" w:rsidRPr="002A066A" w:rsidRDefault="00174FD5" w:rsidP="001E2DD7">
      <w:pPr>
        <w:pStyle w:val="1Abcamheading"/>
      </w:pPr>
      <w:bookmarkStart w:id="16" w:name="_Toc446403820"/>
      <w:bookmarkStart w:id="17" w:name="_Toc531249494"/>
      <w:r w:rsidRPr="002A066A">
        <w:lastRenderedPageBreak/>
        <w:t>Standard P</w:t>
      </w:r>
      <w:r w:rsidR="000E4FA8" w:rsidRPr="002A066A">
        <w:t>reparation</w:t>
      </w:r>
      <w:bookmarkEnd w:id="16"/>
      <w:bookmarkEnd w:id="17"/>
    </w:p>
    <w:p w14:paraId="7D273496" w14:textId="77777777" w:rsidR="000E4FA8" w:rsidRPr="00F4310B" w:rsidRDefault="00826A4D" w:rsidP="00680476">
      <w:pPr>
        <w:pStyle w:val="ListParagraph"/>
        <w:numPr>
          <w:ilvl w:val="0"/>
          <w:numId w:val="8"/>
        </w:numPr>
        <w:spacing w:before="60" w:after="60"/>
        <w:ind w:left="357" w:hanging="357"/>
        <w:contextualSpacing w:val="0"/>
      </w:pPr>
      <w:r w:rsidRPr="00F4310B">
        <w:t>A</w:t>
      </w:r>
      <w:r w:rsidR="000E4FA8" w:rsidRPr="00F4310B">
        <w:t>lways prepare a fresh set of standards for every use.</w:t>
      </w:r>
    </w:p>
    <w:p w14:paraId="64195D7E" w14:textId="77777777" w:rsidR="00ED21B9" w:rsidRPr="00F4310B" w:rsidRDefault="000E4FA8" w:rsidP="00680476">
      <w:pPr>
        <w:pStyle w:val="ListParagraph"/>
        <w:numPr>
          <w:ilvl w:val="0"/>
          <w:numId w:val="8"/>
        </w:numPr>
        <w:spacing w:before="60" w:after="60" w:line="276" w:lineRule="auto"/>
        <w:ind w:left="357" w:hanging="357"/>
        <w:contextualSpacing w:val="0"/>
        <w:jc w:val="both"/>
      </w:pPr>
      <w:r w:rsidRPr="00F4310B">
        <w:t>Discard working standard dilutions after use as they do not store well.</w:t>
      </w:r>
    </w:p>
    <w:p w14:paraId="3C24A67B" w14:textId="77777777" w:rsidR="00147FFC" w:rsidRPr="0033728C" w:rsidRDefault="00147FFC" w:rsidP="001B583F">
      <w:pPr>
        <w:pStyle w:val="1AbcamStandardtext"/>
        <w:rPr>
          <w:highlight w:val="yellow"/>
        </w:rPr>
      </w:pPr>
    </w:p>
    <w:p w14:paraId="5E3A3FC7" w14:textId="4BF02961" w:rsidR="00E90927" w:rsidRDefault="00D24E34" w:rsidP="00CA2665">
      <w:pPr>
        <w:pStyle w:val="111Abcam"/>
        <w:numPr>
          <w:ilvl w:val="0"/>
          <w:numId w:val="18"/>
        </w:numPr>
      </w:pPr>
      <w:r>
        <w:t>Dilute 1 mM AMC</w:t>
      </w:r>
      <w:r w:rsidR="00765F82" w:rsidRPr="00765F82">
        <w:t xml:space="preserve"> Standard to 10 µM</w:t>
      </w:r>
      <w:r w:rsidR="00765F82">
        <w:t xml:space="preserve"> working concentration: Add 2 µL of 1 mM AMC Standard to 198 µL</w:t>
      </w:r>
      <w:r w:rsidR="00765F82" w:rsidRPr="00765F82">
        <w:t xml:space="preserve"> with dH</w:t>
      </w:r>
      <w:r w:rsidR="00765F82" w:rsidRPr="00765F82">
        <w:rPr>
          <w:vertAlign w:val="subscript"/>
        </w:rPr>
        <w:t>2</w:t>
      </w:r>
      <w:r w:rsidR="00765F82" w:rsidRPr="00765F82">
        <w:t>O. Mix well</w:t>
      </w:r>
      <w:r w:rsidR="00E90927">
        <w:t>.</w:t>
      </w:r>
    </w:p>
    <w:p w14:paraId="3ADE8BB9" w14:textId="494F74B8" w:rsidR="00B73032" w:rsidRDefault="00E90927" w:rsidP="00CA2665">
      <w:pPr>
        <w:pStyle w:val="111Abcam"/>
        <w:numPr>
          <w:ilvl w:val="0"/>
          <w:numId w:val="18"/>
        </w:numPr>
      </w:pPr>
      <w:r w:rsidRPr="00E90927">
        <w:t xml:space="preserve">Add 0, 5, 10, 15, </w:t>
      </w:r>
      <w:r>
        <w:t>20, 25 and 30 µL</w:t>
      </w:r>
      <w:r w:rsidRPr="00E90927">
        <w:t xml:space="preserve"> of the diluted 10 µM AMC Standard into a series of wells in a 96-well p</w:t>
      </w:r>
      <w:r>
        <w:t>late. Adjust the volume to 30 µL</w:t>
      </w:r>
      <w:r w:rsidRPr="00E90927">
        <w:t>/well with the dH</w:t>
      </w:r>
      <w:r w:rsidRPr="00E90927">
        <w:rPr>
          <w:vertAlign w:val="subscript"/>
        </w:rPr>
        <w:t>2</w:t>
      </w:r>
      <w:r w:rsidRPr="00E90927">
        <w:t>O.</w:t>
      </w:r>
    </w:p>
    <w:p w14:paraId="083D97E1" w14:textId="5BBBC412" w:rsidR="005D00C9" w:rsidRPr="00765F82" w:rsidRDefault="005D00C9" w:rsidP="00CA2665">
      <w:pPr>
        <w:pStyle w:val="111Abcam"/>
        <w:numPr>
          <w:ilvl w:val="0"/>
          <w:numId w:val="18"/>
        </w:numPr>
      </w:pPr>
      <w:r>
        <w:t>Add 170 µL</w:t>
      </w:r>
      <w:r w:rsidRPr="005D00C9">
        <w:t xml:space="preserve"> of Standard Reaction </w:t>
      </w:r>
      <w:r w:rsidRPr="00B36E54">
        <w:t>Mix (</w:t>
      </w:r>
      <w:r w:rsidR="00B36E54" w:rsidRPr="00B36E54">
        <w:t>SC, see Step 8.2</w:t>
      </w:r>
      <w:r w:rsidRPr="00B36E54">
        <w:t>) to</w:t>
      </w:r>
      <w:r w:rsidRPr="005D00C9">
        <w:t xml:space="preserve"> each well to generate 0, 50, 100, 150, 200, 250, and 300 </w:t>
      </w:r>
      <w:proofErr w:type="spellStart"/>
      <w:r w:rsidRPr="005D00C9">
        <w:t>pmol</w:t>
      </w:r>
      <w:proofErr w:type="spellEnd"/>
      <w:r w:rsidRPr="005D00C9">
        <w:t>/well of AMC Standard.</w:t>
      </w:r>
    </w:p>
    <w:p w14:paraId="30D22811" w14:textId="40EAF653" w:rsidR="00855612" w:rsidRPr="00765F82" w:rsidRDefault="00855612" w:rsidP="00765F82">
      <w:pPr>
        <w:spacing w:before="60" w:after="60" w:line="276" w:lineRule="auto"/>
        <w:jc w:val="both"/>
        <w:rPr>
          <w:rFonts w:cs="Arial"/>
          <w:bCs/>
          <w:color w:val="000000"/>
          <w:szCs w:val="20"/>
          <w:highlight w:val="yellow"/>
          <w:lang w:val="en-GB"/>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110"/>
        <w:gridCol w:w="760"/>
        <w:gridCol w:w="1093"/>
        <w:gridCol w:w="1111"/>
        <w:gridCol w:w="1345"/>
      </w:tblGrid>
      <w:tr w:rsidR="005D00C9" w:rsidRPr="0033728C" w14:paraId="35E9CBA2" w14:textId="77777777" w:rsidTr="005D00C9">
        <w:trPr>
          <w:trHeight w:val="306"/>
          <w:jc w:val="center"/>
        </w:trPr>
        <w:tc>
          <w:tcPr>
            <w:tcW w:w="1213" w:type="dxa"/>
            <w:vAlign w:val="center"/>
          </w:tcPr>
          <w:p w14:paraId="0957D165" w14:textId="77777777" w:rsidR="005D00C9" w:rsidRPr="005D00C9" w:rsidRDefault="005D00C9" w:rsidP="00855612">
            <w:pPr>
              <w:spacing w:before="60" w:after="60"/>
              <w:jc w:val="center"/>
              <w:rPr>
                <w:b/>
              </w:rPr>
            </w:pPr>
            <w:r w:rsidRPr="005D00C9">
              <w:rPr>
                <w:b/>
              </w:rPr>
              <w:t>Standard#</w:t>
            </w:r>
          </w:p>
        </w:tc>
        <w:tc>
          <w:tcPr>
            <w:tcW w:w="1169" w:type="dxa"/>
            <w:vAlign w:val="center"/>
          </w:tcPr>
          <w:p w14:paraId="0908D288" w14:textId="7EF07168" w:rsidR="005D00C9" w:rsidRPr="005D00C9" w:rsidRDefault="005D00C9" w:rsidP="00855612">
            <w:pPr>
              <w:spacing w:before="60" w:after="60"/>
              <w:jc w:val="center"/>
              <w:rPr>
                <w:b/>
              </w:rPr>
            </w:pPr>
            <w:r>
              <w:rPr>
                <w:b/>
              </w:rPr>
              <w:t xml:space="preserve">10 </w:t>
            </w:r>
            <w:r w:rsidRPr="005D00C9">
              <w:rPr>
                <w:b/>
              </w:rPr>
              <w:t>µ</w:t>
            </w:r>
            <w:r>
              <w:rPr>
                <w:b/>
              </w:rPr>
              <w:t xml:space="preserve">M </w:t>
            </w:r>
            <w:r w:rsidR="00D24E34">
              <w:rPr>
                <w:b/>
              </w:rPr>
              <w:t>AMC</w:t>
            </w:r>
          </w:p>
          <w:p w14:paraId="32815FC8" w14:textId="77777777" w:rsidR="005D00C9" w:rsidRPr="005D00C9" w:rsidRDefault="005D00C9" w:rsidP="00855612">
            <w:pPr>
              <w:spacing w:before="60" w:after="60"/>
              <w:jc w:val="center"/>
              <w:rPr>
                <w:b/>
              </w:rPr>
            </w:pPr>
            <w:r w:rsidRPr="005D00C9">
              <w:rPr>
                <w:b/>
              </w:rPr>
              <w:t>Standard (µL)</w:t>
            </w:r>
          </w:p>
        </w:tc>
        <w:tc>
          <w:tcPr>
            <w:tcW w:w="886" w:type="dxa"/>
            <w:vAlign w:val="center"/>
          </w:tcPr>
          <w:p w14:paraId="28445439" w14:textId="045D312C" w:rsidR="005D00C9" w:rsidRPr="005D00C9" w:rsidRDefault="005D00C9" w:rsidP="00855612">
            <w:pPr>
              <w:spacing w:before="60" w:after="60"/>
              <w:jc w:val="center"/>
              <w:rPr>
                <w:b/>
              </w:rPr>
            </w:pPr>
            <w:r>
              <w:rPr>
                <w:b/>
              </w:rPr>
              <w:t>dH</w:t>
            </w:r>
            <w:r>
              <w:rPr>
                <w:b/>
                <w:vertAlign w:val="subscript"/>
              </w:rPr>
              <w:t>2</w:t>
            </w:r>
            <w:r>
              <w:rPr>
                <w:b/>
              </w:rPr>
              <w:t>O</w:t>
            </w:r>
            <w:r w:rsidRPr="005D00C9">
              <w:rPr>
                <w:b/>
              </w:rPr>
              <w:t xml:space="preserve"> (µL)</w:t>
            </w:r>
          </w:p>
        </w:tc>
        <w:tc>
          <w:tcPr>
            <w:tcW w:w="768" w:type="dxa"/>
          </w:tcPr>
          <w:p w14:paraId="5C197450" w14:textId="77777777" w:rsidR="00D24E34" w:rsidRDefault="00D24E34" w:rsidP="00855612">
            <w:pPr>
              <w:spacing w:before="60" w:after="60"/>
              <w:jc w:val="center"/>
              <w:rPr>
                <w:b/>
              </w:rPr>
            </w:pPr>
          </w:p>
          <w:p w14:paraId="7F093B07" w14:textId="52C148FA" w:rsidR="005D00C9" w:rsidRPr="005D00C9" w:rsidRDefault="005D00C9" w:rsidP="00855612">
            <w:pPr>
              <w:spacing w:before="60" w:after="60"/>
              <w:jc w:val="center"/>
              <w:rPr>
                <w:b/>
              </w:rPr>
            </w:pPr>
            <w:r>
              <w:rPr>
                <w:b/>
              </w:rPr>
              <w:t xml:space="preserve">Standard Reaction Mix </w:t>
            </w:r>
            <w:r w:rsidRPr="005D00C9">
              <w:rPr>
                <w:b/>
              </w:rPr>
              <w:t>(µL)</w:t>
            </w:r>
          </w:p>
        </w:tc>
        <w:tc>
          <w:tcPr>
            <w:tcW w:w="1232" w:type="dxa"/>
            <w:vAlign w:val="center"/>
          </w:tcPr>
          <w:p w14:paraId="605FDD01" w14:textId="78E83369" w:rsidR="005D00C9" w:rsidRPr="005D00C9" w:rsidRDefault="005D00C9" w:rsidP="00855612">
            <w:pPr>
              <w:spacing w:before="60" w:after="60"/>
              <w:jc w:val="center"/>
              <w:rPr>
                <w:b/>
              </w:rPr>
            </w:pPr>
            <w:r w:rsidRPr="005D00C9">
              <w:rPr>
                <w:b/>
              </w:rPr>
              <w:t>Final volume standard in well (µL)</w:t>
            </w:r>
          </w:p>
        </w:tc>
        <w:tc>
          <w:tcPr>
            <w:tcW w:w="1364" w:type="dxa"/>
            <w:vAlign w:val="center"/>
          </w:tcPr>
          <w:p w14:paraId="58AE6872" w14:textId="12AB7400" w:rsidR="005D00C9" w:rsidRPr="005D00C9" w:rsidRDefault="00D24E34" w:rsidP="00855612">
            <w:pPr>
              <w:spacing w:before="60" w:after="60"/>
              <w:jc w:val="center"/>
              <w:rPr>
                <w:b/>
              </w:rPr>
            </w:pPr>
            <w:r>
              <w:rPr>
                <w:b/>
              </w:rPr>
              <w:t>AMC Standard</w:t>
            </w:r>
            <w:r w:rsidR="005D00C9" w:rsidRPr="005D00C9">
              <w:rPr>
                <w:b/>
              </w:rPr>
              <w:t xml:space="preserve"> in well (</w:t>
            </w:r>
            <w:proofErr w:type="spellStart"/>
            <w:r>
              <w:rPr>
                <w:b/>
              </w:rPr>
              <w:t>pmol</w:t>
            </w:r>
            <w:proofErr w:type="spellEnd"/>
            <w:r w:rsidR="005D00C9" w:rsidRPr="005D00C9">
              <w:rPr>
                <w:b/>
              </w:rPr>
              <w:t>/well)</w:t>
            </w:r>
          </w:p>
        </w:tc>
      </w:tr>
      <w:tr w:rsidR="005D00C9" w:rsidRPr="0033728C" w14:paraId="1B5BE79C" w14:textId="77777777" w:rsidTr="005D00C9">
        <w:trPr>
          <w:trHeight w:val="306"/>
          <w:jc w:val="center"/>
        </w:trPr>
        <w:tc>
          <w:tcPr>
            <w:tcW w:w="1213" w:type="dxa"/>
            <w:vAlign w:val="center"/>
          </w:tcPr>
          <w:p w14:paraId="6535E71B" w14:textId="77777777" w:rsidR="005D00C9" w:rsidRPr="005D00C9" w:rsidRDefault="005D00C9" w:rsidP="00855612">
            <w:pPr>
              <w:spacing w:before="60" w:after="60"/>
              <w:jc w:val="center"/>
              <w:rPr>
                <w:b/>
                <w:sz w:val="18"/>
              </w:rPr>
            </w:pPr>
            <w:r w:rsidRPr="005D00C9">
              <w:rPr>
                <w:b/>
                <w:sz w:val="18"/>
              </w:rPr>
              <w:t>1</w:t>
            </w:r>
          </w:p>
        </w:tc>
        <w:tc>
          <w:tcPr>
            <w:tcW w:w="1169" w:type="dxa"/>
            <w:vAlign w:val="center"/>
          </w:tcPr>
          <w:p w14:paraId="5FEFEE2B" w14:textId="0F3053B3" w:rsidR="005D00C9" w:rsidRPr="005D00C9" w:rsidRDefault="005D00C9" w:rsidP="00855612">
            <w:pPr>
              <w:spacing w:before="60" w:after="60"/>
              <w:jc w:val="center"/>
              <w:rPr>
                <w:sz w:val="18"/>
              </w:rPr>
            </w:pPr>
            <w:r>
              <w:rPr>
                <w:sz w:val="18"/>
              </w:rPr>
              <w:t>0</w:t>
            </w:r>
          </w:p>
        </w:tc>
        <w:tc>
          <w:tcPr>
            <w:tcW w:w="886" w:type="dxa"/>
            <w:vAlign w:val="center"/>
          </w:tcPr>
          <w:p w14:paraId="1290CF06" w14:textId="171F9E1A" w:rsidR="005D00C9" w:rsidRPr="005D00C9" w:rsidRDefault="005D00C9" w:rsidP="00855612">
            <w:pPr>
              <w:spacing w:before="60" w:after="60"/>
              <w:jc w:val="center"/>
              <w:rPr>
                <w:sz w:val="18"/>
              </w:rPr>
            </w:pPr>
            <w:r>
              <w:rPr>
                <w:sz w:val="18"/>
              </w:rPr>
              <w:t>30</w:t>
            </w:r>
          </w:p>
        </w:tc>
        <w:tc>
          <w:tcPr>
            <w:tcW w:w="768" w:type="dxa"/>
          </w:tcPr>
          <w:p w14:paraId="16B238F8" w14:textId="28F17324" w:rsidR="005D00C9" w:rsidRPr="005D00C9" w:rsidRDefault="00D24E34" w:rsidP="00855612">
            <w:pPr>
              <w:spacing w:before="60" w:after="60"/>
              <w:jc w:val="center"/>
              <w:rPr>
                <w:sz w:val="18"/>
              </w:rPr>
            </w:pPr>
            <w:r>
              <w:rPr>
                <w:sz w:val="18"/>
              </w:rPr>
              <w:t>170</w:t>
            </w:r>
          </w:p>
        </w:tc>
        <w:tc>
          <w:tcPr>
            <w:tcW w:w="1232" w:type="dxa"/>
            <w:vAlign w:val="center"/>
          </w:tcPr>
          <w:p w14:paraId="5862E621" w14:textId="351A4C2D" w:rsidR="005D00C9" w:rsidRPr="005D00C9" w:rsidRDefault="00D24E34" w:rsidP="00855612">
            <w:pPr>
              <w:spacing w:before="60" w:after="60"/>
              <w:jc w:val="center"/>
              <w:rPr>
                <w:sz w:val="18"/>
              </w:rPr>
            </w:pPr>
            <w:r>
              <w:rPr>
                <w:sz w:val="18"/>
              </w:rPr>
              <w:t>200</w:t>
            </w:r>
          </w:p>
        </w:tc>
        <w:tc>
          <w:tcPr>
            <w:tcW w:w="1364" w:type="dxa"/>
            <w:vAlign w:val="center"/>
          </w:tcPr>
          <w:p w14:paraId="65236EBB" w14:textId="568DF0CD" w:rsidR="005D00C9" w:rsidRPr="005D00C9" w:rsidRDefault="00D24E34" w:rsidP="00855612">
            <w:pPr>
              <w:spacing w:before="60" w:after="60"/>
              <w:jc w:val="center"/>
              <w:rPr>
                <w:sz w:val="18"/>
              </w:rPr>
            </w:pPr>
            <w:r>
              <w:rPr>
                <w:sz w:val="18"/>
              </w:rPr>
              <w:t>0</w:t>
            </w:r>
          </w:p>
        </w:tc>
      </w:tr>
      <w:tr w:rsidR="005D00C9" w:rsidRPr="0033728C" w14:paraId="17314120" w14:textId="77777777" w:rsidTr="005D00C9">
        <w:trPr>
          <w:trHeight w:val="306"/>
          <w:jc w:val="center"/>
        </w:trPr>
        <w:tc>
          <w:tcPr>
            <w:tcW w:w="1213" w:type="dxa"/>
            <w:vAlign w:val="center"/>
          </w:tcPr>
          <w:p w14:paraId="2FD0FFD3" w14:textId="77777777" w:rsidR="005D00C9" w:rsidRPr="005D00C9" w:rsidRDefault="005D00C9" w:rsidP="00855612">
            <w:pPr>
              <w:spacing w:before="60" w:after="60"/>
              <w:jc w:val="center"/>
              <w:rPr>
                <w:b/>
                <w:sz w:val="18"/>
              </w:rPr>
            </w:pPr>
            <w:r w:rsidRPr="005D00C9">
              <w:rPr>
                <w:b/>
                <w:sz w:val="18"/>
              </w:rPr>
              <w:t>2</w:t>
            </w:r>
          </w:p>
        </w:tc>
        <w:tc>
          <w:tcPr>
            <w:tcW w:w="1169" w:type="dxa"/>
            <w:vAlign w:val="center"/>
          </w:tcPr>
          <w:p w14:paraId="7FF3054F" w14:textId="4C07BEE3" w:rsidR="005D00C9" w:rsidRPr="005D00C9" w:rsidRDefault="005D00C9" w:rsidP="00855612">
            <w:pPr>
              <w:spacing w:before="60" w:after="60"/>
              <w:jc w:val="center"/>
              <w:rPr>
                <w:sz w:val="18"/>
              </w:rPr>
            </w:pPr>
            <w:r>
              <w:rPr>
                <w:sz w:val="18"/>
              </w:rPr>
              <w:t>5</w:t>
            </w:r>
          </w:p>
        </w:tc>
        <w:tc>
          <w:tcPr>
            <w:tcW w:w="886" w:type="dxa"/>
            <w:vAlign w:val="center"/>
          </w:tcPr>
          <w:p w14:paraId="291FA8BA" w14:textId="4BBE6D2F" w:rsidR="005D00C9" w:rsidRPr="005D00C9" w:rsidRDefault="005D00C9" w:rsidP="00855612">
            <w:pPr>
              <w:spacing w:before="60" w:after="60"/>
              <w:jc w:val="center"/>
              <w:rPr>
                <w:sz w:val="18"/>
              </w:rPr>
            </w:pPr>
            <w:r>
              <w:rPr>
                <w:sz w:val="18"/>
              </w:rPr>
              <w:t>25</w:t>
            </w:r>
          </w:p>
        </w:tc>
        <w:tc>
          <w:tcPr>
            <w:tcW w:w="768" w:type="dxa"/>
          </w:tcPr>
          <w:p w14:paraId="0F26214B" w14:textId="557297CA" w:rsidR="005D00C9" w:rsidRPr="005D00C9" w:rsidRDefault="00D24E34" w:rsidP="00855612">
            <w:pPr>
              <w:spacing w:before="60" w:after="60"/>
              <w:jc w:val="center"/>
              <w:rPr>
                <w:sz w:val="18"/>
              </w:rPr>
            </w:pPr>
            <w:r>
              <w:rPr>
                <w:sz w:val="18"/>
              </w:rPr>
              <w:t>170</w:t>
            </w:r>
          </w:p>
        </w:tc>
        <w:tc>
          <w:tcPr>
            <w:tcW w:w="1232" w:type="dxa"/>
            <w:vAlign w:val="center"/>
          </w:tcPr>
          <w:p w14:paraId="3E98B951" w14:textId="569B1E34" w:rsidR="005D00C9" w:rsidRPr="005D00C9" w:rsidRDefault="00D24E34" w:rsidP="00855612">
            <w:pPr>
              <w:spacing w:before="60" w:after="60"/>
              <w:jc w:val="center"/>
              <w:rPr>
                <w:sz w:val="18"/>
              </w:rPr>
            </w:pPr>
            <w:r>
              <w:rPr>
                <w:sz w:val="18"/>
              </w:rPr>
              <w:t>200</w:t>
            </w:r>
          </w:p>
        </w:tc>
        <w:tc>
          <w:tcPr>
            <w:tcW w:w="1364" w:type="dxa"/>
            <w:vAlign w:val="center"/>
          </w:tcPr>
          <w:p w14:paraId="040A38CA" w14:textId="42459CB5" w:rsidR="005D00C9" w:rsidRPr="005D00C9" w:rsidRDefault="00D24E34" w:rsidP="00855612">
            <w:pPr>
              <w:spacing w:before="60" w:after="60"/>
              <w:jc w:val="center"/>
              <w:rPr>
                <w:sz w:val="18"/>
              </w:rPr>
            </w:pPr>
            <w:r>
              <w:rPr>
                <w:sz w:val="18"/>
              </w:rPr>
              <w:t>50</w:t>
            </w:r>
          </w:p>
        </w:tc>
      </w:tr>
      <w:tr w:rsidR="005D00C9" w:rsidRPr="0033728C" w14:paraId="5C9D0D4B" w14:textId="77777777" w:rsidTr="005D00C9">
        <w:trPr>
          <w:trHeight w:val="306"/>
          <w:jc w:val="center"/>
        </w:trPr>
        <w:tc>
          <w:tcPr>
            <w:tcW w:w="1213" w:type="dxa"/>
            <w:vAlign w:val="center"/>
          </w:tcPr>
          <w:p w14:paraId="579C34C0" w14:textId="77777777" w:rsidR="005D00C9" w:rsidRPr="005D00C9" w:rsidRDefault="005D00C9" w:rsidP="00855612">
            <w:pPr>
              <w:spacing w:before="60" w:after="60"/>
              <w:jc w:val="center"/>
              <w:rPr>
                <w:b/>
                <w:sz w:val="18"/>
              </w:rPr>
            </w:pPr>
            <w:r w:rsidRPr="005D00C9">
              <w:rPr>
                <w:b/>
                <w:sz w:val="18"/>
              </w:rPr>
              <w:t>3</w:t>
            </w:r>
          </w:p>
        </w:tc>
        <w:tc>
          <w:tcPr>
            <w:tcW w:w="1169" w:type="dxa"/>
            <w:vAlign w:val="center"/>
          </w:tcPr>
          <w:p w14:paraId="1EA09892" w14:textId="1B02FACC" w:rsidR="005D00C9" w:rsidRPr="005D00C9" w:rsidRDefault="005D00C9" w:rsidP="00855612">
            <w:pPr>
              <w:spacing w:before="60" w:after="60"/>
              <w:jc w:val="center"/>
              <w:rPr>
                <w:sz w:val="18"/>
              </w:rPr>
            </w:pPr>
            <w:r>
              <w:rPr>
                <w:sz w:val="18"/>
              </w:rPr>
              <w:t>10</w:t>
            </w:r>
          </w:p>
        </w:tc>
        <w:tc>
          <w:tcPr>
            <w:tcW w:w="886" w:type="dxa"/>
            <w:vAlign w:val="center"/>
          </w:tcPr>
          <w:p w14:paraId="1209E552" w14:textId="4A940545" w:rsidR="005D00C9" w:rsidRPr="005D00C9" w:rsidRDefault="005D00C9" w:rsidP="00855612">
            <w:pPr>
              <w:spacing w:before="60" w:after="60"/>
              <w:jc w:val="center"/>
              <w:rPr>
                <w:sz w:val="18"/>
              </w:rPr>
            </w:pPr>
            <w:r>
              <w:rPr>
                <w:sz w:val="18"/>
              </w:rPr>
              <w:t>20</w:t>
            </w:r>
          </w:p>
        </w:tc>
        <w:tc>
          <w:tcPr>
            <w:tcW w:w="768" w:type="dxa"/>
          </w:tcPr>
          <w:p w14:paraId="2C51722A" w14:textId="3F22EF41" w:rsidR="005D00C9" w:rsidRPr="005D00C9" w:rsidRDefault="00D24E34" w:rsidP="00855612">
            <w:pPr>
              <w:spacing w:before="60" w:after="60"/>
              <w:jc w:val="center"/>
              <w:rPr>
                <w:sz w:val="18"/>
              </w:rPr>
            </w:pPr>
            <w:r>
              <w:rPr>
                <w:sz w:val="18"/>
              </w:rPr>
              <w:t>170</w:t>
            </w:r>
          </w:p>
        </w:tc>
        <w:tc>
          <w:tcPr>
            <w:tcW w:w="1232" w:type="dxa"/>
            <w:vAlign w:val="center"/>
          </w:tcPr>
          <w:p w14:paraId="20AF2AD2" w14:textId="49FB51F1" w:rsidR="005D00C9" w:rsidRPr="005D00C9" w:rsidRDefault="00D24E34" w:rsidP="00855612">
            <w:pPr>
              <w:spacing w:before="60" w:after="60"/>
              <w:jc w:val="center"/>
              <w:rPr>
                <w:sz w:val="18"/>
              </w:rPr>
            </w:pPr>
            <w:r>
              <w:rPr>
                <w:sz w:val="18"/>
              </w:rPr>
              <w:t>200</w:t>
            </w:r>
          </w:p>
        </w:tc>
        <w:tc>
          <w:tcPr>
            <w:tcW w:w="1364" w:type="dxa"/>
            <w:vAlign w:val="center"/>
          </w:tcPr>
          <w:p w14:paraId="7B0A7E52" w14:textId="2EDA5F54" w:rsidR="005D00C9" w:rsidRPr="005D00C9" w:rsidRDefault="00D24E34" w:rsidP="00855612">
            <w:pPr>
              <w:spacing w:before="60" w:after="60"/>
              <w:jc w:val="center"/>
              <w:rPr>
                <w:sz w:val="18"/>
              </w:rPr>
            </w:pPr>
            <w:r>
              <w:rPr>
                <w:sz w:val="18"/>
              </w:rPr>
              <w:t>100</w:t>
            </w:r>
          </w:p>
        </w:tc>
      </w:tr>
      <w:tr w:rsidR="005D00C9" w:rsidRPr="0033728C" w14:paraId="04993566" w14:textId="77777777" w:rsidTr="005D00C9">
        <w:trPr>
          <w:trHeight w:val="306"/>
          <w:jc w:val="center"/>
        </w:trPr>
        <w:tc>
          <w:tcPr>
            <w:tcW w:w="1213" w:type="dxa"/>
            <w:vAlign w:val="center"/>
          </w:tcPr>
          <w:p w14:paraId="1013D9AE" w14:textId="77777777" w:rsidR="005D00C9" w:rsidRPr="005D00C9" w:rsidRDefault="005D00C9" w:rsidP="00855612">
            <w:pPr>
              <w:spacing w:before="60" w:after="60"/>
              <w:jc w:val="center"/>
              <w:rPr>
                <w:b/>
                <w:sz w:val="18"/>
              </w:rPr>
            </w:pPr>
            <w:r w:rsidRPr="005D00C9">
              <w:rPr>
                <w:b/>
                <w:sz w:val="18"/>
              </w:rPr>
              <w:t>4</w:t>
            </w:r>
          </w:p>
        </w:tc>
        <w:tc>
          <w:tcPr>
            <w:tcW w:w="1169" w:type="dxa"/>
            <w:vAlign w:val="center"/>
          </w:tcPr>
          <w:p w14:paraId="64929D1C" w14:textId="53CB099F" w:rsidR="005D00C9" w:rsidRPr="005D00C9" w:rsidRDefault="005D00C9" w:rsidP="00855612">
            <w:pPr>
              <w:spacing w:before="60" w:after="60"/>
              <w:jc w:val="center"/>
              <w:rPr>
                <w:sz w:val="18"/>
              </w:rPr>
            </w:pPr>
            <w:r>
              <w:rPr>
                <w:sz w:val="18"/>
              </w:rPr>
              <w:t>15</w:t>
            </w:r>
          </w:p>
        </w:tc>
        <w:tc>
          <w:tcPr>
            <w:tcW w:w="886" w:type="dxa"/>
            <w:vAlign w:val="center"/>
          </w:tcPr>
          <w:p w14:paraId="67A21E26" w14:textId="75208D64" w:rsidR="005D00C9" w:rsidRPr="005D00C9" w:rsidRDefault="005D00C9" w:rsidP="00855612">
            <w:pPr>
              <w:spacing w:before="60" w:after="60"/>
              <w:jc w:val="center"/>
              <w:rPr>
                <w:sz w:val="18"/>
              </w:rPr>
            </w:pPr>
            <w:r>
              <w:rPr>
                <w:sz w:val="18"/>
              </w:rPr>
              <w:t>15</w:t>
            </w:r>
          </w:p>
        </w:tc>
        <w:tc>
          <w:tcPr>
            <w:tcW w:w="768" w:type="dxa"/>
          </w:tcPr>
          <w:p w14:paraId="3F6F53FE" w14:textId="2181E58A" w:rsidR="005D00C9" w:rsidRPr="005D00C9" w:rsidRDefault="00D24E34" w:rsidP="00855612">
            <w:pPr>
              <w:spacing w:before="60" w:after="60"/>
              <w:jc w:val="center"/>
              <w:rPr>
                <w:sz w:val="18"/>
              </w:rPr>
            </w:pPr>
            <w:r>
              <w:rPr>
                <w:sz w:val="18"/>
              </w:rPr>
              <w:t>170</w:t>
            </w:r>
          </w:p>
        </w:tc>
        <w:tc>
          <w:tcPr>
            <w:tcW w:w="1232" w:type="dxa"/>
            <w:vAlign w:val="center"/>
          </w:tcPr>
          <w:p w14:paraId="516B95FC" w14:textId="7F207484" w:rsidR="005D00C9" w:rsidRPr="005D00C9" w:rsidRDefault="00D24E34" w:rsidP="00855612">
            <w:pPr>
              <w:spacing w:before="60" w:after="60"/>
              <w:jc w:val="center"/>
              <w:rPr>
                <w:sz w:val="18"/>
              </w:rPr>
            </w:pPr>
            <w:r>
              <w:rPr>
                <w:sz w:val="18"/>
              </w:rPr>
              <w:t>200</w:t>
            </w:r>
          </w:p>
        </w:tc>
        <w:tc>
          <w:tcPr>
            <w:tcW w:w="1364" w:type="dxa"/>
            <w:vAlign w:val="center"/>
          </w:tcPr>
          <w:p w14:paraId="2765B9E4" w14:textId="651F9FD1" w:rsidR="005D00C9" w:rsidRPr="005D00C9" w:rsidRDefault="00D24E34" w:rsidP="00855612">
            <w:pPr>
              <w:spacing w:before="60" w:after="60"/>
              <w:jc w:val="center"/>
              <w:rPr>
                <w:sz w:val="18"/>
              </w:rPr>
            </w:pPr>
            <w:r>
              <w:rPr>
                <w:sz w:val="18"/>
              </w:rPr>
              <w:t>150</w:t>
            </w:r>
          </w:p>
        </w:tc>
      </w:tr>
      <w:tr w:rsidR="005D00C9" w:rsidRPr="0033728C" w14:paraId="5D9B3B2A" w14:textId="77777777" w:rsidTr="005D00C9">
        <w:trPr>
          <w:trHeight w:val="306"/>
          <w:jc w:val="center"/>
        </w:trPr>
        <w:tc>
          <w:tcPr>
            <w:tcW w:w="1213" w:type="dxa"/>
            <w:vAlign w:val="center"/>
          </w:tcPr>
          <w:p w14:paraId="2CD87F7C" w14:textId="273992E6" w:rsidR="005D00C9" w:rsidRPr="005D00C9" w:rsidRDefault="005D00C9" w:rsidP="00855612">
            <w:pPr>
              <w:spacing w:before="60" w:after="60"/>
              <w:jc w:val="center"/>
              <w:rPr>
                <w:b/>
                <w:sz w:val="18"/>
              </w:rPr>
            </w:pPr>
            <w:r>
              <w:rPr>
                <w:b/>
                <w:sz w:val="18"/>
              </w:rPr>
              <w:t>5</w:t>
            </w:r>
          </w:p>
        </w:tc>
        <w:tc>
          <w:tcPr>
            <w:tcW w:w="1169" w:type="dxa"/>
            <w:vAlign w:val="center"/>
          </w:tcPr>
          <w:p w14:paraId="089F8214" w14:textId="505EEDAD" w:rsidR="005D00C9" w:rsidRPr="005D00C9" w:rsidRDefault="005D00C9" w:rsidP="00855612">
            <w:pPr>
              <w:spacing w:before="60" w:after="60"/>
              <w:jc w:val="center"/>
              <w:rPr>
                <w:sz w:val="18"/>
              </w:rPr>
            </w:pPr>
            <w:r>
              <w:rPr>
                <w:sz w:val="18"/>
              </w:rPr>
              <w:t>20</w:t>
            </w:r>
          </w:p>
        </w:tc>
        <w:tc>
          <w:tcPr>
            <w:tcW w:w="886" w:type="dxa"/>
            <w:vAlign w:val="center"/>
          </w:tcPr>
          <w:p w14:paraId="6A4DFE6C" w14:textId="49BAFDDA" w:rsidR="005D00C9" w:rsidRPr="005D00C9" w:rsidRDefault="005D00C9" w:rsidP="00855612">
            <w:pPr>
              <w:spacing w:before="60" w:after="60"/>
              <w:jc w:val="center"/>
              <w:rPr>
                <w:sz w:val="18"/>
              </w:rPr>
            </w:pPr>
            <w:r>
              <w:rPr>
                <w:sz w:val="18"/>
              </w:rPr>
              <w:t>10</w:t>
            </w:r>
          </w:p>
        </w:tc>
        <w:tc>
          <w:tcPr>
            <w:tcW w:w="768" w:type="dxa"/>
          </w:tcPr>
          <w:p w14:paraId="774EB374" w14:textId="3030C9B5" w:rsidR="005D00C9" w:rsidRPr="005D00C9" w:rsidRDefault="00D24E34" w:rsidP="00855612">
            <w:pPr>
              <w:spacing w:before="60" w:after="60"/>
              <w:jc w:val="center"/>
              <w:rPr>
                <w:sz w:val="18"/>
              </w:rPr>
            </w:pPr>
            <w:r>
              <w:rPr>
                <w:sz w:val="18"/>
              </w:rPr>
              <w:t>170</w:t>
            </w:r>
          </w:p>
        </w:tc>
        <w:tc>
          <w:tcPr>
            <w:tcW w:w="1232" w:type="dxa"/>
            <w:vAlign w:val="center"/>
          </w:tcPr>
          <w:p w14:paraId="4D26682D" w14:textId="0004E0DD" w:rsidR="005D00C9" w:rsidRPr="005D00C9" w:rsidRDefault="00D24E34" w:rsidP="00855612">
            <w:pPr>
              <w:spacing w:before="60" w:after="60"/>
              <w:jc w:val="center"/>
              <w:rPr>
                <w:sz w:val="18"/>
              </w:rPr>
            </w:pPr>
            <w:r>
              <w:rPr>
                <w:sz w:val="18"/>
              </w:rPr>
              <w:t>200</w:t>
            </w:r>
          </w:p>
        </w:tc>
        <w:tc>
          <w:tcPr>
            <w:tcW w:w="1364" w:type="dxa"/>
            <w:vAlign w:val="center"/>
          </w:tcPr>
          <w:p w14:paraId="55775240" w14:textId="36DF4339" w:rsidR="005D00C9" w:rsidRPr="005D00C9" w:rsidRDefault="00D24E34" w:rsidP="00855612">
            <w:pPr>
              <w:spacing w:before="60" w:after="60"/>
              <w:jc w:val="center"/>
              <w:rPr>
                <w:sz w:val="18"/>
              </w:rPr>
            </w:pPr>
            <w:r>
              <w:rPr>
                <w:sz w:val="18"/>
              </w:rPr>
              <w:t>200</w:t>
            </w:r>
          </w:p>
        </w:tc>
      </w:tr>
      <w:tr w:rsidR="005D00C9" w:rsidRPr="0033728C" w14:paraId="6FE290E1" w14:textId="77777777" w:rsidTr="005D00C9">
        <w:trPr>
          <w:trHeight w:val="306"/>
          <w:jc w:val="center"/>
        </w:trPr>
        <w:tc>
          <w:tcPr>
            <w:tcW w:w="1213" w:type="dxa"/>
            <w:vAlign w:val="center"/>
          </w:tcPr>
          <w:p w14:paraId="04A24E2B" w14:textId="1DD6A4D9" w:rsidR="005D00C9" w:rsidRPr="005D00C9" w:rsidRDefault="005D00C9" w:rsidP="00855612">
            <w:pPr>
              <w:spacing w:before="60" w:after="60"/>
              <w:jc w:val="center"/>
              <w:rPr>
                <w:b/>
                <w:sz w:val="18"/>
              </w:rPr>
            </w:pPr>
            <w:r>
              <w:rPr>
                <w:b/>
                <w:sz w:val="18"/>
              </w:rPr>
              <w:t>6</w:t>
            </w:r>
          </w:p>
        </w:tc>
        <w:tc>
          <w:tcPr>
            <w:tcW w:w="1169" w:type="dxa"/>
            <w:vAlign w:val="center"/>
          </w:tcPr>
          <w:p w14:paraId="619D7F5E" w14:textId="3E4CFBA6" w:rsidR="005D00C9" w:rsidRPr="005D00C9" w:rsidRDefault="005D00C9" w:rsidP="00855612">
            <w:pPr>
              <w:spacing w:before="60" w:after="60"/>
              <w:jc w:val="center"/>
              <w:rPr>
                <w:sz w:val="18"/>
              </w:rPr>
            </w:pPr>
            <w:r>
              <w:rPr>
                <w:sz w:val="18"/>
              </w:rPr>
              <w:t>25</w:t>
            </w:r>
          </w:p>
        </w:tc>
        <w:tc>
          <w:tcPr>
            <w:tcW w:w="886" w:type="dxa"/>
            <w:vAlign w:val="center"/>
          </w:tcPr>
          <w:p w14:paraId="722C1861" w14:textId="57CD686F" w:rsidR="005D00C9" w:rsidRPr="005D00C9" w:rsidRDefault="005D00C9" w:rsidP="00855612">
            <w:pPr>
              <w:spacing w:before="60" w:after="60"/>
              <w:jc w:val="center"/>
              <w:rPr>
                <w:sz w:val="18"/>
              </w:rPr>
            </w:pPr>
            <w:r>
              <w:rPr>
                <w:sz w:val="18"/>
              </w:rPr>
              <w:t>5</w:t>
            </w:r>
          </w:p>
        </w:tc>
        <w:tc>
          <w:tcPr>
            <w:tcW w:w="768" w:type="dxa"/>
          </w:tcPr>
          <w:p w14:paraId="4AE64F32" w14:textId="75F5F4C4" w:rsidR="005D00C9" w:rsidRPr="005D00C9" w:rsidRDefault="00D24E34" w:rsidP="00855612">
            <w:pPr>
              <w:spacing w:before="60" w:after="60"/>
              <w:jc w:val="center"/>
              <w:rPr>
                <w:sz w:val="18"/>
              </w:rPr>
            </w:pPr>
            <w:r>
              <w:rPr>
                <w:sz w:val="18"/>
              </w:rPr>
              <w:t>170</w:t>
            </w:r>
          </w:p>
        </w:tc>
        <w:tc>
          <w:tcPr>
            <w:tcW w:w="1232" w:type="dxa"/>
            <w:vAlign w:val="center"/>
          </w:tcPr>
          <w:p w14:paraId="20B03C46" w14:textId="7A7F69AE" w:rsidR="005D00C9" w:rsidRPr="005D00C9" w:rsidRDefault="00D24E34" w:rsidP="00855612">
            <w:pPr>
              <w:spacing w:before="60" w:after="60"/>
              <w:jc w:val="center"/>
              <w:rPr>
                <w:sz w:val="18"/>
              </w:rPr>
            </w:pPr>
            <w:r>
              <w:rPr>
                <w:sz w:val="18"/>
              </w:rPr>
              <w:t>200</w:t>
            </w:r>
          </w:p>
        </w:tc>
        <w:tc>
          <w:tcPr>
            <w:tcW w:w="1364" w:type="dxa"/>
            <w:vAlign w:val="center"/>
          </w:tcPr>
          <w:p w14:paraId="240506CC" w14:textId="2872F901" w:rsidR="005D00C9" w:rsidRPr="005D00C9" w:rsidRDefault="00D24E34" w:rsidP="00855612">
            <w:pPr>
              <w:spacing w:before="60" w:after="60"/>
              <w:jc w:val="center"/>
              <w:rPr>
                <w:sz w:val="18"/>
              </w:rPr>
            </w:pPr>
            <w:r>
              <w:rPr>
                <w:sz w:val="18"/>
              </w:rPr>
              <w:t>250</w:t>
            </w:r>
          </w:p>
        </w:tc>
      </w:tr>
      <w:tr w:rsidR="005D00C9" w:rsidRPr="0033728C" w14:paraId="2F1A85CF" w14:textId="77777777" w:rsidTr="005D00C9">
        <w:trPr>
          <w:trHeight w:val="306"/>
          <w:jc w:val="center"/>
        </w:trPr>
        <w:tc>
          <w:tcPr>
            <w:tcW w:w="1213" w:type="dxa"/>
            <w:vAlign w:val="center"/>
          </w:tcPr>
          <w:p w14:paraId="61DD0099" w14:textId="7477CC36" w:rsidR="005D00C9" w:rsidRPr="005D00C9" w:rsidRDefault="005D00C9" w:rsidP="00855612">
            <w:pPr>
              <w:spacing w:before="60" w:after="60"/>
              <w:jc w:val="center"/>
              <w:rPr>
                <w:b/>
                <w:sz w:val="18"/>
              </w:rPr>
            </w:pPr>
            <w:r>
              <w:rPr>
                <w:b/>
                <w:sz w:val="18"/>
              </w:rPr>
              <w:t>7</w:t>
            </w:r>
          </w:p>
        </w:tc>
        <w:tc>
          <w:tcPr>
            <w:tcW w:w="1169" w:type="dxa"/>
            <w:vAlign w:val="center"/>
          </w:tcPr>
          <w:p w14:paraId="766CC6F8" w14:textId="179B912D" w:rsidR="005D00C9" w:rsidRPr="005D00C9" w:rsidRDefault="005D00C9" w:rsidP="00855612">
            <w:pPr>
              <w:spacing w:before="60" w:after="60"/>
              <w:jc w:val="center"/>
              <w:rPr>
                <w:sz w:val="18"/>
              </w:rPr>
            </w:pPr>
            <w:r>
              <w:rPr>
                <w:sz w:val="18"/>
              </w:rPr>
              <w:t>30</w:t>
            </w:r>
          </w:p>
        </w:tc>
        <w:tc>
          <w:tcPr>
            <w:tcW w:w="886" w:type="dxa"/>
            <w:vAlign w:val="center"/>
          </w:tcPr>
          <w:p w14:paraId="461A0CAF" w14:textId="7E2C4968" w:rsidR="005D00C9" w:rsidRPr="005D00C9" w:rsidRDefault="005D00C9" w:rsidP="00855612">
            <w:pPr>
              <w:spacing w:before="60" w:after="60"/>
              <w:jc w:val="center"/>
              <w:rPr>
                <w:sz w:val="18"/>
              </w:rPr>
            </w:pPr>
            <w:r>
              <w:rPr>
                <w:sz w:val="18"/>
              </w:rPr>
              <w:t>0</w:t>
            </w:r>
          </w:p>
        </w:tc>
        <w:tc>
          <w:tcPr>
            <w:tcW w:w="768" w:type="dxa"/>
          </w:tcPr>
          <w:p w14:paraId="409380EC" w14:textId="00D2B15E" w:rsidR="005D00C9" w:rsidRPr="005D00C9" w:rsidRDefault="00D24E34" w:rsidP="00855612">
            <w:pPr>
              <w:spacing w:before="60" w:after="60"/>
              <w:jc w:val="center"/>
              <w:rPr>
                <w:sz w:val="18"/>
              </w:rPr>
            </w:pPr>
            <w:r>
              <w:rPr>
                <w:sz w:val="18"/>
              </w:rPr>
              <w:t>170</w:t>
            </w:r>
          </w:p>
        </w:tc>
        <w:tc>
          <w:tcPr>
            <w:tcW w:w="1232" w:type="dxa"/>
            <w:vAlign w:val="center"/>
          </w:tcPr>
          <w:p w14:paraId="70656153" w14:textId="070B8A57" w:rsidR="005D00C9" w:rsidRPr="005D00C9" w:rsidRDefault="00D24E34" w:rsidP="00855612">
            <w:pPr>
              <w:spacing w:before="60" w:after="60"/>
              <w:jc w:val="center"/>
              <w:rPr>
                <w:sz w:val="18"/>
              </w:rPr>
            </w:pPr>
            <w:r>
              <w:rPr>
                <w:sz w:val="18"/>
              </w:rPr>
              <w:t>200</w:t>
            </w:r>
          </w:p>
        </w:tc>
        <w:tc>
          <w:tcPr>
            <w:tcW w:w="1364" w:type="dxa"/>
            <w:vAlign w:val="center"/>
          </w:tcPr>
          <w:p w14:paraId="7C539F7D" w14:textId="0D38B60A" w:rsidR="005D00C9" w:rsidRPr="005D00C9" w:rsidRDefault="00D24E34" w:rsidP="00855612">
            <w:pPr>
              <w:spacing w:before="60" w:after="60"/>
              <w:jc w:val="center"/>
              <w:rPr>
                <w:sz w:val="18"/>
              </w:rPr>
            </w:pPr>
            <w:r>
              <w:rPr>
                <w:sz w:val="18"/>
              </w:rPr>
              <w:t>300</w:t>
            </w:r>
          </w:p>
        </w:tc>
      </w:tr>
    </w:tbl>
    <w:p w14:paraId="278C125E" w14:textId="77777777" w:rsidR="00A40EA9" w:rsidRPr="0033728C" w:rsidRDefault="00A40EA9" w:rsidP="001B583F">
      <w:pPr>
        <w:pStyle w:val="1AbcamStandardtext"/>
        <w:rPr>
          <w:highlight w:val="yellow"/>
        </w:rPr>
      </w:pPr>
    </w:p>
    <w:p w14:paraId="17A3EB81" w14:textId="2925ED13" w:rsidR="003B15FA" w:rsidRPr="002A066A" w:rsidRDefault="00DF4DAA">
      <w:pPr>
        <w:spacing w:before="0" w:after="0"/>
      </w:pPr>
      <w:proofErr w:type="spellStart"/>
      <w:r w:rsidRPr="00521CBD">
        <w:rPr>
          <w:b/>
        </w:rPr>
        <w:t>Δ</w:t>
      </w:r>
      <w:r w:rsidRPr="00F375B2">
        <w:rPr>
          <w:b/>
        </w:rPr>
        <w:t>Note</w:t>
      </w:r>
      <w:proofErr w:type="spellEnd"/>
      <w:r w:rsidRPr="00F375B2">
        <w:rPr>
          <w:b/>
        </w:rPr>
        <w:t>:</w:t>
      </w:r>
      <w:r>
        <w:t xml:space="preserve"> </w:t>
      </w:r>
      <w:r w:rsidRPr="00DF4DAA">
        <w:t xml:space="preserve">For enhanced sensitivity, dilute the 10 µM AMC Standard 2-fold (add </w:t>
      </w:r>
      <w:r>
        <w:t>50 µL 10 µM AMC plus 50 µL</w:t>
      </w:r>
      <w:r w:rsidRPr="00DF4DAA">
        <w:t xml:space="preserve"> H</w:t>
      </w:r>
      <w:r w:rsidRPr="00DF4DAA">
        <w:rPr>
          <w:vertAlign w:val="subscript"/>
        </w:rPr>
        <w:t>2</w:t>
      </w:r>
      <w:r w:rsidRPr="00DF4DAA">
        <w:t>O) to create a 5 µM AMC St</w:t>
      </w:r>
      <w:r>
        <w:t xml:space="preserve">andard. Add 0, 2, 4, 6, 8, 10 µL </w:t>
      </w:r>
      <w:r w:rsidRPr="00DF4DAA">
        <w:t xml:space="preserve">of 5 µM AMC Standard Curve into a series </w:t>
      </w:r>
      <w:r>
        <w:t>of wells. Adjust volume to 30 µL</w:t>
      </w:r>
      <w:r w:rsidRPr="00DF4DAA">
        <w:t>/well with dH</w:t>
      </w:r>
      <w:r w:rsidRPr="00DF4DAA">
        <w:rPr>
          <w:vertAlign w:val="subscript"/>
        </w:rPr>
        <w:t>2</w:t>
      </w:r>
      <w:r>
        <w:t>O. Add 170 µL</w:t>
      </w:r>
      <w:r w:rsidRPr="00DF4DAA">
        <w:t xml:space="preserve"> of Standard Curve </w:t>
      </w:r>
      <w:r w:rsidRPr="00B36E54">
        <w:t xml:space="preserve">Reaction Mix </w:t>
      </w:r>
      <w:r w:rsidR="00B36E54" w:rsidRPr="00B36E54">
        <w:t>(SC, see Step 8.2</w:t>
      </w:r>
      <w:r w:rsidRPr="00B36E54">
        <w:t>)</w:t>
      </w:r>
      <w:r w:rsidRPr="00DF4DAA">
        <w:t xml:space="preserve"> to each well to generate 0, 10, 20, 30, 40, and 50 </w:t>
      </w:r>
      <w:proofErr w:type="spellStart"/>
      <w:r w:rsidRPr="00DF4DAA">
        <w:t>pmol</w:t>
      </w:r>
      <w:proofErr w:type="spellEnd"/>
      <w:r w:rsidRPr="00DF4DAA">
        <w:t>/well of AMC Standard.</w:t>
      </w:r>
      <w:r w:rsidR="003B15FA" w:rsidRPr="002A066A">
        <w:br w:type="page"/>
      </w:r>
    </w:p>
    <w:p w14:paraId="068E66BE" w14:textId="77777777" w:rsidR="000E4FA8" w:rsidRPr="002A066A" w:rsidRDefault="00331AEA" w:rsidP="001E2DD7">
      <w:pPr>
        <w:pStyle w:val="1Abcamheading"/>
      </w:pPr>
      <w:bookmarkStart w:id="18" w:name="_Toc446403821"/>
      <w:bookmarkStart w:id="19" w:name="_Toc531249495"/>
      <w:bookmarkEnd w:id="18"/>
      <w:r w:rsidRPr="002A066A">
        <w:lastRenderedPageBreak/>
        <w:t xml:space="preserve">Sample </w:t>
      </w:r>
      <w:r w:rsidR="00174FD5" w:rsidRPr="002A066A">
        <w:t>P</w:t>
      </w:r>
      <w:r w:rsidRPr="002A066A">
        <w:t>reparation</w:t>
      </w:r>
      <w:bookmarkEnd w:id="19"/>
    </w:p>
    <w:p w14:paraId="20084750" w14:textId="77777777" w:rsidR="000E4FA8" w:rsidRPr="002A066A" w:rsidRDefault="000E4FA8" w:rsidP="00A40EA9">
      <w:pPr>
        <w:spacing w:before="60" w:after="60"/>
        <w:rPr>
          <w:b/>
        </w:rPr>
      </w:pPr>
      <w:r w:rsidRPr="002A066A">
        <w:rPr>
          <w:b/>
        </w:rPr>
        <w:t>General sample information:</w:t>
      </w:r>
    </w:p>
    <w:p w14:paraId="78A49C0E" w14:textId="77777777" w:rsidR="000E4FA8" w:rsidRPr="000E37C1" w:rsidRDefault="000E4FA8" w:rsidP="00380497">
      <w:pPr>
        <w:pStyle w:val="1AbcamBulletpoints"/>
      </w:pPr>
      <w:r w:rsidRPr="000E37C1">
        <w:t>We recommend performing several dilutions of your sample to ensure the readings are within the standard value range.</w:t>
      </w:r>
    </w:p>
    <w:p w14:paraId="5E03B6AD" w14:textId="70D9C544" w:rsidR="000E4FA8" w:rsidRDefault="000E4FA8" w:rsidP="00380497">
      <w:pPr>
        <w:pStyle w:val="1AbcamBulletpoints"/>
      </w:pPr>
      <w:r w:rsidRPr="002A066A">
        <w:t>We recommend that you use fresh samples</w:t>
      </w:r>
      <w:r w:rsidR="00DF2200">
        <w:t xml:space="preserve"> for the most reproducible assay</w:t>
      </w:r>
      <w:r w:rsidRPr="002A066A">
        <w:t xml:space="preserve">. </w:t>
      </w:r>
    </w:p>
    <w:p w14:paraId="33C20A45" w14:textId="77777777" w:rsidR="00E30794" w:rsidRDefault="00E30794" w:rsidP="00E30794">
      <w:pPr>
        <w:spacing w:before="60" w:after="60"/>
      </w:pPr>
    </w:p>
    <w:p w14:paraId="288CC001" w14:textId="1166E73F" w:rsidR="00E30794" w:rsidRPr="00A3319A" w:rsidRDefault="00E30794" w:rsidP="00E30794">
      <w:pPr>
        <w:spacing w:before="60" w:after="60"/>
      </w:pPr>
      <w:r>
        <w:t>W</w:t>
      </w:r>
      <w:r w:rsidRPr="00A3319A">
        <w:t>e recommend Protease Inhibitor Cocktail II (ab201116) [AEBSF, aprotinin, E-64, EDTA, leupeptin] as general use cocktail.</w:t>
      </w:r>
    </w:p>
    <w:p w14:paraId="2B79BA80" w14:textId="77F47BB1" w:rsidR="000E37C1" w:rsidRDefault="000E37C1" w:rsidP="009B472D">
      <w:pPr>
        <w:pStyle w:val="1AbcamBulletpoints"/>
        <w:rPr>
          <w:highlight w:val="yellow"/>
        </w:rPr>
      </w:pPr>
    </w:p>
    <w:p w14:paraId="793A222B" w14:textId="5CB506F8" w:rsidR="000E37C1" w:rsidRPr="009B472D" w:rsidRDefault="000E37C1" w:rsidP="009B472D">
      <w:pPr>
        <w:pStyle w:val="1AbcamBulletpoints"/>
        <w:rPr>
          <w:highlight w:val="yellow"/>
        </w:rPr>
      </w:pPr>
      <w:r>
        <w:t>The procedure described below is for a 96-well microplate format but may be adapted to other formats by scaling the reagent volumes according to the desired microplate size.</w:t>
      </w:r>
    </w:p>
    <w:p w14:paraId="21210E5B" w14:textId="77777777" w:rsidR="00391C31" w:rsidRPr="002A066A" w:rsidRDefault="00391C31" w:rsidP="00592267">
      <w:pPr>
        <w:pStyle w:val="1AbcamBulletpoints"/>
      </w:pPr>
    </w:p>
    <w:p w14:paraId="38A7A0B3" w14:textId="77777777" w:rsidR="00F14A25" w:rsidRPr="002A066A" w:rsidRDefault="00F14A25" w:rsidP="00F14A25">
      <w:pPr>
        <w:pStyle w:val="11Abcambold"/>
        <w:contextualSpacing w:val="0"/>
      </w:pPr>
      <w:r>
        <w:t>Cells or tissue</w:t>
      </w:r>
      <w:r w:rsidRPr="002A066A">
        <w:t>:</w:t>
      </w:r>
    </w:p>
    <w:p w14:paraId="11CCB903" w14:textId="77777777" w:rsidR="00F14A25" w:rsidRPr="000E37C1" w:rsidRDefault="00F14A25" w:rsidP="00F14A25">
      <w:pPr>
        <w:pStyle w:val="111Abcam"/>
        <w:numPr>
          <w:ilvl w:val="0"/>
          <w:numId w:val="19"/>
        </w:numPr>
        <w:spacing w:before="0" w:after="0"/>
        <w:ind w:left="357" w:hanging="357"/>
        <w:contextualSpacing w:val="0"/>
        <w:jc w:val="both"/>
        <w:rPr>
          <w:b/>
        </w:rPr>
      </w:pPr>
      <w:r>
        <w:t>Add 500 µ</w:t>
      </w:r>
      <w:r w:rsidRPr="000E37C1">
        <w:t xml:space="preserve"> of CβS Assay Buffer to 10 mg of sample (wet weight or cell pellet).</w:t>
      </w:r>
    </w:p>
    <w:p w14:paraId="75E27497" w14:textId="77777777" w:rsidR="00F14A25" w:rsidRDefault="00F14A25" w:rsidP="00F14A25">
      <w:pPr>
        <w:pStyle w:val="111Abcam"/>
        <w:numPr>
          <w:ilvl w:val="0"/>
          <w:numId w:val="19"/>
        </w:numPr>
        <w:spacing w:before="0" w:after="0"/>
        <w:ind w:left="357" w:hanging="357"/>
        <w:contextualSpacing w:val="0"/>
        <w:jc w:val="both"/>
      </w:pPr>
      <w:r w:rsidRPr="000E37C1">
        <w:t>Homogenize on ice using a Dounce homogenizer.</w:t>
      </w:r>
    </w:p>
    <w:p w14:paraId="0B9FB028" w14:textId="77777777" w:rsidR="00F14A25" w:rsidRDefault="00F14A25" w:rsidP="00F14A25">
      <w:pPr>
        <w:pStyle w:val="111Abcam"/>
        <w:numPr>
          <w:ilvl w:val="0"/>
          <w:numId w:val="19"/>
        </w:numPr>
        <w:spacing w:before="0" w:after="0"/>
        <w:ind w:left="357" w:hanging="357"/>
        <w:contextualSpacing w:val="0"/>
        <w:jc w:val="both"/>
      </w:pPr>
      <w:r>
        <w:t xml:space="preserve">Centrifuge at 10,000 X </w:t>
      </w:r>
      <w:r w:rsidRPr="00AA0F51">
        <w:rPr>
          <w:i/>
        </w:rPr>
        <w:t>g</w:t>
      </w:r>
      <w:r>
        <w:t xml:space="preserve"> at 4°C for 10 minutes. Collect the supernatant.</w:t>
      </w:r>
      <w:r w:rsidRPr="00AA0F51">
        <w:t xml:space="preserve"> </w:t>
      </w:r>
    </w:p>
    <w:p w14:paraId="0835A635" w14:textId="77777777" w:rsidR="00F14A25" w:rsidRDefault="00F14A25" w:rsidP="00F14A25">
      <w:pPr>
        <w:pStyle w:val="111Abcam"/>
        <w:numPr>
          <w:ilvl w:val="0"/>
          <w:numId w:val="19"/>
        </w:numPr>
        <w:spacing w:before="0" w:after="0"/>
        <w:ind w:left="357" w:hanging="357"/>
        <w:contextualSpacing w:val="0"/>
        <w:jc w:val="both"/>
      </w:pPr>
      <w:r>
        <w:t>Add 5-30 µL of supernatant into desired well(s) in a 96-well white microplate. If necessary, adjust the volume to 30 µL with CβS Assay Buffer.</w:t>
      </w:r>
    </w:p>
    <w:p w14:paraId="28B96421" w14:textId="602E3A6D" w:rsidR="00F14A25" w:rsidRDefault="00F14A25" w:rsidP="00F14A25">
      <w:pPr>
        <w:pStyle w:val="11Abcambold"/>
        <w:contextualSpacing w:val="0"/>
      </w:pPr>
      <w:r>
        <w:t>Positive Control:</w:t>
      </w:r>
    </w:p>
    <w:p w14:paraId="68844209" w14:textId="34848EAB" w:rsidR="00F14A25" w:rsidRDefault="00F14A25" w:rsidP="00F14A25">
      <w:pPr>
        <w:pStyle w:val="11Abcambold"/>
        <w:numPr>
          <w:ilvl w:val="0"/>
          <w:numId w:val="0"/>
        </w:numPr>
        <w:ind w:left="360"/>
        <w:contextualSpacing w:val="0"/>
        <w:rPr>
          <w:b w:val="0"/>
        </w:rPr>
      </w:pPr>
      <w:r>
        <w:rPr>
          <w:b w:val="0"/>
        </w:rPr>
        <w:t>For positive control: add 3 µL</w:t>
      </w:r>
      <w:r w:rsidRPr="00F14A25">
        <w:rPr>
          <w:b w:val="0"/>
        </w:rPr>
        <w:t xml:space="preserve"> into desired well(s) and </w:t>
      </w:r>
      <w:r>
        <w:rPr>
          <w:b w:val="0"/>
        </w:rPr>
        <w:t>adjust the final volume to 30 µL</w:t>
      </w:r>
      <w:r w:rsidRPr="00F14A25">
        <w:rPr>
          <w:b w:val="0"/>
        </w:rPr>
        <w:t xml:space="preserve"> with CβS Assay Buffer.</w:t>
      </w:r>
    </w:p>
    <w:p w14:paraId="5C620611" w14:textId="378FB31C" w:rsidR="00FB26EE" w:rsidRDefault="00FB26EE" w:rsidP="00F14A25">
      <w:pPr>
        <w:pStyle w:val="11Abcambold"/>
        <w:numPr>
          <w:ilvl w:val="0"/>
          <w:numId w:val="0"/>
        </w:numPr>
        <w:ind w:left="360"/>
        <w:contextualSpacing w:val="0"/>
        <w:rPr>
          <w:b w:val="0"/>
        </w:rPr>
      </w:pPr>
    </w:p>
    <w:p w14:paraId="1FA043D4" w14:textId="5042D1D6" w:rsidR="00FB26EE" w:rsidRDefault="00FB26EE" w:rsidP="00FB26EE">
      <w:pPr>
        <w:pStyle w:val="11Abcambold"/>
        <w:numPr>
          <w:ilvl w:val="0"/>
          <w:numId w:val="0"/>
        </w:numPr>
        <w:contextualSpacing w:val="0"/>
        <w:rPr>
          <w:b w:val="0"/>
        </w:rPr>
      </w:pPr>
      <w:bookmarkStart w:id="20" w:name="_Hlk529369926"/>
      <w:proofErr w:type="spellStart"/>
      <w:r w:rsidRPr="00521CBD">
        <w:t>Δ</w:t>
      </w:r>
      <w:r w:rsidRPr="00F375B2">
        <w:t>Note</w:t>
      </w:r>
      <w:proofErr w:type="spellEnd"/>
      <w:r w:rsidRPr="00F375B2">
        <w:t>:</w:t>
      </w:r>
      <w:r>
        <w:t xml:space="preserve"> </w:t>
      </w:r>
      <w:bookmarkEnd w:id="20"/>
      <w:r w:rsidRPr="00FB26EE">
        <w:rPr>
          <w:b w:val="0"/>
        </w:rPr>
        <w:t>Cell and tissue lysate can be stored at -80°C for future experiments.</w:t>
      </w:r>
    </w:p>
    <w:p w14:paraId="2E78CF4B" w14:textId="358BCA58" w:rsidR="00FB26EE" w:rsidRPr="00FB26EE" w:rsidRDefault="00FB26EE" w:rsidP="00FB26EE">
      <w:pPr>
        <w:pStyle w:val="11Abcambold"/>
        <w:numPr>
          <w:ilvl w:val="0"/>
          <w:numId w:val="0"/>
        </w:numPr>
        <w:contextualSpacing w:val="0"/>
        <w:rPr>
          <w:b w:val="0"/>
        </w:rPr>
      </w:pPr>
      <w:proofErr w:type="spellStart"/>
      <w:r w:rsidRPr="00521CBD">
        <w:t>Δ</w:t>
      </w:r>
      <w:r w:rsidRPr="00F375B2">
        <w:t>Note</w:t>
      </w:r>
      <w:proofErr w:type="spellEnd"/>
      <w:r w:rsidRPr="00F375B2">
        <w:t>:</w:t>
      </w:r>
      <w:r>
        <w:t xml:space="preserve"> </w:t>
      </w:r>
      <w:r w:rsidRPr="00FB26EE">
        <w:rPr>
          <w:b w:val="0"/>
        </w:rPr>
        <w:t>For samples having high background, prepare parallel well(s) containing the same amount of sample as in the test w</w:t>
      </w:r>
      <w:r>
        <w:rPr>
          <w:b w:val="0"/>
        </w:rPr>
        <w:t>ell. Adjust the volume to 30 µL</w:t>
      </w:r>
      <w:r w:rsidRPr="00FB26EE">
        <w:rPr>
          <w:b w:val="0"/>
        </w:rPr>
        <w:t xml:space="preserve"> with CβS Assay Buffer.</w:t>
      </w:r>
    </w:p>
    <w:p w14:paraId="01F068A0" w14:textId="71E58621" w:rsidR="00AA0F51" w:rsidRPr="00AA0F51" w:rsidRDefault="00AA0F51" w:rsidP="00F14A25">
      <w:pPr>
        <w:pStyle w:val="111Abcam"/>
        <w:numPr>
          <w:ilvl w:val="0"/>
          <w:numId w:val="0"/>
        </w:numPr>
        <w:spacing w:before="0" w:after="0"/>
        <w:ind w:left="7342" w:hanging="680"/>
        <w:jc w:val="both"/>
      </w:pPr>
    </w:p>
    <w:p w14:paraId="5E55682D" w14:textId="77777777" w:rsidR="00C52378" w:rsidRDefault="00C52378" w:rsidP="00592267">
      <w:pPr>
        <w:pStyle w:val="ListParagraph"/>
        <w:autoSpaceDE w:val="0"/>
        <w:autoSpaceDN w:val="0"/>
        <w:adjustRightInd w:val="0"/>
        <w:spacing w:before="60" w:after="60"/>
        <w:rPr>
          <w:rFonts w:cs="Arial"/>
          <w:szCs w:val="20"/>
        </w:rPr>
      </w:pPr>
    </w:p>
    <w:p w14:paraId="0D8A6223" w14:textId="77777777" w:rsidR="00E56AC7" w:rsidRDefault="00E56AC7">
      <w:pPr>
        <w:spacing w:before="0" w:after="0"/>
        <w:rPr>
          <w:lang w:val="en-AU"/>
        </w:rPr>
      </w:pPr>
      <w:r>
        <w:rPr>
          <w:lang w:val="en-AU"/>
        </w:rPr>
        <w:br w:type="page"/>
      </w:r>
    </w:p>
    <w:p w14:paraId="1256C1D0" w14:textId="7EAD188E" w:rsidR="006B255F" w:rsidRDefault="00174FD5" w:rsidP="00E15FD2">
      <w:pPr>
        <w:pStyle w:val="1Abcamheading"/>
      </w:pPr>
      <w:bookmarkStart w:id="21" w:name="_Toc531249496"/>
      <w:r w:rsidRPr="002A066A">
        <w:lastRenderedPageBreak/>
        <w:t>Assay Procedure</w:t>
      </w:r>
      <w:bookmarkStart w:id="22" w:name="_Toc271554832"/>
      <w:bookmarkStart w:id="23" w:name="_Toc273532551"/>
      <w:bookmarkEnd w:id="5"/>
      <w:bookmarkEnd w:id="21"/>
    </w:p>
    <w:p w14:paraId="2556057B" w14:textId="77777777" w:rsidR="00595684" w:rsidRPr="002A066A" w:rsidRDefault="00007205" w:rsidP="00680476">
      <w:pPr>
        <w:pStyle w:val="ListParagraph"/>
        <w:numPr>
          <w:ilvl w:val="0"/>
          <w:numId w:val="9"/>
        </w:numPr>
        <w:spacing w:before="60" w:after="60"/>
        <w:ind w:left="357" w:hanging="357"/>
        <w:contextualSpacing w:val="0"/>
      </w:pPr>
      <w:r w:rsidRPr="002A066A">
        <w:t>Equilibrate all materials and prepared reagents to room temperature</w:t>
      </w:r>
      <w:r w:rsidR="00227F9F">
        <w:t xml:space="preserve"> just</w:t>
      </w:r>
      <w:r w:rsidRPr="002A066A">
        <w:t xml:space="preserve"> prior to use</w:t>
      </w:r>
      <w:r w:rsidR="00227F9F">
        <w:t xml:space="preserve"> and gently agitate</w:t>
      </w:r>
      <w:r w:rsidRPr="002A066A">
        <w:t>.</w:t>
      </w:r>
    </w:p>
    <w:p w14:paraId="701D0D02" w14:textId="77777777" w:rsidR="00007205" w:rsidRPr="002A066A" w:rsidRDefault="00595684" w:rsidP="00680476">
      <w:pPr>
        <w:pStyle w:val="ListParagraph"/>
        <w:numPr>
          <w:ilvl w:val="0"/>
          <w:numId w:val="9"/>
        </w:numPr>
        <w:spacing w:before="60" w:after="60"/>
        <w:ind w:left="357" w:hanging="357"/>
        <w:contextualSpacing w:val="0"/>
      </w:pPr>
      <w:r>
        <w:t>A</w:t>
      </w:r>
      <w:r w:rsidR="00007205" w:rsidRPr="002A066A">
        <w:t>ssay all standards, controls and samples in duplicate.</w:t>
      </w:r>
    </w:p>
    <w:p w14:paraId="59239E33" w14:textId="447774ED" w:rsidR="00804703" w:rsidRDefault="00804703">
      <w:pPr>
        <w:spacing w:before="0" w:after="0"/>
      </w:pPr>
    </w:p>
    <w:p w14:paraId="4678F05B" w14:textId="77777777" w:rsidR="00E90961" w:rsidRPr="002A066A" w:rsidRDefault="00E90961" w:rsidP="00E90961">
      <w:pPr>
        <w:pStyle w:val="11Abcambold"/>
      </w:pPr>
      <w:r>
        <w:t>Reaction wells set up</w:t>
      </w:r>
      <w:r w:rsidRPr="002A066A">
        <w:t>:</w:t>
      </w:r>
    </w:p>
    <w:p w14:paraId="28A9A721" w14:textId="3908446C" w:rsidR="00E90961" w:rsidRPr="002A066A" w:rsidRDefault="00E90961" w:rsidP="00680476">
      <w:pPr>
        <w:pStyle w:val="MediumGrid1-Accent21"/>
        <w:numPr>
          <w:ilvl w:val="0"/>
          <w:numId w:val="10"/>
        </w:numPr>
        <w:spacing w:before="60" w:after="60"/>
        <w:ind w:left="357" w:hanging="357"/>
      </w:pPr>
      <w:r w:rsidRPr="002A066A">
        <w:t xml:space="preserve">Standard wells = </w:t>
      </w:r>
      <w:r w:rsidR="004A13C3">
        <w:t>30</w:t>
      </w:r>
      <w:r w:rsidRPr="002A066A">
        <w:t xml:space="preserve"> µL standard dilutions.</w:t>
      </w:r>
    </w:p>
    <w:p w14:paraId="0F7D6F30" w14:textId="11B7B116" w:rsidR="00E90961" w:rsidRPr="002A066A" w:rsidRDefault="00E90961" w:rsidP="00680476">
      <w:pPr>
        <w:pStyle w:val="MediumGrid1-Accent21"/>
        <w:numPr>
          <w:ilvl w:val="0"/>
          <w:numId w:val="10"/>
        </w:numPr>
        <w:spacing w:before="60" w:after="60"/>
        <w:ind w:left="357" w:hanging="357"/>
      </w:pPr>
      <w:r w:rsidRPr="002A066A">
        <w:t xml:space="preserve">Sample wells </w:t>
      </w:r>
      <w:r w:rsidRPr="00B36E54">
        <w:t xml:space="preserve">= </w:t>
      </w:r>
      <w:r w:rsidR="004A13C3" w:rsidRPr="00B36E54">
        <w:t>5-30</w:t>
      </w:r>
      <w:r w:rsidRPr="00B36E54">
        <w:t xml:space="preserve"> µL samples (adjust volume to </w:t>
      </w:r>
      <w:r w:rsidR="004A13C3" w:rsidRPr="00B36E54">
        <w:t>30</w:t>
      </w:r>
      <w:r w:rsidRPr="00B36E54">
        <w:t xml:space="preserve"> µL/well with </w:t>
      </w:r>
      <w:r w:rsidR="00B36E54" w:rsidRPr="00B36E54">
        <w:t>CβS</w:t>
      </w:r>
      <w:r w:rsidRPr="00B36E54">
        <w:t xml:space="preserve"> Assay Buffer).</w:t>
      </w:r>
    </w:p>
    <w:p w14:paraId="5A1F41E1" w14:textId="44AF147E" w:rsidR="00E90961" w:rsidRPr="002A066A" w:rsidRDefault="00E90961" w:rsidP="00680476">
      <w:pPr>
        <w:pStyle w:val="MediumGrid1-Accent21"/>
        <w:numPr>
          <w:ilvl w:val="0"/>
          <w:numId w:val="10"/>
        </w:numPr>
        <w:spacing w:before="60" w:after="60"/>
        <w:ind w:left="357" w:hanging="357"/>
      </w:pPr>
      <w:r w:rsidRPr="002A066A">
        <w:t xml:space="preserve">Sample Background Control wells = </w:t>
      </w:r>
      <w:r w:rsidR="00B36E54">
        <w:t>5-30</w:t>
      </w:r>
      <w:r w:rsidRPr="002A066A">
        <w:t xml:space="preserve"> µL samples </w:t>
      </w:r>
      <w:r w:rsidR="00B36E54">
        <w:t>(use the same volume as for the sample wells)</w:t>
      </w:r>
      <w:r w:rsidRPr="002A066A">
        <w:t xml:space="preserve">(adjust volume to </w:t>
      </w:r>
      <w:r w:rsidR="00B36E54">
        <w:t>30</w:t>
      </w:r>
      <w:r w:rsidRPr="002A066A">
        <w:t xml:space="preserve"> µL/well </w:t>
      </w:r>
      <w:r w:rsidRPr="00B36E54">
        <w:t>with</w:t>
      </w:r>
      <w:r w:rsidR="00B36E54" w:rsidRPr="00B36E54">
        <w:t xml:space="preserve"> CβS </w:t>
      </w:r>
      <w:r w:rsidRPr="00B36E54">
        <w:t>Assay Buffer</w:t>
      </w:r>
      <w:r w:rsidRPr="002A066A">
        <w:t>).</w:t>
      </w:r>
      <w:r w:rsidR="00680476">
        <w:br/>
      </w:r>
    </w:p>
    <w:p w14:paraId="7843E753" w14:textId="77777777" w:rsidR="000F2633" w:rsidRPr="002A066A" w:rsidRDefault="000F2633" w:rsidP="000F2633">
      <w:pPr>
        <w:pStyle w:val="11Abcambold"/>
      </w:pPr>
      <w:r w:rsidRPr="00B06314">
        <w:t>CβS</w:t>
      </w:r>
      <w:r>
        <w:t xml:space="preserve"> Reaction mixes</w:t>
      </w:r>
      <w:r w:rsidRPr="002A066A">
        <w:t>:</w:t>
      </w:r>
    </w:p>
    <w:p w14:paraId="600E4D31" w14:textId="77777777" w:rsidR="000F2633" w:rsidRDefault="000F2633" w:rsidP="000F2633">
      <w:pPr>
        <w:pStyle w:val="1AbcamBulletpoints"/>
        <w:numPr>
          <w:ilvl w:val="0"/>
          <w:numId w:val="6"/>
        </w:numPr>
      </w:pPr>
      <w:r w:rsidRPr="00B06314">
        <w:t>Dilute Reducing Ag</w:t>
      </w:r>
      <w:r>
        <w:t>ent before use, by adding 17 µL of stock solution to 483 µL</w:t>
      </w:r>
      <w:r w:rsidRPr="00B06314">
        <w:t xml:space="preserve"> </w:t>
      </w:r>
      <w:bookmarkStart w:id="24" w:name="_Hlk529370295"/>
      <w:r w:rsidRPr="00B06314">
        <w:t>CβS</w:t>
      </w:r>
      <w:bookmarkEnd w:id="24"/>
      <w:r w:rsidRPr="00B06314">
        <w:t xml:space="preserve"> Assay Buffe</w:t>
      </w:r>
      <w:r>
        <w:t>r to create a working solution.</w:t>
      </w:r>
    </w:p>
    <w:p w14:paraId="0D519651" w14:textId="5CF1F2F8" w:rsidR="001E5705" w:rsidRPr="001E5705" w:rsidRDefault="000F2633" w:rsidP="001E5705">
      <w:pPr>
        <w:pStyle w:val="1AbcamBulletpoints"/>
        <w:numPr>
          <w:ilvl w:val="0"/>
          <w:numId w:val="6"/>
        </w:numPr>
      </w:pPr>
      <w:r w:rsidRPr="00B06314">
        <w:t xml:space="preserve">Mix enough reagents to prepare Master Mix (MM), Background Mix (BK), Standard Curve Mix (SC) and No Enzyme Control (NEC) for the number of assays and standards to be performed. </w:t>
      </w:r>
    </w:p>
    <w:p w14:paraId="44C70F2C" w14:textId="4902FE1E" w:rsidR="001E5705" w:rsidRDefault="001E5705" w:rsidP="001E5705">
      <w:pPr>
        <w:pStyle w:val="1AbcamStandardtext"/>
      </w:pPr>
      <w:proofErr w:type="spellStart"/>
      <w:r w:rsidRPr="00521CBD">
        <w:rPr>
          <w:b/>
        </w:rPr>
        <w:t>Δ</w:t>
      </w:r>
      <w:r w:rsidRPr="00F375B2">
        <w:rPr>
          <w:b/>
        </w:rPr>
        <w:t>Note</w:t>
      </w:r>
      <w:proofErr w:type="spellEnd"/>
      <w:r w:rsidRPr="00F375B2">
        <w:rPr>
          <w:b/>
        </w:rPr>
        <w:t>:</w:t>
      </w:r>
      <w:r>
        <w:rPr>
          <w:b/>
        </w:rPr>
        <w:t xml:space="preserve"> </w:t>
      </w:r>
      <w:r w:rsidRPr="001E5705">
        <w:t>For No Enzyme Control (NEC): Add 30 µl CβS Assay Buffer. Add 170 µl of Master Mix to the well. Compare linear range of NEC with Background (BK) to determine which value should be subtracted from Positive Control or Sample in determining activity</w:t>
      </w:r>
      <w:r>
        <w:t>.</w:t>
      </w:r>
    </w:p>
    <w:p w14:paraId="12DB9F91" w14:textId="77777777" w:rsidR="001E5705" w:rsidRDefault="001E5705" w:rsidP="001E5705">
      <w:pPr>
        <w:pStyle w:val="1AbcamStandardtext"/>
      </w:pPr>
    </w:p>
    <w:p w14:paraId="607B08BA" w14:textId="77777777" w:rsidR="000F2633" w:rsidRPr="002A066A" w:rsidRDefault="000F2633" w:rsidP="000F2633">
      <w:pPr>
        <w:pStyle w:val="1AbcamBulletpoints"/>
        <w:numPr>
          <w:ilvl w:val="0"/>
          <w:numId w:val="6"/>
        </w:numPr>
      </w:pPr>
      <w:r>
        <w:t>For each well, prepare 170 µL</w:t>
      </w:r>
      <w:r w:rsidRPr="00B06314">
        <w:t xml:space="preserve"> MM, BK or SC, containing:</w:t>
      </w:r>
    </w:p>
    <w:p w14:paraId="6B0AB9D5" w14:textId="77777777" w:rsidR="000F2633" w:rsidRPr="002A066A" w:rsidRDefault="000F2633" w:rsidP="000F2633">
      <w:pPr>
        <w:pStyle w:val="1AbcamStandardtext"/>
      </w:pPr>
    </w:p>
    <w:tbl>
      <w:tblPr>
        <w:tblW w:w="7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1417"/>
        <w:gridCol w:w="1417"/>
        <w:gridCol w:w="1417"/>
      </w:tblGrid>
      <w:tr w:rsidR="000F2633" w:rsidRPr="002A066A" w14:paraId="5553B2B6" w14:textId="77777777" w:rsidTr="00A654FF">
        <w:trPr>
          <w:trHeight w:val="306"/>
          <w:jc w:val="center"/>
        </w:trPr>
        <w:tc>
          <w:tcPr>
            <w:tcW w:w="2835" w:type="dxa"/>
            <w:vAlign w:val="center"/>
          </w:tcPr>
          <w:p w14:paraId="158820A9" w14:textId="77777777" w:rsidR="000F2633" w:rsidRPr="002A066A" w:rsidRDefault="000F2633" w:rsidP="00A654FF">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Component</w:t>
            </w:r>
          </w:p>
        </w:tc>
        <w:tc>
          <w:tcPr>
            <w:tcW w:w="1417" w:type="dxa"/>
            <w:vAlign w:val="center"/>
          </w:tcPr>
          <w:p w14:paraId="2259A5AC" w14:textId="77777777" w:rsidR="000F2633" w:rsidRPr="002A066A" w:rsidRDefault="000F2633" w:rsidP="00A654FF">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Master Mix</w:t>
            </w:r>
            <w:r w:rsidRPr="002A066A">
              <w:rPr>
                <w:rFonts w:cs="Arial"/>
                <w:b/>
                <w:bCs/>
                <w:color w:val="000000"/>
                <w:szCs w:val="18"/>
                <w:lang w:val="en-GB"/>
              </w:rPr>
              <w:t>(µL)</w:t>
            </w:r>
          </w:p>
        </w:tc>
        <w:tc>
          <w:tcPr>
            <w:tcW w:w="1417" w:type="dxa"/>
            <w:vAlign w:val="center"/>
          </w:tcPr>
          <w:p w14:paraId="64358CC0" w14:textId="77777777" w:rsidR="000F2633" w:rsidRPr="002A066A" w:rsidRDefault="000F2633" w:rsidP="00A654FF">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Background Mix</w:t>
            </w:r>
            <w:r w:rsidRPr="002A066A">
              <w:rPr>
                <w:rFonts w:cs="Arial"/>
                <w:b/>
                <w:bCs/>
                <w:color w:val="000000"/>
                <w:szCs w:val="18"/>
                <w:lang w:val="en-GB"/>
              </w:rPr>
              <w:t xml:space="preserve"> (µL)</w:t>
            </w:r>
          </w:p>
        </w:tc>
        <w:tc>
          <w:tcPr>
            <w:tcW w:w="1417" w:type="dxa"/>
            <w:vAlign w:val="center"/>
          </w:tcPr>
          <w:p w14:paraId="756596B6" w14:textId="77777777" w:rsidR="000F2633" w:rsidRPr="002A066A" w:rsidRDefault="000F2633" w:rsidP="00A654FF">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Standard Curve Mix</w:t>
            </w:r>
            <w:r w:rsidRPr="002A066A">
              <w:rPr>
                <w:rFonts w:cs="Arial"/>
                <w:b/>
                <w:bCs/>
                <w:color w:val="000000"/>
                <w:szCs w:val="18"/>
                <w:lang w:val="en-GB"/>
              </w:rPr>
              <w:t xml:space="preserve"> (µL)</w:t>
            </w:r>
          </w:p>
        </w:tc>
      </w:tr>
      <w:tr w:rsidR="000F2633" w:rsidRPr="002A066A" w14:paraId="2BF181E8" w14:textId="77777777" w:rsidTr="00A654FF">
        <w:trPr>
          <w:trHeight w:val="306"/>
          <w:jc w:val="center"/>
        </w:trPr>
        <w:tc>
          <w:tcPr>
            <w:tcW w:w="2835" w:type="dxa"/>
            <w:vAlign w:val="center"/>
          </w:tcPr>
          <w:p w14:paraId="06FBCDDB" w14:textId="77777777" w:rsidR="000F2633" w:rsidRPr="00B06314" w:rsidRDefault="000F2633" w:rsidP="00A654FF">
            <w:pPr>
              <w:autoSpaceDE w:val="0"/>
              <w:autoSpaceDN w:val="0"/>
              <w:adjustRightInd w:val="0"/>
              <w:spacing w:before="60" w:after="60"/>
              <w:rPr>
                <w:rFonts w:cs="Arial"/>
                <w:b/>
                <w:bCs/>
                <w:color w:val="000000"/>
                <w:sz w:val="18"/>
                <w:szCs w:val="18"/>
                <w:lang w:val="en-GB"/>
              </w:rPr>
            </w:pPr>
            <w:r w:rsidRPr="00916E1F">
              <w:rPr>
                <w:rFonts w:cs="Arial"/>
                <w:bCs/>
                <w:color w:val="000000"/>
                <w:sz w:val="18"/>
                <w:szCs w:val="18"/>
              </w:rPr>
              <w:t>CβS Assay Buffer</w:t>
            </w:r>
          </w:p>
        </w:tc>
        <w:tc>
          <w:tcPr>
            <w:tcW w:w="1417" w:type="dxa"/>
            <w:vAlign w:val="center"/>
          </w:tcPr>
          <w:p w14:paraId="051506F4" w14:textId="77777777" w:rsidR="000F2633" w:rsidRPr="002A066A" w:rsidRDefault="000F2633" w:rsidP="00A654FF">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115</w:t>
            </w:r>
          </w:p>
        </w:tc>
        <w:tc>
          <w:tcPr>
            <w:tcW w:w="1417" w:type="dxa"/>
          </w:tcPr>
          <w:p w14:paraId="12B8818E" w14:textId="77777777" w:rsidR="000F2633" w:rsidRPr="002A066A" w:rsidRDefault="000F2633" w:rsidP="00A654FF">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155</w:t>
            </w:r>
          </w:p>
        </w:tc>
        <w:tc>
          <w:tcPr>
            <w:tcW w:w="1417" w:type="dxa"/>
            <w:vAlign w:val="center"/>
          </w:tcPr>
          <w:p w14:paraId="4B4EDFEE" w14:textId="77777777" w:rsidR="000F2633" w:rsidRPr="002A066A" w:rsidRDefault="000F2633" w:rsidP="00A654FF">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157</w:t>
            </w:r>
          </w:p>
        </w:tc>
      </w:tr>
      <w:tr w:rsidR="000F2633" w:rsidRPr="002A066A" w14:paraId="002C5BEC" w14:textId="77777777" w:rsidTr="00A654FF">
        <w:trPr>
          <w:trHeight w:val="306"/>
          <w:jc w:val="center"/>
        </w:trPr>
        <w:tc>
          <w:tcPr>
            <w:tcW w:w="2835" w:type="dxa"/>
            <w:vAlign w:val="center"/>
          </w:tcPr>
          <w:p w14:paraId="6B116FF4" w14:textId="77777777" w:rsidR="000F2633" w:rsidRPr="00B06314" w:rsidRDefault="000F2633" w:rsidP="00A654FF">
            <w:pPr>
              <w:autoSpaceDE w:val="0"/>
              <w:autoSpaceDN w:val="0"/>
              <w:adjustRightInd w:val="0"/>
              <w:spacing w:before="60" w:after="60"/>
              <w:rPr>
                <w:rFonts w:cs="Arial"/>
                <w:bCs/>
                <w:color w:val="000000"/>
                <w:sz w:val="18"/>
                <w:szCs w:val="18"/>
              </w:rPr>
            </w:pPr>
            <w:r w:rsidRPr="00916E1F">
              <w:rPr>
                <w:rFonts w:cs="Arial"/>
                <w:bCs/>
                <w:color w:val="000000"/>
                <w:sz w:val="18"/>
                <w:szCs w:val="18"/>
              </w:rPr>
              <w:t>CβS Probe (in DMSO)</w:t>
            </w:r>
          </w:p>
        </w:tc>
        <w:tc>
          <w:tcPr>
            <w:tcW w:w="1417" w:type="dxa"/>
            <w:vAlign w:val="center"/>
          </w:tcPr>
          <w:p w14:paraId="1700D935" w14:textId="77777777" w:rsidR="000F2633" w:rsidRPr="002A066A" w:rsidRDefault="000F2633" w:rsidP="00A654FF">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w:t>
            </w:r>
          </w:p>
        </w:tc>
        <w:tc>
          <w:tcPr>
            <w:tcW w:w="1417" w:type="dxa"/>
          </w:tcPr>
          <w:p w14:paraId="16997995" w14:textId="77777777" w:rsidR="000F2633" w:rsidRPr="002A066A" w:rsidRDefault="000F2633" w:rsidP="00A654FF">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w:t>
            </w:r>
          </w:p>
        </w:tc>
        <w:tc>
          <w:tcPr>
            <w:tcW w:w="1417" w:type="dxa"/>
            <w:vAlign w:val="center"/>
          </w:tcPr>
          <w:p w14:paraId="18DA0CDE" w14:textId="77777777" w:rsidR="000F2633" w:rsidRPr="002A066A" w:rsidRDefault="000F2633" w:rsidP="00A654FF">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r>
      <w:tr w:rsidR="000F2633" w:rsidRPr="002A066A" w14:paraId="0047EFE9" w14:textId="77777777" w:rsidTr="00A654FF">
        <w:trPr>
          <w:trHeight w:val="306"/>
          <w:jc w:val="center"/>
        </w:trPr>
        <w:tc>
          <w:tcPr>
            <w:tcW w:w="2835" w:type="dxa"/>
            <w:vAlign w:val="center"/>
          </w:tcPr>
          <w:p w14:paraId="40CF13D9" w14:textId="77777777" w:rsidR="000F2633" w:rsidRPr="00B06314" w:rsidRDefault="000F2633" w:rsidP="00A654FF">
            <w:pPr>
              <w:autoSpaceDE w:val="0"/>
              <w:autoSpaceDN w:val="0"/>
              <w:adjustRightInd w:val="0"/>
              <w:spacing w:before="60" w:after="60"/>
              <w:rPr>
                <w:rFonts w:cs="Arial"/>
                <w:bCs/>
                <w:color w:val="000000"/>
                <w:sz w:val="18"/>
                <w:szCs w:val="18"/>
              </w:rPr>
            </w:pPr>
            <w:r w:rsidRPr="00916E1F">
              <w:rPr>
                <w:rFonts w:cs="Arial"/>
                <w:bCs/>
                <w:color w:val="000000"/>
                <w:sz w:val="18"/>
                <w:szCs w:val="18"/>
              </w:rPr>
              <w:t>CβS Substrate</w:t>
            </w:r>
          </w:p>
        </w:tc>
        <w:tc>
          <w:tcPr>
            <w:tcW w:w="1417" w:type="dxa"/>
            <w:vAlign w:val="center"/>
          </w:tcPr>
          <w:p w14:paraId="63393EA1" w14:textId="77777777" w:rsidR="000F2633" w:rsidRPr="002A066A" w:rsidRDefault="000F2633" w:rsidP="00A654FF">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40</w:t>
            </w:r>
          </w:p>
        </w:tc>
        <w:tc>
          <w:tcPr>
            <w:tcW w:w="1417" w:type="dxa"/>
          </w:tcPr>
          <w:p w14:paraId="262483B3" w14:textId="77777777" w:rsidR="000F2633" w:rsidRPr="002A066A" w:rsidRDefault="000F2633" w:rsidP="00A654FF">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c>
          <w:tcPr>
            <w:tcW w:w="1417" w:type="dxa"/>
            <w:vAlign w:val="center"/>
          </w:tcPr>
          <w:p w14:paraId="61DD425E" w14:textId="77777777" w:rsidR="000F2633" w:rsidRPr="002A066A" w:rsidRDefault="000F2633" w:rsidP="00A654FF">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r>
      <w:tr w:rsidR="000F2633" w:rsidRPr="002A066A" w14:paraId="431970D8" w14:textId="77777777" w:rsidTr="00A654FF">
        <w:trPr>
          <w:trHeight w:val="306"/>
          <w:jc w:val="center"/>
        </w:trPr>
        <w:tc>
          <w:tcPr>
            <w:tcW w:w="2835" w:type="dxa"/>
            <w:vAlign w:val="center"/>
          </w:tcPr>
          <w:p w14:paraId="62CB765D" w14:textId="77777777" w:rsidR="000F2633" w:rsidRPr="00B06314" w:rsidRDefault="000F2633" w:rsidP="00A654FF">
            <w:pPr>
              <w:autoSpaceDE w:val="0"/>
              <w:autoSpaceDN w:val="0"/>
              <w:adjustRightInd w:val="0"/>
              <w:spacing w:before="60" w:after="60"/>
              <w:rPr>
                <w:rFonts w:cs="Arial"/>
                <w:bCs/>
                <w:color w:val="000000"/>
                <w:sz w:val="18"/>
                <w:szCs w:val="18"/>
              </w:rPr>
            </w:pPr>
            <w:r>
              <w:rPr>
                <w:rFonts w:cs="Arial"/>
                <w:bCs/>
                <w:color w:val="000000"/>
                <w:sz w:val="18"/>
                <w:szCs w:val="18"/>
              </w:rPr>
              <w:t>Cofactor 1</w:t>
            </w:r>
          </w:p>
        </w:tc>
        <w:tc>
          <w:tcPr>
            <w:tcW w:w="1417" w:type="dxa"/>
            <w:vAlign w:val="center"/>
          </w:tcPr>
          <w:p w14:paraId="3288BAE2" w14:textId="77777777" w:rsidR="000F2633" w:rsidRPr="002A066A" w:rsidRDefault="000F2633" w:rsidP="00A654FF">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w:t>
            </w:r>
          </w:p>
        </w:tc>
        <w:tc>
          <w:tcPr>
            <w:tcW w:w="1417" w:type="dxa"/>
          </w:tcPr>
          <w:p w14:paraId="427643F2" w14:textId="77777777" w:rsidR="000F2633" w:rsidRPr="002A066A" w:rsidRDefault="000F2633" w:rsidP="00A654FF">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w:t>
            </w:r>
          </w:p>
        </w:tc>
        <w:tc>
          <w:tcPr>
            <w:tcW w:w="1417" w:type="dxa"/>
            <w:vAlign w:val="center"/>
          </w:tcPr>
          <w:p w14:paraId="4E197E91" w14:textId="77777777" w:rsidR="000F2633" w:rsidRPr="002A066A" w:rsidRDefault="000F2633" w:rsidP="00A654FF">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w:t>
            </w:r>
          </w:p>
        </w:tc>
      </w:tr>
      <w:tr w:rsidR="000F2633" w:rsidRPr="002A066A" w14:paraId="6B0F9353" w14:textId="77777777" w:rsidTr="00A654FF">
        <w:trPr>
          <w:trHeight w:val="306"/>
          <w:jc w:val="center"/>
        </w:trPr>
        <w:tc>
          <w:tcPr>
            <w:tcW w:w="2835" w:type="dxa"/>
            <w:vAlign w:val="center"/>
          </w:tcPr>
          <w:p w14:paraId="420AE516" w14:textId="77777777" w:rsidR="000F2633" w:rsidRPr="00B06314" w:rsidRDefault="000F2633" w:rsidP="00A654FF">
            <w:pPr>
              <w:autoSpaceDE w:val="0"/>
              <w:autoSpaceDN w:val="0"/>
              <w:adjustRightInd w:val="0"/>
              <w:spacing w:before="60" w:after="60"/>
              <w:rPr>
                <w:rFonts w:cs="Arial"/>
                <w:bCs/>
                <w:color w:val="000000"/>
                <w:sz w:val="18"/>
                <w:szCs w:val="18"/>
              </w:rPr>
            </w:pPr>
            <w:r>
              <w:rPr>
                <w:rFonts w:cs="Arial"/>
                <w:bCs/>
                <w:color w:val="000000"/>
                <w:sz w:val="18"/>
                <w:szCs w:val="18"/>
              </w:rPr>
              <w:t>Cofactor 2</w:t>
            </w:r>
          </w:p>
        </w:tc>
        <w:tc>
          <w:tcPr>
            <w:tcW w:w="1417" w:type="dxa"/>
            <w:vAlign w:val="center"/>
          </w:tcPr>
          <w:p w14:paraId="370355EF" w14:textId="77777777" w:rsidR="000F2633" w:rsidRPr="002A066A" w:rsidRDefault="000F2633" w:rsidP="00A654FF">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w:t>
            </w:r>
          </w:p>
        </w:tc>
        <w:tc>
          <w:tcPr>
            <w:tcW w:w="1417" w:type="dxa"/>
          </w:tcPr>
          <w:p w14:paraId="16047C9B" w14:textId="77777777" w:rsidR="000F2633" w:rsidRPr="002A066A" w:rsidRDefault="000F2633" w:rsidP="00A654FF">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w:t>
            </w:r>
          </w:p>
        </w:tc>
        <w:tc>
          <w:tcPr>
            <w:tcW w:w="1417" w:type="dxa"/>
            <w:vAlign w:val="center"/>
          </w:tcPr>
          <w:p w14:paraId="452D046D" w14:textId="77777777" w:rsidR="000F2633" w:rsidRPr="002A066A" w:rsidRDefault="000F2633" w:rsidP="00A654FF">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w:t>
            </w:r>
          </w:p>
        </w:tc>
      </w:tr>
      <w:tr w:rsidR="000F2633" w:rsidRPr="002A066A" w14:paraId="326C62C1" w14:textId="77777777" w:rsidTr="00A654FF">
        <w:trPr>
          <w:trHeight w:val="306"/>
          <w:jc w:val="center"/>
        </w:trPr>
        <w:tc>
          <w:tcPr>
            <w:tcW w:w="2835" w:type="dxa"/>
            <w:vAlign w:val="center"/>
          </w:tcPr>
          <w:p w14:paraId="4F93CD2A" w14:textId="77777777" w:rsidR="000F2633" w:rsidRPr="00B06314" w:rsidRDefault="000F2633" w:rsidP="00A654FF">
            <w:pPr>
              <w:autoSpaceDE w:val="0"/>
              <w:autoSpaceDN w:val="0"/>
              <w:adjustRightInd w:val="0"/>
              <w:spacing w:before="60" w:after="60"/>
              <w:rPr>
                <w:rFonts w:cs="Arial"/>
                <w:bCs/>
                <w:color w:val="000000"/>
                <w:sz w:val="18"/>
                <w:szCs w:val="18"/>
              </w:rPr>
            </w:pPr>
            <w:r>
              <w:rPr>
                <w:rFonts w:cs="Arial"/>
                <w:bCs/>
                <w:color w:val="000000"/>
                <w:sz w:val="18"/>
                <w:szCs w:val="18"/>
              </w:rPr>
              <w:t>Working Reducing Agent</w:t>
            </w:r>
          </w:p>
        </w:tc>
        <w:tc>
          <w:tcPr>
            <w:tcW w:w="1417" w:type="dxa"/>
            <w:vAlign w:val="center"/>
          </w:tcPr>
          <w:p w14:paraId="7432A164" w14:textId="77777777" w:rsidR="000F2633" w:rsidRPr="002A066A" w:rsidRDefault="000F2633" w:rsidP="00A654FF">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w:t>
            </w:r>
          </w:p>
        </w:tc>
        <w:tc>
          <w:tcPr>
            <w:tcW w:w="1417" w:type="dxa"/>
          </w:tcPr>
          <w:p w14:paraId="55667110" w14:textId="77777777" w:rsidR="000F2633" w:rsidRPr="002A066A" w:rsidRDefault="000F2633" w:rsidP="00A654FF">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w:t>
            </w:r>
          </w:p>
        </w:tc>
        <w:tc>
          <w:tcPr>
            <w:tcW w:w="1417" w:type="dxa"/>
            <w:vAlign w:val="center"/>
          </w:tcPr>
          <w:p w14:paraId="560C56D7" w14:textId="77777777" w:rsidR="000F2633" w:rsidRPr="002A066A" w:rsidRDefault="000F2633" w:rsidP="00A654FF">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w:t>
            </w:r>
          </w:p>
        </w:tc>
      </w:tr>
    </w:tbl>
    <w:p w14:paraId="03154821" w14:textId="77777777" w:rsidR="000F2633" w:rsidRDefault="000F2633" w:rsidP="000F2633">
      <w:pPr>
        <w:pStyle w:val="1AbcamStandardtext"/>
      </w:pPr>
    </w:p>
    <w:p w14:paraId="627CCE70" w14:textId="77777777" w:rsidR="000F2633" w:rsidRDefault="000F2633" w:rsidP="000F2633">
      <w:pPr>
        <w:pStyle w:val="1AbcamStandardtext"/>
      </w:pPr>
      <w:bookmarkStart w:id="25" w:name="_Hlk529371289"/>
      <w:proofErr w:type="spellStart"/>
      <w:r w:rsidRPr="00521CBD">
        <w:rPr>
          <w:b/>
        </w:rPr>
        <w:t>Δ</w:t>
      </w:r>
      <w:r w:rsidRPr="00F375B2">
        <w:rPr>
          <w:b/>
        </w:rPr>
        <w:t>Note</w:t>
      </w:r>
      <w:proofErr w:type="spellEnd"/>
      <w:r w:rsidRPr="00F375B2">
        <w:rPr>
          <w:b/>
        </w:rPr>
        <w:t>:</w:t>
      </w:r>
      <w:r>
        <w:rPr>
          <w:b/>
        </w:rPr>
        <w:t xml:space="preserve"> </w:t>
      </w:r>
      <w:bookmarkEnd w:id="25"/>
      <w:r>
        <w:t>Do not store the Working Reducing Agent. Always prepare fresh dilution prior to the assay.</w:t>
      </w:r>
    </w:p>
    <w:p w14:paraId="69087E39" w14:textId="77777777" w:rsidR="000F2633" w:rsidRPr="002A066A" w:rsidRDefault="000F2633" w:rsidP="000F2633">
      <w:pPr>
        <w:pStyle w:val="1AbcamStandardtext"/>
      </w:pPr>
    </w:p>
    <w:p w14:paraId="05DF31E5" w14:textId="77777777" w:rsidR="000F2633" w:rsidRDefault="000F2633" w:rsidP="000F2633">
      <w:pPr>
        <w:pStyle w:val="1AbcamBulletpoints"/>
        <w:numPr>
          <w:ilvl w:val="0"/>
          <w:numId w:val="6"/>
        </w:numPr>
      </w:pPr>
      <w:r w:rsidRPr="002A066A">
        <w:t xml:space="preserve">Add </w:t>
      </w:r>
      <w:r>
        <w:t>170</w:t>
      </w:r>
      <w:r w:rsidRPr="002A066A">
        <w:t xml:space="preserve"> µL of </w:t>
      </w:r>
      <w:r>
        <w:t>Master Mix into each S</w:t>
      </w:r>
      <w:r w:rsidRPr="002A066A">
        <w:t>ample</w:t>
      </w:r>
      <w:r>
        <w:t>, No</w:t>
      </w:r>
      <w:r w:rsidRPr="002A066A">
        <w:t xml:space="preserve"> </w:t>
      </w:r>
      <w:r>
        <w:t>Enzyme Control and Positive Control well</w:t>
      </w:r>
      <w:r w:rsidRPr="002A066A">
        <w:t>.</w:t>
      </w:r>
    </w:p>
    <w:p w14:paraId="5E89C1DB" w14:textId="77777777" w:rsidR="000F2633" w:rsidRDefault="000F2633" w:rsidP="000F2633">
      <w:pPr>
        <w:pStyle w:val="1AbcamBulletpoints"/>
        <w:numPr>
          <w:ilvl w:val="0"/>
          <w:numId w:val="6"/>
        </w:numPr>
      </w:pPr>
      <w:bookmarkStart w:id="26" w:name="_Hlk529371167"/>
      <w:r w:rsidRPr="000F2633">
        <w:t xml:space="preserve">Add </w:t>
      </w:r>
      <w:r w:rsidRPr="000F2633">
        <w:rPr>
          <w:rFonts w:cs="Arial"/>
          <w:bCs/>
          <w:sz w:val="18"/>
          <w:szCs w:val="18"/>
        </w:rPr>
        <w:t>170</w:t>
      </w:r>
      <w:r w:rsidRPr="000F2633">
        <w:t xml:space="preserve"> µL</w:t>
      </w:r>
      <w:r w:rsidRPr="002A066A">
        <w:t xml:space="preserve"> of Ba</w:t>
      </w:r>
      <w:r>
        <w:t>ckground Reaction Mix into the Background C</w:t>
      </w:r>
      <w:r w:rsidRPr="002A066A">
        <w:t>ontrol sample wells.</w:t>
      </w:r>
      <w:bookmarkEnd w:id="26"/>
    </w:p>
    <w:p w14:paraId="65DEDA14" w14:textId="3458B353" w:rsidR="000F2633" w:rsidRDefault="000F2633" w:rsidP="000F2633">
      <w:pPr>
        <w:pStyle w:val="1AbcamBulletpoints"/>
        <w:numPr>
          <w:ilvl w:val="0"/>
          <w:numId w:val="6"/>
        </w:numPr>
      </w:pPr>
      <w:r w:rsidRPr="000F2633">
        <w:t xml:space="preserve">Add </w:t>
      </w:r>
      <w:r w:rsidRPr="000F2633">
        <w:rPr>
          <w:bCs/>
        </w:rPr>
        <w:t>170</w:t>
      </w:r>
      <w:r w:rsidRPr="000F2633">
        <w:t xml:space="preserve"> µL of </w:t>
      </w:r>
      <w:r>
        <w:t>Standard Curve</w:t>
      </w:r>
      <w:r w:rsidRPr="000F2633">
        <w:t xml:space="preserve"> Mix into the </w:t>
      </w:r>
      <w:r>
        <w:t>AMC Standard Curve</w:t>
      </w:r>
      <w:r w:rsidRPr="000F2633">
        <w:t xml:space="preserve"> wells.</w:t>
      </w:r>
    </w:p>
    <w:p w14:paraId="49E43AAA" w14:textId="77777777" w:rsidR="00F9145C" w:rsidRDefault="00F9145C" w:rsidP="00F9145C">
      <w:pPr>
        <w:pStyle w:val="1AbcamBulletpoints"/>
        <w:ind w:left="360"/>
      </w:pPr>
    </w:p>
    <w:p w14:paraId="74941DC6" w14:textId="08D3654B" w:rsidR="000F2633" w:rsidRDefault="000F2633" w:rsidP="00E90961">
      <w:pPr>
        <w:pStyle w:val="11Abcambold"/>
      </w:pPr>
      <w:r>
        <w:t>Measurement:</w:t>
      </w:r>
    </w:p>
    <w:p w14:paraId="30E19702" w14:textId="49E59E36" w:rsidR="000F2633" w:rsidRDefault="000F2633" w:rsidP="000F2633">
      <w:pPr>
        <w:pStyle w:val="11Abcambold"/>
        <w:numPr>
          <w:ilvl w:val="0"/>
          <w:numId w:val="0"/>
        </w:numPr>
        <w:ind w:left="360"/>
        <w:rPr>
          <w:b w:val="0"/>
        </w:rPr>
      </w:pPr>
      <w:r w:rsidRPr="000F2633">
        <w:rPr>
          <w:b w:val="0"/>
        </w:rPr>
        <w:t>Measure fluorescence immediately at Ex/</w:t>
      </w:r>
      <w:proofErr w:type="spellStart"/>
      <w:r w:rsidRPr="000F2633">
        <w:rPr>
          <w:b w:val="0"/>
        </w:rPr>
        <w:t>Em</w:t>
      </w:r>
      <w:proofErr w:type="spellEnd"/>
      <w:r w:rsidRPr="000F2633">
        <w:rPr>
          <w:b w:val="0"/>
        </w:rPr>
        <w:t>= 368/460 nm in kinetic mo</w:t>
      </w:r>
      <w:r>
        <w:rPr>
          <w:b w:val="0"/>
        </w:rPr>
        <w:t>de for 40-60 minutes</w:t>
      </w:r>
      <w:r w:rsidRPr="000F2633">
        <w:rPr>
          <w:b w:val="0"/>
        </w:rPr>
        <w:t xml:space="preserve"> at 37°C.</w:t>
      </w:r>
      <w:r>
        <w:rPr>
          <w:b w:val="0"/>
        </w:rPr>
        <w:t xml:space="preserve"> The Standard Curv</w:t>
      </w:r>
      <w:r w:rsidR="00C75984">
        <w:rPr>
          <w:b w:val="0"/>
        </w:rPr>
        <w:t>e may be read in end-point mode (</w:t>
      </w:r>
      <w:r w:rsidR="00841E53">
        <w:rPr>
          <w:b w:val="0"/>
        </w:rPr>
        <w:t>i.e.</w:t>
      </w:r>
      <w:r w:rsidR="00C75984">
        <w:rPr>
          <w:b w:val="0"/>
        </w:rPr>
        <w:t xml:space="preserve"> At the end of the </w:t>
      </w:r>
      <w:proofErr w:type="spellStart"/>
      <w:r w:rsidR="00C75984">
        <w:rPr>
          <w:b w:val="0"/>
        </w:rPr>
        <w:t>incucation</w:t>
      </w:r>
      <w:proofErr w:type="spellEnd"/>
      <w:r w:rsidR="00C75984">
        <w:rPr>
          <w:b w:val="0"/>
        </w:rPr>
        <w:t xml:space="preserve"> period).</w:t>
      </w:r>
    </w:p>
    <w:p w14:paraId="14EE640C" w14:textId="21DE23D2" w:rsidR="000F2633" w:rsidRDefault="000F2633" w:rsidP="000F2633">
      <w:pPr>
        <w:pStyle w:val="11Abcambold"/>
        <w:numPr>
          <w:ilvl w:val="0"/>
          <w:numId w:val="0"/>
        </w:numPr>
        <w:ind w:left="360"/>
        <w:rPr>
          <w:b w:val="0"/>
        </w:rPr>
      </w:pPr>
    </w:p>
    <w:p w14:paraId="6210F652" w14:textId="2FA21186" w:rsidR="000F2633" w:rsidRDefault="000F2633" w:rsidP="000F2633">
      <w:pPr>
        <w:pStyle w:val="11Abcambold"/>
        <w:numPr>
          <w:ilvl w:val="0"/>
          <w:numId w:val="0"/>
        </w:numPr>
      </w:pPr>
      <w:bookmarkStart w:id="27" w:name="_Hlk529371347"/>
      <w:proofErr w:type="spellStart"/>
      <w:r w:rsidRPr="00521CBD">
        <w:t>Δ</w:t>
      </w:r>
      <w:r w:rsidRPr="00F375B2">
        <w:t>Note</w:t>
      </w:r>
      <w:proofErr w:type="spellEnd"/>
      <w:r w:rsidRPr="00F375B2">
        <w:t>:</w:t>
      </w:r>
      <w:r w:rsidRPr="000F2633">
        <w:rPr>
          <w:rFonts w:eastAsia="Cambria" w:cs="Times New Roman"/>
          <w:b w:val="0"/>
        </w:rPr>
        <w:t xml:space="preserve"> </w:t>
      </w:r>
      <w:bookmarkEnd w:id="27"/>
      <w:r w:rsidRPr="000F2633">
        <w:rPr>
          <w:b w:val="0"/>
        </w:rPr>
        <w:t>Incubation time depends on CβS Activity in the samples. We recommend measuring fluorescence in kinetic mode, and choosing two time points (t</w:t>
      </w:r>
      <w:r w:rsidRPr="000F2633">
        <w:rPr>
          <w:b w:val="0"/>
          <w:vertAlign w:val="subscript"/>
        </w:rPr>
        <w:t>1</w:t>
      </w:r>
      <w:r w:rsidRPr="000F2633">
        <w:rPr>
          <w:b w:val="0"/>
        </w:rPr>
        <w:t xml:space="preserve"> and t</w:t>
      </w:r>
      <w:r w:rsidRPr="000F2633">
        <w:rPr>
          <w:b w:val="0"/>
          <w:vertAlign w:val="subscript"/>
        </w:rPr>
        <w:t>2</w:t>
      </w:r>
      <w:r w:rsidRPr="000F2633">
        <w:rPr>
          <w:b w:val="0"/>
        </w:rPr>
        <w:t>) in the linear range to calculate the CβS activity of the samples. We recommend running the assay for at least 40-60 minutes in the kinetic mode</w:t>
      </w:r>
      <w:r w:rsidRPr="000F2633">
        <w:t xml:space="preserve">. </w:t>
      </w:r>
      <w:r>
        <w:t xml:space="preserve"> </w:t>
      </w:r>
    </w:p>
    <w:p w14:paraId="029DFB88" w14:textId="01C74430" w:rsidR="000F2633" w:rsidRDefault="000F2633" w:rsidP="000F2633">
      <w:pPr>
        <w:pStyle w:val="11Abcambold"/>
        <w:numPr>
          <w:ilvl w:val="0"/>
          <w:numId w:val="0"/>
        </w:numPr>
      </w:pPr>
    </w:p>
    <w:p w14:paraId="548F8642" w14:textId="1A5CE169" w:rsidR="000F2633" w:rsidRDefault="000F2633" w:rsidP="000F2633">
      <w:pPr>
        <w:pStyle w:val="11Abcambold"/>
        <w:numPr>
          <w:ilvl w:val="0"/>
          <w:numId w:val="0"/>
        </w:numPr>
        <w:rPr>
          <w:b w:val="0"/>
        </w:rPr>
      </w:pPr>
      <w:proofErr w:type="spellStart"/>
      <w:r w:rsidRPr="00521CBD">
        <w:t>Δ</w:t>
      </w:r>
      <w:r w:rsidRPr="00F375B2">
        <w:t>Note</w:t>
      </w:r>
      <w:proofErr w:type="spellEnd"/>
      <w:r w:rsidRPr="00F375B2">
        <w:t>:</w:t>
      </w:r>
      <w:r>
        <w:t xml:space="preserve"> </w:t>
      </w:r>
      <w:r w:rsidRPr="000F2633">
        <w:rPr>
          <w:b w:val="0"/>
        </w:rPr>
        <w:t>The enzymatic product (H</w:t>
      </w:r>
      <w:r w:rsidRPr="000F2633">
        <w:rPr>
          <w:b w:val="0"/>
          <w:vertAlign w:val="subscript"/>
        </w:rPr>
        <w:t>2</w:t>
      </w:r>
      <w:r w:rsidRPr="000F2633">
        <w:rPr>
          <w:b w:val="0"/>
        </w:rPr>
        <w:t>S) reacts with the CβS probe to yield fluorescence. This may cause a lag phase to appear in the CβS Activity Progress Curve</w:t>
      </w:r>
      <w:r>
        <w:rPr>
          <w:b w:val="0"/>
        </w:rPr>
        <w:t>.</w:t>
      </w:r>
    </w:p>
    <w:p w14:paraId="7840389B" w14:textId="52C88CBE" w:rsidR="000F2633" w:rsidRDefault="000F2633" w:rsidP="000F2633">
      <w:pPr>
        <w:pStyle w:val="11Abcambold"/>
        <w:numPr>
          <w:ilvl w:val="0"/>
          <w:numId w:val="0"/>
        </w:numPr>
        <w:rPr>
          <w:b w:val="0"/>
        </w:rPr>
      </w:pPr>
    </w:p>
    <w:p w14:paraId="72CC275E" w14:textId="77777777" w:rsidR="000F2633" w:rsidRPr="000F2633" w:rsidRDefault="000F2633" w:rsidP="000F2633">
      <w:pPr>
        <w:pStyle w:val="11Abcambold"/>
        <w:numPr>
          <w:ilvl w:val="0"/>
          <w:numId w:val="0"/>
        </w:numPr>
        <w:rPr>
          <w:b w:val="0"/>
        </w:rPr>
      </w:pPr>
    </w:p>
    <w:p w14:paraId="49E96E3B" w14:textId="77777777" w:rsidR="00E90961" w:rsidRDefault="00E90961">
      <w:pPr>
        <w:spacing w:before="0" w:after="0"/>
      </w:pPr>
    </w:p>
    <w:p w14:paraId="1B36B2BD" w14:textId="77777777" w:rsidR="00826A4D" w:rsidRDefault="00826A4D">
      <w:pPr>
        <w:spacing w:before="0" w:after="0"/>
        <w:rPr>
          <w:rFonts w:eastAsiaTheme="minorHAnsi" w:cstheme="minorBidi"/>
          <w:szCs w:val="20"/>
        </w:rPr>
      </w:pPr>
      <w:r>
        <w:br w:type="page"/>
      </w:r>
    </w:p>
    <w:p w14:paraId="1C73C651" w14:textId="77777777" w:rsidR="00013D0A" w:rsidRPr="002A066A" w:rsidRDefault="006B255F" w:rsidP="001E2DD7">
      <w:pPr>
        <w:pStyle w:val="1Abcamheading"/>
      </w:pPr>
      <w:bookmarkStart w:id="28" w:name="_Toc531249497"/>
      <w:r>
        <w:lastRenderedPageBreak/>
        <w:t>Data Analysis</w:t>
      </w:r>
      <w:bookmarkEnd w:id="28"/>
    </w:p>
    <w:p w14:paraId="6E7E357E" w14:textId="77777777" w:rsidR="00E90961" w:rsidRPr="00DF15C2" w:rsidRDefault="00E90961" w:rsidP="002743BD">
      <w:pPr>
        <w:pStyle w:val="1AbcamBulletpoints"/>
      </w:pPr>
      <w:r w:rsidRPr="00DF15C2">
        <w:t>Samples producing signals greater than that of the highest standard should be further diluted in appropriate buffer and reanalyzed, then multiply the concentration found by the appropriate dilution factor.</w:t>
      </w:r>
    </w:p>
    <w:p w14:paraId="7AD715B6" w14:textId="77777777" w:rsidR="00E90961" w:rsidRPr="000A2DCC" w:rsidRDefault="00E90961" w:rsidP="00E90961">
      <w:pPr>
        <w:pStyle w:val="1AbcamStandardtext"/>
        <w:rPr>
          <w:highlight w:val="yellow"/>
        </w:rPr>
      </w:pPr>
    </w:p>
    <w:p w14:paraId="2868D989" w14:textId="244D30B2" w:rsidR="009558F2" w:rsidRDefault="009558F2" w:rsidP="00680476">
      <w:pPr>
        <w:pStyle w:val="11Abcam"/>
        <w:numPr>
          <w:ilvl w:val="0"/>
          <w:numId w:val="22"/>
        </w:numPr>
        <w:ind w:left="360"/>
      </w:pPr>
      <w:r w:rsidRPr="00890D66">
        <w:t>Average the duplicate reading for each standard</w:t>
      </w:r>
      <w:r w:rsidR="00633C55" w:rsidRPr="00890D66">
        <w:t>,</w:t>
      </w:r>
      <w:r w:rsidR="00FE64CE" w:rsidRPr="00890D66">
        <w:t xml:space="preserve"> control</w:t>
      </w:r>
      <w:r w:rsidRPr="00890D66">
        <w:t xml:space="preserve"> and sample.</w:t>
      </w:r>
    </w:p>
    <w:p w14:paraId="4051E053" w14:textId="11C490BA" w:rsidR="00890D66" w:rsidRDefault="00C27761" w:rsidP="00680476">
      <w:pPr>
        <w:pStyle w:val="11Abcam"/>
        <w:numPr>
          <w:ilvl w:val="0"/>
          <w:numId w:val="22"/>
        </w:numPr>
        <w:ind w:left="360"/>
      </w:pPr>
      <w:r>
        <w:t>Subtract 0  Standard reading</w:t>
      </w:r>
      <w:r w:rsidRPr="00783DFE">
        <w:t xml:space="preserve"> from all St</w:t>
      </w:r>
      <w:r>
        <w:t>andard readings. Plot the Standard Curve.</w:t>
      </w:r>
    </w:p>
    <w:p w14:paraId="3CF0F6C1" w14:textId="165A11AF" w:rsidR="00C27761" w:rsidRDefault="00E76DC0" w:rsidP="00680476">
      <w:pPr>
        <w:pStyle w:val="11Abcam"/>
        <w:numPr>
          <w:ilvl w:val="0"/>
          <w:numId w:val="22"/>
        </w:numPr>
        <w:ind w:left="360"/>
      </w:pPr>
      <w:r w:rsidRPr="00E76DC0">
        <w:t>If sample Background Control (BK) reading is higher than NEC, subtract that value from the sample readings, otherwise subtract NEC value from sample value: ∆RFU=∆RFU</w:t>
      </w:r>
      <w:r w:rsidRPr="00E76DC0">
        <w:rPr>
          <w:vertAlign w:val="subscript"/>
        </w:rPr>
        <w:t>S</w:t>
      </w:r>
      <w:r>
        <w:t>-∆RFU</w:t>
      </w:r>
      <w:r>
        <w:rPr>
          <w:vertAlign w:val="subscript"/>
        </w:rPr>
        <w:t>BK/NEC</w:t>
      </w:r>
      <w:r>
        <w:t>.</w:t>
      </w:r>
    </w:p>
    <w:p w14:paraId="1865309B" w14:textId="35048BAC" w:rsidR="00E76DC0" w:rsidRDefault="00E76DC0" w:rsidP="00680476">
      <w:pPr>
        <w:pStyle w:val="11Abcam"/>
        <w:numPr>
          <w:ilvl w:val="0"/>
          <w:numId w:val="22"/>
        </w:numPr>
        <w:ind w:left="360"/>
      </w:pPr>
      <w:r w:rsidRPr="00E76DC0">
        <w:t xml:space="preserve">Apply ∆RFU to Standard Curve to get B </w:t>
      </w:r>
      <w:proofErr w:type="spellStart"/>
      <w:r w:rsidRPr="00E76DC0">
        <w:t>pmol</w:t>
      </w:r>
      <w:proofErr w:type="spellEnd"/>
      <w:r w:rsidRPr="00E76DC0">
        <w:t xml:space="preserve"> of AMC generated by </w:t>
      </w:r>
      <w:bookmarkStart w:id="29" w:name="_Hlk529372053"/>
      <w:r w:rsidRPr="00E76DC0">
        <w:t>CβS</w:t>
      </w:r>
      <w:bookmarkEnd w:id="29"/>
      <w:r w:rsidRPr="00E76DC0">
        <w:t xml:space="preserve"> during the reaction time (∆t=t</w:t>
      </w:r>
      <w:r w:rsidRPr="00E76DC0">
        <w:rPr>
          <w:vertAlign w:val="subscript"/>
        </w:rPr>
        <w:t>2</w:t>
      </w:r>
      <w:r w:rsidRPr="00E76DC0">
        <w:t>-t</w:t>
      </w:r>
      <w:r w:rsidRPr="00E76DC0">
        <w:rPr>
          <w:vertAlign w:val="subscript"/>
        </w:rPr>
        <w:t>1</w:t>
      </w:r>
      <w:r w:rsidRPr="00E76DC0">
        <w:t>).</w:t>
      </w:r>
    </w:p>
    <w:p w14:paraId="51CED580" w14:textId="06E16AD7" w:rsidR="00E76DC0" w:rsidRDefault="00E76DC0" w:rsidP="00E76DC0">
      <w:pPr>
        <w:pStyle w:val="11Abcam"/>
        <w:numPr>
          <w:ilvl w:val="0"/>
          <w:numId w:val="0"/>
        </w:numPr>
        <w:ind w:left="567" w:hanging="567"/>
      </w:pPr>
    </w:p>
    <w:p w14:paraId="10CC7DB2" w14:textId="77777777" w:rsidR="00E76DC0" w:rsidRPr="00890D66" w:rsidRDefault="00E76DC0" w:rsidP="00E76DC0">
      <w:pPr>
        <w:pStyle w:val="11Abcam"/>
        <w:numPr>
          <w:ilvl w:val="0"/>
          <w:numId w:val="0"/>
        </w:numPr>
        <w:ind w:left="567" w:hanging="567"/>
      </w:pPr>
    </w:p>
    <w:p w14:paraId="600A3BA3" w14:textId="2EE65069" w:rsidR="00E90961" w:rsidRPr="000D3AE3" w:rsidRDefault="00C756EA" w:rsidP="00E90961">
      <w:pPr>
        <w:pStyle w:val="zStyleLatinCambriaMathItalicLeft12cm"/>
        <w:ind w:left="320"/>
        <w:rPr>
          <w:rStyle w:val="zStyleLatinCambriaMathItalic"/>
          <w:rFonts w:ascii="Century Gothic" w:hAnsi="Century Gothic"/>
        </w:rPr>
      </w:pPr>
      <w:bookmarkStart w:id="30" w:name="_Hlk529372031"/>
      <m:oMathPara>
        <m:oMath>
          <m:r>
            <m:t xml:space="preserve">CβS Activity </m:t>
          </m:r>
          <w:bookmarkEnd w:id="30"/>
          <m:r>
            <m:t xml:space="preserve">(A) </m:t>
          </m:r>
          <m:r>
            <w:rPr>
              <w:rStyle w:val="zStyleLatinCambriaMathItalic"/>
            </w:rPr>
            <m:t>=</m:t>
          </m:r>
          <m:f>
            <m:fPr>
              <m:ctrlPr>
                <w:rPr>
                  <w:rStyle w:val="zStyleLatinCambriaMathItalic"/>
                  <w:i/>
                  <w:iCs/>
                </w:rPr>
              </m:ctrlPr>
            </m:fPr>
            <m:num>
              <m:r>
                <w:rPr>
                  <w:rStyle w:val="zStyleLatinCambriaMathItalic"/>
                </w:rPr>
                <m:t>B</m:t>
              </m:r>
            </m:num>
            <m:den>
              <m:r>
                <w:rPr>
                  <w:rStyle w:val="zStyleLatinCambriaMathItalic"/>
                </w:rPr>
                <m:t>(</m:t>
              </m:r>
              <m:r>
                <m:t>∆t*V)</m:t>
              </m:r>
            </m:den>
          </m:f>
          <m:r>
            <w:rPr>
              <w:rStyle w:val="zStyleLatinCambriaMathItalic"/>
            </w:rPr>
            <m:t>*D</m:t>
          </m:r>
        </m:oMath>
      </m:oMathPara>
    </w:p>
    <w:p w14:paraId="6F078FB3" w14:textId="77777777" w:rsidR="00E90961" w:rsidRPr="000D3AE3" w:rsidRDefault="00E90961" w:rsidP="00E90961">
      <w:pPr>
        <w:pStyle w:val="1AbcamStandardtext"/>
      </w:pPr>
      <w:r w:rsidRPr="000D3AE3">
        <w:t>Where:</w:t>
      </w:r>
    </w:p>
    <w:p w14:paraId="5A300B2E" w14:textId="587512FC" w:rsidR="00C756EA" w:rsidRDefault="00C756EA" w:rsidP="00E90961">
      <w:pPr>
        <w:pStyle w:val="1AbcamStandardtext"/>
      </w:pPr>
      <w:r>
        <w:t xml:space="preserve">A = </w:t>
      </w:r>
      <w:r w:rsidRPr="00C756EA">
        <w:t>CβS</w:t>
      </w:r>
      <w:r>
        <w:t xml:space="preserve"> Activity (</w:t>
      </w:r>
      <w:proofErr w:type="spellStart"/>
      <w:r w:rsidR="00556392">
        <w:t>p</w:t>
      </w:r>
      <w:r>
        <w:t>mol</w:t>
      </w:r>
      <w:proofErr w:type="spellEnd"/>
      <w:r>
        <w:t>/minute/mL = U/mL)</w:t>
      </w:r>
    </w:p>
    <w:p w14:paraId="1020C136" w14:textId="718DFBD5" w:rsidR="00E90961" w:rsidRPr="000D3AE3" w:rsidRDefault="00E90961" w:rsidP="00E90961">
      <w:pPr>
        <w:pStyle w:val="1AbcamStandardtext"/>
      </w:pPr>
      <w:r w:rsidRPr="000D3AE3">
        <w:t xml:space="preserve">B = amount of </w:t>
      </w:r>
      <w:r w:rsidR="00C756EA">
        <w:t>AMC</w:t>
      </w:r>
      <w:r w:rsidRPr="000D3AE3">
        <w:t xml:space="preserve"> </w:t>
      </w:r>
      <w:r w:rsidR="00C756EA">
        <w:t xml:space="preserve">produced </w:t>
      </w:r>
      <w:r w:rsidRPr="000D3AE3">
        <w:t xml:space="preserve">in the sample well </w:t>
      </w:r>
      <w:r w:rsidR="000A2DCC" w:rsidRPr="000D3AE3">
        <w:t>calculated fr</w:t>
      </w:r>
      <w:r w:rsidR="00C756EA">
        <w:t>om standard curve</w:t>
      </w:r>
      <w:r w:rsidR="003C6E8E">
        <w:t xml:space="preserve"> (</w:t>
      </w:r>
      <w:proofErr w:type="spellStart"/>
      <w:r w:rsidR="003C6E8E">
        <w:t>pmol</w:t>
      </w:r>
      <w:proofErr w:type="spellEnd"/>
      <w:r w:rsidR="003C6E8E">
        <w:t>)</w:t>
      </w:r>
      <w:r w:rsidRPr="000D3AE3">
        <w:t>.</w:t>
      </w:r>
    </w:p>
    <w:p w14:paraId="53A0FFC5" w14:textId="606C78B9" w:rsidR="00E90961" w:rsidRPr="000D3AE3" w:rsidRDefault="00E90961" w:rsidP="00E90961">
      <w:pPr>
        <w:pStyle w:val="1AbcamStandardtext"/>
      </w:pPr>
      <w:r w:rsidRPr="000D3AE3">
        <w:t>V = sample v</w:t>
      </w:r>
      <w:r w:rsidR="003C6E8E">
        <w:t>olume added in the sample wells (mL)</w:t>
      </w:r>
      <w:r w:rsidRPr="000D3AE3">
        <w:t>.</w:t>
      </w:r>
    </w:p>
    <w:p w14:paraId="62810986" w14:textId="1063EEBC" w:rsidR="00E90961" w:rsidRDefault="003C6E8E" w:rsidP="00E90961">
      <w:pPr>
        <w:pStyle w:val="1AbcamBulletpoints"/>
        <w:ind w:left="360" w:hanging="360"/>
      </w:pPr>
      <w:r>
        <w:t>D = sample dilution factor.</w:t>
      </w:r>
    </w:p>
    <w:p w14:paraId="64CA5685" w14:textId="41661D4F" w:rsidR="00006EF6" w:rsidRDefault="00006EF6" w:rsidP="00E90961">
      <w:pPr>
        <w:pStyle w:val="1AbcamBulletpoints"/>
        <w:ind w:left="360" w:hanging="360"/>
      </w:pPr>
    </w:p>
    <w:p w14:paraId="057F363F" w14:textId="7C50BA7E" w:rsidR="00006EF6" w:rsidRDefault="00006EF6" w:rsidP="00E90961">
      <w:pPr>
        <w:pStyle w:val="1AbcamBulletpoints"/>
        <w:ind w:left="360" w:hanging="360"/>
      </w:pPr>
    </w:p>
    <w:p w14:paraId="400F6909" w14:textId="24E9F7E1" w:rsidR="00006EF6" w:rsidRPr="000D3AE3" w:rsidRDefault="00006EF6" w:rsidP="00006EF6">
      <w:pPr>
        <w:pStyle w:val="1AbcamBulletpoints"/>
      </w:pPr>
      <w:r w:rsidRPr="00006EF6">
        <w:rPr>
          <w:b/>
        </w:rPr>
        <w:t>Unit Definition:</w:t>
      </w:r>
      <w:r>
        <w:t xml:space="preserve"> One unit of CβS activity is the amount of enzyme that generates 1.0 nmol of AMC per minute at pH 8.0 at 37 </w:t>
      </w:r>
      <w:r>
        <w:rPr>
          <w:rFonts w:ascii="Arial" w:hAnsi="Arial" w:cs="Arial"/>
        </w:rPr>
        <w:t>̊</w:t>
      </w:r>
      <w:r>
        <w:t>C. CβS Activity can also be expressed as U/mg protein.</w:t>
      </w:r>
    </w:p>
    <w:p w14:paraId="0B57352C" w14:textId="77777777" w:rsidR="00680476" w:rsidRDefault="00680476" w:rsidP="00E90961">
      <w:pPr>
        <w:pStyle w:val="1AbcamBulletpoints"/>
        <w:ind w:left="360" w:hanging="360"/>
        <w:rPr>
          <w:highlight w:val="yellow"/>
        </w:rPr>
      </w:pPr>
    </w:p>
    <w:bookmarkEnd w:id="22"/>
    <w:bookmarkEnd w:id="23"/>
    <w:p w14:paraId="3D1EB2AA" w14:textId="34B3DC4E" w:rsidR="006B255F" w:rsidRPr="000D3AE3" w:rsidRDefault="006B255F" w:rsidP="000D3AE3">
      <w:pPr>
        <w:pStyle w:val="1AbcamStandardtext"/>
      </w:pPr>
      <w:r>
        <w:br w:type="page"/>
      </w:r>
    </w:p>
    <w:p w14:paraId="5DB8F534" w14:textId="77777777" w:rsidR="00B86D77" w:rsidRPr="002A066A" w:rsidRDefault="00E44FA4" w:rsidP="001E2DD7">
      <w:pPr>
        <w:pStyle w:val="1Abcamheading"/>
      </w:pPr>
      <w:bookmarkStart w:id="31" w:name="_Toc531249498"/>
      <w:r w:rsidRPr="002A066A">
        <w:lastRenderedPageBreak/>
        <w:t xml:space="preserve">Typical </w:t>
      </w:r>
      <w:r w:rsidR="00B86D77" w:rsidRPr="002A066A">
        <w:t>Data</w:t>
      </w:r>
      <w:bookmarkEnd w:id="31"/>
    </w:p>
    <w:p w14:paraId="1BA3B6BE" w14:textId="77777777" w:rsidR="00B86D77" w:rsidRDefault="006B255F" w:rsidP="00D530F3">
      <w:pPr>
        <w:spacing w:before="60" w:after="60"/>
        <w:rPr>
          <w:lang w:val="en-GB"/>
        </w:rPr>
      </w:pPr>
      <w:r>
        <w:rPr>
          <w:lang w:val="en-GB"/>
        </w:rPr>
        <w:t>D</w:t>
      </w:r>
      <w:r w:rsidR="00E44FA4" w:rsidRPr="002A066A">
        <w:rPr>
          <w:lang w:val="en-GB"/>
        </w:rPr>
        <w:t xml:space="preserve">ata provided </w:t>
      </w:r>
      <w:r w:rsidR="00E44FA4" w:rsidRPr="002A066A">
        <w:rPr>
          <w:b/>
          <w:lang w:val="en-GB"/>
        </w:rPr>
        <w:t>for demonstration purposes only</w:t>
      </w:r>
      <w:r w:rsidR="00E44FA4" w:rsidRPr="002A066A">
        <w:rPr>
          <w:lang w:val="en-GB"/>
        </w:rPr>
        <w:t xml:space="preserve">. </w:t>
      </w:r>
    </w:p>
    <w:p w14:paraId="72A64B3F" w14:textId="62C16E90" w:rsidR="006B255F" w:rsidRDefault="006B255F" w:rsidP="00D530F3">
      <w:pPr>
        <w:spacing w:before="60" w:after="60"/>
        <w:rPr>
          <w:lang w:val="en-GB"/>
        </w:rPr>
      </w:pPr>
    </w:p>
    <w:p w14:paraId="31BB6580" w14:textId="76A6CA66" w:rsidR="002B279D" w:rsidRDefault="002B279D" w:rsidP="002B279D">
      <w:pPr>
        <w:spacing w:before="60" w:after="60"/>
        <w:jc w:val="center"/>
        <w:rPr>
          <w:lang w:val="en-GB"/>
        </w:rPr>
      </w:pPr>
      <w:r>
        <w:rPr>
          <w:noProof/>
        </w:rPr>
        <w:drawing>
          <wp:inline distT="0" distB="0" distL="0" distR="0" wp14:anchorId="7DCABCED" wp14:editId="74F0F676">
            <wp:extent cx="2419350" cy="18733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3878" cy="1907870"/>
                    </a:xfrm>
                    <a:prstGeom prst="rect">
                      <a:avLst/>
                    </a:prstGeom>
                    <a:noFill/>
                    <a:ln>
                      <a:noFill/>
                    </a:ln>
                  </pic:spPr>
                </pic:pic>
              </a:graphicData>
            </a:graphic>
          </wp:inline>
        </w:drawing>
      </w:r>
    </w:p>
    <w:p w14:paraId="77F36C86" w14:textId="77777777" w:rsidR="002B279D" w:rsidRDefault="002B279D" w:rsidP="00D530F3">
      <w:pPr>
        <w:spacing w:before="60" w:after="60"/>
        <w:rPr>
          <w:lang w:val="en-GB"/>
        </w:rPr>
      </w:pPr>
    </w:p>
    <w:p w14:paraId="061BD235" w14:textId="57160C75" w:rsidR="003B15FA" w:rsidRDefault="00E44FA4" w:rsidP="008A2F6E">
      <w:pPr>
        <w:pStyle w:val="1AbcamImageLegend"/>
      </w:pPr>
      <w:bookmarkStart w:id="32" w:name="_Hlk529372396"/>
      <w:r w:rsidRPr="008A2F6E">
        <w:rPr>
          <w:b/>
        </w:rPr>
        <w:t>Figure 1</w:t>
      </w:r>
      <w:r w:rsidRPr="008A2F6E">
        <w:t xml:space="preserve">. </w:t>
      </w:r>
      <w:r w:rsidR="002B279D">
        <w:t>AMC Standard Curve.</w:t>
      </w:r>
    </w:p>
    <w:bookmarkEnd w:id="32"/>
    <w:p w14:paraId="03E8D1FA" w14:textId="5B2C13F6" w:rsidR="002B279D" w:rsidRDefault="002B279D" w:rsidP="008A2F6E">
      <w:pPr>
        <w:pStyle w:val="1AbcamImageLegend"/>
      </w:pPr>
    </w:p>
    <w:p w14:paraId="4506B163" w14:textId="2CD007D2" w:rsidR="002B279D" w:rsidRDefault="002B279D" w:rsidP="008A2F6E">
      <w:pPr>
        <w:pStyle w:val="1AbcamImageLegend"/>
      </w:pPr>
    </w:p>
    <w:p w14:paraId="43C8C97F" w14:textId="77777777" w:rsidR="002B279D" w:rsidRDefault="002B279D" w:rsidP="008A2F6E">
      <w:pPr>
        <w:pStyle w:val="1AbcamImageLegend"/>
      </w:pPr>
    </w:p>
    <w:p w14:paraId="53D15752" w14:textId="210FC872" w:rsidR="002B279D" w:rsidRDefault="002B279D" w:rsidP="008A2F6E">
      <w:pPr>
        <w:pStyle w:val="1AbcamImageLegend"/>
      </w:pPr>
    </w:p>
    <w:p w14:paraId="75898737" w14:textId="5A080681" w:rsidR="002B279D" w:rsidRPr="008A2F6E" w:rsidRDefault="002B279D" w:rsidP="002B279D">
      <w:pPr>
        <w:pStyle w:val="1AbcamImageLegend"/>
        <w:jc w:val="center"/>
      </w:pPr>
      <w:r>
        <w:drawing>
          <wp:inline distT="0" distB="0" distL="0" distR="0" wp14:anchorId="07AFE8CE" wp14:editId="2AA7EDFC">
            <wp:extent cx="2581275" cy="1809008"/>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2999" cy="1824232"/>
                    </a:xfrm>
                    <a:prstGeom prst="rect">
                      <a:avLst/>
                    </a:prstGeom>
                    <a:noFill/>
                    <a:ln>
                      <a:noFill/>
                    </a:ln>
                  </pic:spPr>
                </pic:pic>
              </a:graphicData>
            </a:graphic>
          </wp:inline>
        </w:drawing>
      </w:r>
    </w:p>
    <w:p w14:paraId="1E69D0C4" w14:textId="77777777" w:rsidR="002B279D" w:rsidRDefault="002B279D" w:rsidP="002B279D">
      <w:pPr>
        <w:pStyle w:val="1AbcamImageLegend"/>
        <w:rPr>
          <w:b/>
        </w:rPr>
      </w:pPr>
    </w:p>
    <w:p w14:paraId="56D0BC17" w14:textId="7D67CBC0" w:rsidR="002B279D" w:rsidRDefault="002B279D" w:rsidP="002B279D">
      <w:pPr>
        <w:pStyle w:val="1AbcamImageLegend"/>
      </w:pPr>
      <w:r w:rsidRPr="008A2F6E">
        <w:rPr>
          <w:b/>
        </w:rPr>
        <w:t xml:space="preserve">Figure </w:t>
      </w:r>
      <w:r>
        <w:rPr>
          <w:b/>
        </w:rPr>
        <w:t>2</w:t>
      </w:r>
      <w:r w:rsidRPr="008A2F6E">
        <w:t xml:space="preserve">. </w:t>
      </w:r>
      <w:r>
        <w:t>CβS activity in Liver Lysate (20 µg) &amp; Positive Control (1.5 µg).</w:t>
      </w:r>
    </w:p>
    <w:p w14:paraId="58E67074" w14:textId="61C2AE46" w:rsidR="002B279D" w:rsidRDefault="002B279D" w:rsidP="002B279D">
      <w:pPr>
        <w:pStyle w:val="1AbcamImageLegend"/>
      </w:pPr>
    </w:p>
    <w:p w14:paraId="2695BF15" w14:textId="59D03F7A" w:rsidR="002B279D" w:rsidRDefault="002B279D" w:rsidP="002B279D">
      <w:pPr>
        <w:pStyle w:val="1AbcamImageLegend"/>
      </w:pPr>
    </w:p>
    <w:p w14:paraId="252003AA" w14:textId="421BF494" w:rsidR="002B279D" w:rsidRDefault="002B279D" w:rsidP="002B279D">
      <w:pPr>
        <w:pStyle w:val="1AbcamImageLegend"/>
        <w:jc w:val="center"/>
      </w:pPr>
      <w:r>
        <w:lastRenderedPageBreak/>
        <w:drawing>
          <wp:inline distT="0" distB="0" distL="0" distR="0" wp14:anchorId="3E017507" wp14:editId="3CA05263">
            <wp:extent cx="2114550" cy="20039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6079" cy="2024307"/>
                    </a:xfrm>
                    <a:prstGeom prst="rect">
                      <a:avLst/>
                    </a:prstGeom>
                    <a:noFill/>
                    <a:ln>
                      <a:noFill/>
                    </a:ln>
                  </pic:spPr>
                </pic:pic>
              </a:graphicData>
            </a:graphic>
          </wp:inline>
        </w:drawing>
      </w:r>
    </w:p>
    <w:p w14:paraId="44109D8E" w14:textId="76C86AD0" w:rsidR="002B279D" w:rsidRDefault="002B279D" w:rsidP="002B279D">
      <w:pPr>
        <w:pStyle w:val="1AbcamImageLegend"/>
      </w:pPr>
    </w:p>
    <w:p w14:paraId="5CD3C67F" w14:textId="4372DA2B" w:rsidR="002B279D" w:rsidRDefault="002B279D" w:rsidP="002B279D">
      <w:pPr>
        <w:pStyle w:val="1AbcamImageLegend"/>
      </w:pPr>
    </w:p>
    <w:p w14:paraId="3173AB4B" w14:textId="1D166F28" w:rsidR="002B279D" w:rsidRDefault="002B279D" w:rsidP="002B279D">
      <w:pPr>
        <w:pStyle w:val="1AbcamImageLegend"/>
      </w:pPr>
      <w:r w:rsidRPr="008A2F6E">
        <w:rPr>
          <w:b/>
        </w:rPr>
        <w:t xml:space="preserve">Figure </w:t>
      </w:r>
      <w:r>
        <w:rPr>
          <w:b/>
        </w:rPr>
        <w:t>3</w:t>
      </w:r>
      <w:r w:rsidRPr="008A2F6E">
        <w:t xml:space="preserve">. </w:t>
      </w:r>
      <w:r w:rsidRPr="002B279D">
        <w:t>CβS specific act</w:t>
      </w:r>
      <w:r>
        <w:t>ivity in HepG2 cell lysate and l</w:t>
      </w:r>
      <w:r w:rsidRPr="002B279D">
        <w:t>iver lysate.</w:t>
      </w:r>
    </w:p>
    <w:p w14:paraId="282869E8" w14:textId="77777777" w:rsidR="002B279D" w:rsidRDefault="002B279D" w:rsidP="002B279D">
      <w:pPr>
        <w:pStyle w:val="1AbcamImageLegend"/>
      </w:pPr>
    </w:p>
    <w:p w14:paraId="73596224" w14:textId="4716F2FE" w:rsidR="002B279D" w:rsidRDefault="002B279D" w:rsidP="002B279D">
      <w:pPr>
        <w:pStyle w:val="1AbcamImageLegend"/>
      </w:pPr>
    </w:p>
    <w:p w14:paraId="5674D41D" w14:textId="5AFA2E35" w:rsidR="002B279D" w:rsidRDefault="002B279D" w:rsidP="002B279D">
      <w:pPr>
        <w:pStyle w:val="1AbcamImageLegend"/>
      </w:pPr>
    </w:p>
    <w:p w14:paraId="4ACB80A5" w14:textId="7C13082A" w:rsidR="002B279D" w:rsidRDefault="002B279D" w:rsidP="002B279D">
      <w:pPr>
        <w:pStyle w:val="1AbcamImageLegend"/>
      </w:pPr>
    </w:p>
    <w:p w14:paraId="012D2561" w14:textId="77777777" w:rsidR="002B279D" w:rsidRDefault="002B279D" w:rsidP="002B279D">
      <w:pPr>
        <w:pStyle w:val="1AbcamImageLegend"/>
      </w:pPr>
    </w:p>
    <w:p w14:paraId="745BEAC1" w14:textId="77777777" w:rsidR="003722E2" w:rsidRPr="002A066A" w:rsidRDefault="003722E2" w:rsidP="008A2F6E">
      <w:pPr>
        <w:pStyle w:val="1AbcamStandardtext"/>
        <w:rPr>
          <w:noProof/>
        </w:rPr>
      </w:pPr>
      <w:r w:rsidRPr="002A066A">
        <w:rPr>
          <w:noProof/>
        </w:rPr>
        <w:br w:type="page"/>
      </w:r>
    </w:p>
    <w:p w14:paraId="0549F477" w14:textId="77777777" w:rsidR="00FE4E16" w:rsidRDefault="00FE4E16" w:rsidP="001E2DD7">
      <w:pPr>
        <w:pStyle w:val="1Abcamheading"/>
      </w:pPr>
      <w:bookmarkStart w:id="33" w:name="_Toc475603240"/>
      <w:bookmarkStart w:id="34" w:name="_Toc531249499"/>
      <w:r w:rsidRPr="002A066A">
        <w:lastRenderedPageBreak/>
        <w:t>Notes</w:t>
      </w:r>
      <w:bookmarkEnd w:id="33"/>
      <w:bookmarkEnd w:id="34"/>
    </w:p>
    <w:p w14:paraId="3B392554" w14:textId="56974419" w:rsidR="00E30794" w:rsidRDefault="00E30794">
      <w:pPr>
        <w:spacing w:before="0" w:after="0"/>
      </w:pPr>
    </w:p>
    <w:p w14:paraId="041C6307" w14:textId="77777777" w:rsidR="00556392" w:rsidRDefault="00556392">
      <w:pPr>
        <w:spacing w:before="0" w:after="0"/>
      </w:pPr>
    </w:p>
    <w:p w14:paraId="2F49DA92" w14:textId="77777777" w:rsidR="007231D5" w:rsidRDefault="007231D5">
      <w:pPr>
        <w:spacing w:before="0" w:after="0"/>
        <w:sectPr w:rsidR="007231D5" w:rsidSect="007F1A39">
          <w:footerReference w:type="default" r:id="rId14"/>
          <w:pgSz w:w="8400" w:h="11900"/>
          <w:pgMar w:top="737" w:right="737" w:bottom="737" w:left="1021" w:header="0" w:footer="0" w:gutter="0"/>
          <w:cols w:space="708"/>
          <w:docGrid w:linePitch="272"/>
        </w:sectPr>
      </w:pPr>
    </w:p>
    <w:p w14:paraId="5DFA13AB" w14:textId="77777777" w:rsidR="002A066A" w:rsidRPr="002A066A" w:rsidRDefault="002A066A" w:rsidP="00B8423B">
      <w:pPr>
        <w:keepNext/>
        <w:keepLines/>
        <w:suppressAutoHyphens/>
        <w:outlineLvl w:val="0"/>
        <w:rPr>
          <w:rFonts w:eastAsia="Times New Roman"/>
          <w:b/>
          <w:bCs/>
          <w:sz w:val="24"/>
          <w:szCs w:val="28"/>
        </w:rPr>
      </w:pPr>
      <w:r w:rsidRPr="002A066A">
        <w:rPr>
          <w:rFonts w:eastAsia="Times New Roman"/>
          <w:b/>
          <w:bCs/>
          <w:sz w:val="24"/>
          <w:szCs w:val="28"/>
        </w:rPr>
        <w:lastRenderedPageBreak/>
        <w:t>Technical Support</w:t>
      </w:r>
    </w:p>
    <w:p w14:paraId="0AB7E784" w14:textId="7837F216" w:rsidR="00556392" w:rsidRDefault="00556392" w:rsidP="00556392">
      <w:pPr>
        <w:pStyle w:val="NormalWeb"/>
        <w:spacing w:before="0" w:beforeAutospacing="0" w:after="0" w:afterAutospacing="0"/>
        <w:rPr>
          <w:rFonts w:ascii="Century Gothic" w:hAnsi="Century Gothic" w:cs="Calibri"/>
          <w:sz w:val="18"/>
          <w:szCs w:val="18"/>
          <w:lang w:val="en-US"/>
        </w:rPr>
      </w:pPr>
      <w:r>
        <w:rPr>
          <w:rFonts w:ascii="Century Gothic" w:hAnsi="Century Gothic" w:cs="Calibri"/>
          <w:sz w:val="18"/>
          <w:szCs w:val="18"/>
          <w:lang w:val="en-US"/>
        </w:rPr>
        <w:t>Copyright © 202</w:t>
      </w:r>
      <w:r w:rsidR="001E5705">
        <w:rPr>
          <w:rFonts w:ascii="Century Gothic" w:hAnsi="Century Gothic" w:cs="Calibri"/>
          <w:sz w:val="18"/>
          <w:szCs w:val="18"/>
          <w:lang w:val="en-US"/>
        </w:rPr>
        <w:t>3</w:t>
      </w:r>
      <w:r>
        <w:rPr>
          <w:rFonts w:ascii="Century Gothic" w:hAnsi="Century Gothic" w:cs="Calibri"/>
          <w:sz w:val="18"/>
          <w:szCs w:val="18"/>
          <w:lang w:val="en-US"/>
        </w:rPr>
        <w:t xml:space="preserve"> Abcam. All Rights Reserved. The Abcam logo is a registered trademark. All information / detail is correct at time of going to print.</w:t>
      </w:r>
    </w:p>
    <w:p w14:paraId="4C3960E2" w14:textId="77777777" w:rsidR="00556392" w:rsidRDefault="00556392" w:rsidP="00556392">
      <w:pPr>
        <w:pStyle w:val="NormalWeb"/>
        <w:spacing w:before="240" w:beforeAutospacing="0" w:after="0" w:afterAutospacing="0"/>
        <w:rPr>
          <w:rFonts w:ascii="Century Gothic" w:hAnsi="Century Gothic" w:cs="Calibri"/>
          <w:sz w:val="18"/>
          <w:szCs w:val="18"/>
          <w:lang w:val="en-US"/>
        </w:rPr>
      </w:pPr>
      <w:r>
        <w:rPr>
          <w:rFonts w:ascii="Century Gothic" w:hAnsi="Century Gothic" w:cs="Calibri"/>
          <w:b/>
          <w:bCs/>
          <w:sz w:val="18"/>
          <w:szCs w:val="18"/>
          <w:lang w:val="en-US"/>
        </w:rPr>
        <w:t>For all technical or commercial enquiries please go to:</w:t>
      </w:r>
    </w:p>
    <w:p w14:paraId="5046A534" w14:textId="77777777" w:rsidR="00556392" w:rsidRDefault="001E5705" w:rsidP="00556392">
      <w:pPr>
        <w:pStyle w:val="NormalWeb"/>
        <w:spacing w:before="240" w:beforeAutospacing="0" w:after="0" w:afterAutospacing="0"/>
        <w:rPr>
          <w:rFonts w:ascii="Calibri" w:hAnsi="Calibri" w:cs="Calibri"/>
          <w:color w:val="000000"/>
          <w:sz w:val="18"/>
          <w:szCs w:val="18"/>
        </w:rPr>
      </w:pPr>
      <w:hyperlink r:id="rId15" w:history="1">
        <w:r w:rsidR="00556392">
          <w:rPr>
            <w:rStyle w:val="Hyperlink"/>
            <w:rFonts w:ascii="Century Gothic" w:hAnsi="Century Gothic" w:cs="Calibri"/>
            <w:sz w:val="18"/>
            <w:szCs w:val="18"/>
            <w:lang w:val="en-US"/>
          </w:rPr>
          <w:t>www.abcam.com/contactus</w:t>
        </w:r>
      </w:hyperlink>
    </w:p>
    <w:p w14:paraId="413C9355" w14:textId="77777777" w:rsidR="00556392" w:rsidRDefault="001E5705" w:rsidP="00556392">
      <w:pPr>
        <w:pStyle w:val="NormalWeb"/>
        <w:spacing w:before="240" w:beforeAutospacing="0" w:after="0" w:afterAutospacing="0"/>
        <w:rPr>
          <w:rFonts w:ascii="Calibri" w:hAnsi="Calibri" w:cs="Calibri"/>
          <w:color w:val="000000"/>
          <w:sz w:val="18"/>
          <w:szCs w:val="18"/>
        </w:rPr>
      </w:pPr>
      <w:hyperlink r:id="rId16" w:history="1">
        <w:r w:rsidR="00556392">
          <w:rPr>
            <w:rStyle w:val="Hyperlink"/>
            <w:rFonts w:ascii="Century Gothic" w:hAnsi="Century Gothic" w:cs="Calibri"/>
            <w:sz w:val="18"/>
            <w:szCs w:val="18"/>
            <w:lang w:val="en-US"/>
          </w:rPr>
          <w:t>www.abcam.cn/contactus</w:t>
        </w:r>
      </w:hyperlink>
      <w:r w:rsidR="00556392">
        <w:rPr>
          <w:rFonts w:ascii="Century Gothic" w:hAnsi="Century Gothic" w:cs="Calibri"/>
          <w:color w:val="000000"/>
          <w:sz w:val="18"/>
          <w:szCs w:val="18"/>
          <w:lang w:val="en-US"/>
        </w:rPr>
        <w:t xml:space="preserve"> (China)</w:t>
      </w:r>
    </w:p>
    <w:p w14:paraId="4BECFCBE" w14:textId="77777777" w:rsidR="00556392" w:rsidRDefault="001E5705" w:rsidP="00556392">
      <w:pPr>
        <w:pStyle w:val="NormalWeb"/>
        <w:spacing w:before="240" w:beforeAutospacing="0" w:after="0" w:afterAutospacing="0"/>
        <w:rPr>
          <w:rFonts w:ascii="Calibri" w:hAnsi="Calibri" w:cs="Calibri"/>
          <w:color w:val="000000"/>
          <w:sz w:val="18"/>
          <w:szCs w:val="18"/>
        </w:rPr>
      </w:pPr>
      <w:hyperlink r:id="rId17" w:history="1">
        <w:r w:rsidR="00556392">
          <w:rPr>
            <w:rStyle w:val="Hyperlink"/>
            <w:rFonts w:ascii="Century Gothic" w:hAnsi="Century Gothic" w:cs="Calibri"/>
            <w:sz w:val="18"/>
            <w:szCs w:val="18"/>
            <w:lang w:val="en-US"/>
          </w:rPr>
          <w:t>www.abcam.co.jp/contactus</w:t>
        </w:r>
      </w:hyperlink>
      <w:r w:rsidR="00556392">
        <w:rPr>
          <w:rFonts w:ascii="Century Gothic" w:hAnsi="Century Gothic" w:cs="Calibri"/>
          <w:color w:val="000000"/>
          <w:sz w:val="18"/>
          <w:szCs w:val="18"/>
          <w:lang w:val="en-US"/>
        </w:rPr>
        <w:t xml:space="preserve"> (Japan)</w:t>
      </w:r>
    </w:p>
    <w:p w14:paraId="503BB62E" w14:textId="77777777" w:rsidR="00043E6C" w:rsidRPr="002A066A" w:rsidRDefault="00043E6C" w:rsidP="00665893"/>
    <w:sectPr w:rsidR="00043E6C" w:rsidRPr="002A066A" w:rsidSect="007F1A39">
      <w:footerReference w:type="default" r:id="rId18"/>
      <w:pgSz w:w="8400" w:h="11900"/>
      <w:pgMar w:top="737" w:right="737" w:bottom="737" w:left="1021"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23B6A" w14:textId="77777777" w:rsidR="00C978F4" w:rsidRDefault="00C978F4" w:rsidP="00DC1372">
      <w:r>
        <w:separator/>
      </w:r>
    </w:p>
    <w:p w14:paraId="7DAE4605" w14:textId="77777777" w:rsidR="00C978F4" w:rsidRDefault="00C978F4"/>
    <w:p w14:paraId="21C1190A" w14:textId="77777777" w:rsidR="00C978F4" w:rsidRDefault="00C978F4"/>
  </w:endnote>
  <w:endnote w:type="continuationSeparator" w:id="0">
    <w:p w14:paraId="07EA6BC7" w14:textId="77777777" w:rsidR="00C978F4" w:rsidRDefault="00C978F4" w:rsidP="00DC1372">
      <w:r>
        <w:continuationSeparator/>
      </w:r>
    </w:p>
    <w:p w14:paraId="47356E49" w14:textId="77777777" w:rsidR="00C978F4" w:rsidRDefault="00C978F4"/>
    <w:p w14:paraId="67D4BAD0" w14:textId="77777777" w:rsidR="00C978F4" w:rsidRDefault="00C97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charset w:val="4E"/>
    <w:family w:val="auto"/>
    <w:pitch w:val="variable"/>
    <w:sig w:usb0="000000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86D7" w14:textId="455D4513" w:rsidR="006B2A3A" w:rsidRPr="001F3104" w:rsidRDefault="006B2A3A" w:rsidP="001F3104">
    <w:pPr>
      <w:pStyle w:val="Footer"/>
    </w:pPr>
    <w:r w:rsidRPr="006D4E00">
      <w:rPr>
        <w:sz w:val="16"/>
        <w:szCs w:val="16"/>
      </w:rPr>
      <w:t>Copyright © 20</w:t>
    </w:r>
    <w:r w:rsidR="00556392">
      <w:rPr>
        <w:sz w:val="16"/>
        <w:szCs w:val="16"/>
      </w:rPr>
      <w:t>2</w:t>
    </w:r>
    <w:r w:rsidR="001E5705">
      <w:rPr>
        <w:sz w:val="16"/>
        <w:szCs w:val="16"/>
      </w:rPr>
      <w:t>3</w:t>
    </w:r>
    <w:r w:rsidRPr="006D4E00">
      <w:rPr>
        <w:sz w:val="16"/>
        <w:szCs w:val="16"/>
      </w:rPr>
      <w:t xml:space="preserve"> Abcam.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0F812" w14:textId="77777777" w:rsidR="006B2A3A" w:rsidRPr="00471BB0" w:rsidRDefault="006B2A3A" w:rsidP="00471BB0">
    <w:pPr>
      <w:pStyle w:val="Footer"/>
    </w:pPr>
    <w:r w:rsidRPr="006D4E00">
      <w:rPr>
        <w:sz w:val="16"/>
        <w:szCs w:val="16"/>
      </w:rPr>
      <w:t>ab83355 ATP Assay Kit</w:t>
    </w:r>
    <w:r>
      <w:tab/>
    </w:r>
    <w:r>
      <w:tab/>
    </w:r>
    <w:sdt>
      <w:sdtPr>
        <w:id w:val="-413865683"/>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91ED" w14:textId="1A186E02" w:rsidR="007231D5" w:rsidRPr="007231D5" w:rsidRDefault="007231D5" w:rsidP="007231D5">
    <w:pPr>
      <w:pStyle w:val="Footer"/>
    </w:pPr>
    <w:r w:rsidRPr="007231D5">
      <w:rPr>
        <w:sz w:val="16"/>
        <w:szCs w:val="16"/>
      </w:rPr>
      <w:t>ab241043</w:t>
    </w:r>
    <w:r>
      <w:rPr>
        <w:sz w:val="16"/>
        <w:szCs w:val="16"/>
      </w:rPr>
      <w:t xml:space="preserve">  </w:t>
    </w:r>
    <w:r w:rsidRPr="007231D5">
      <w:rPr>
        <w:sz w:val="16"/>
        <w:szCs w:val="16"/>
      </w:rPr>
      <w:t>Cystathionine beta Synthase Assay Kit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8C32B" w14:textId="1AD1A06D" w:rsidR="007231D5" w:rsidRPr="001F3104" w:rsidRDefault="007231D5" w:rsidP="001F3104">
    <w:pPr>
      <w:pStyle w:val="Footer"/>
    </w:pPr>
    <w:r w:rsidRPr="006D4E00">
      <w:rPr>
        <w:sz w:val="16"/>
        <w:szCs w:val="16"/>
      </w:rPr>
      <w:t>Copyright © 20</w:t>
    </w:r>
    <w:r w:rsidR="00556392">
      <w:rPr>
        <w:sz w:val="16"/>
        <w:szCs w:val="16"/>
      </w:rPr>
      <w:t>2</w:t>
    </w:r>
    <w:r w:rsidR="001E5705">
      <w:rPr>
        <w:sz w:val="16"/>
        <w:szCs w:val="16"/>
      </w:rPr>
      <w:t>3</w:t>
    </w:r>
    <w:r w:rsidRPr="006D4E00">
      <w:rPr>
        <w:sz w:val="16"/>
        <w:szCs w:val="16"/>
      </w:rPr>
      <w:t xml:space="preserve"> Abcam.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99399" w14:textId="77777777" w:rsidR="00C978F4" w:rsidRDefault="00C978F4" w:rsidP="00DC1372">
      <w:r>
        <w:separator/>
      </w:r>
    </w:p>
    <w:p w14:paraId="41700BE1" w14:textId="77777777" w:rsidR="00C978F4" w:rsidRDefault="00C978F4"/>
    <w:p w14:paraId="02849288" w14:textId="77777777" w:rsidR="00C978F4" w:rsidRDefault="00C978F4"/>
  </w:footnote>
  <w:footnote w:type="continuationSeparator" w:id="0">
    <w:p w14:paraId="32F60C13" w14:textId="77777777" w:rsidR="00C978F4" w:rsidRDefault="00C978F4" w:rsidP="00DC1372">
      <w:r>
        <w:continuationSeparator/>
      </w:r>
    </w:p>
    <w:p w14:paraId="243A163D" w14:textId="77777777" w:rsidR="00C978F4" w:rsidRDefault="00C978F4"/>
    <w:p w14:paraId="6373EAC4" w14:textId="77777777" w:rsidR="00C978F4" w:rsidRDefault="00C978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2B41D9"/>
    <w:multiLevelType w:val="hybridMultilevel"/>
    <w:tmpl w:val="9B2EC604"/>
    <w:lvl w:ilvl="0" w:tplc="1BD0475A">
      <w:start w:val="1"/>
      <w:numFmt w:val="bullet"/>
      <w:pStyle w:val="1AbcamNotetext"/>
      <w:lvlText w:val="D"/>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62238"/>
    <w:multiLevelType w:val="hybridMultilevel"/>
    <w:tmpl w:val="1C044A38"/>
    <w:lvl w:ilvl="0" w:tplc="B3DA60B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C931FB"/>
    <w:multiLevelType w:val="hybridMultilevel"/>
    <w:tmpl w:val="4D947A8A"/>
    <w:lvl w:ilvl="0" w:tplc="108E9142">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B7557"/>
    <w:multiLevelType w:val="hybridMultilevel"/>
    <w:tmpl w:val="C4DCAD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6D60BB1"/>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6E427F9"/>
    <w:multiLevelType w:val="hybridMultilevel"/>
    <w:tmpl w:val="9064C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3FA5657D"/>
    <w:multiLevelType w:val="hybridMultilevel"/>
    <w:tmpl w:val="85127FA6"/>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A3640D"/>
    <w:multiLevelType w:val="hybridMultilevel"/>
    <w:tmpl w:val="6742DF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4E58B9"/>
    <w:multiLevelType w:val="hybridMultilevel"/>
    <w:tmpl w:val="F58A38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95E65BD"/>
    <w:multiLevelType w:val="hybridMultilevel"/>
    <w:tmpl w:val="7DA6E38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8"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9" w15:restartNumberingAfterBreak="0">
    <w:nsid w:val="5A7E6017"/>
    <w:multiLevelType w:val="hybridMultilevel"/>
    <w:tmpl w:val="32927B8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0" w15:restartNumberingAfterBreak="0">
    <w:nsid w:val="5BF22E85"/>
    <w:multiLevelType w:val="multilevel"/>
    <w:tmpl w:val="4FA02610"/>
    <w:lvl w:ilvl="0">
      <w:start w:val="1"/>
      <w:numFmt w:val="decimal"/>
      <w:pStyle w:val="1Abcamheading"/>
      <w:lvlText w:val="%1."/>
      <w:lvlJc w:val="left"/>
      <w:pPr>
        <w:ind w:left="927" w:hanging="360"/>
      </w:pPr>
      <w:rPr>
        <w:rFonts w:ascii="Century Gothic" w:hAnsi="Century Gothic" w:hint="default"/>
        <w:b/>
      </w:rPr>
    </w:lvl>
    <w:lvl w:ilvl="1">
      <w:start w:val="1"/>
      <w:numFmt w:val="decimal"/>
      <w:pStyle w:val="11Abcam"/>
      <w:lvlText w:val="%1.%2"/>
      <w:lvlJc w:val="left"/>
      <w:pPr>
        <w:tabs>
          <w:tab w:val="num" w:pos="6662"/>
        </w:tabs>
        <w:ind w:left="7229" w:hanging="56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Abcam"/>
      <w:lvlText w:val="%1.%2.%3"/>
      <w:lvlJc w:val="left"/>
      <w:pPr>
        <w:tabs>
          <w:tab w:val="num" w:pos="6946"/>
        </w:tabs>
        <w:ind w:left="7342"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D3F0AEE"/>
    <w:multiLevelType w:val="hybridMultilevel"/>
    <w:tmpl w:val="EB2ECB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E2C4C44"/>
    <w:multiLevelType w:val="multilevel"/>
    <w:tmpl w:val="38568EE4"/>
    <w:lvl w:ilvl="0">
      <w:start w:val="1"/>
      <w:numFmt w:val="decimal"/>
      <w:lvlText w:val="%1."/>
      <w:lvlJc w:val="left"/>
      <w:pPr>
        <w:ind w:left="360" w:hanging="360"/>
      </w:pPr>
      <w:rPr>
        <w:rFonts w:ascii="Century Gothic" w:hAnsi="Century Gothic" w:hint="default"/>
        <w:b w:val="0"/>
      </w:rPr>
    </w:lvl>
    <w:lvl w:ilvl="1">
      <w:start w:val="1"/>
      <w:numFmt w:val="decimal"/>
      <w:lvlText w:val="%1.%2"/>
      <w:lvlJc w:val="left"/>
      <w:pPr>
        <w:tabs>
          <w:tab w:val="num" w:pos="6095"/>
        </w:tabs>
        <w:ind w:left="6662" w:hanging="56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6379"/>
        </w:tabs>
        <w:ind w:left="6775" w:hanging="680"/>
      </w:pPr>
      <w:rPr>
        <w:rFonts w:hint="default"/>
      </w:rPr>
    </w:lvl>
    <w:lvl w:ilvl="3">
      <w:start w:val="1"/>
      <w:numFmt w:val="decimal"/>
      <w:lvlRestart w:val="0"/>
      <w:lvlText w:val="%1.%2.%3.%4"/>
      <w:lvlJc w:val="left"/>
      <w:pPr>
        <w:ind w:left="227" w:hanging="794"/>
      </w:pPr>
      <w:rPr>
        <w:rFonts w:hint="default"/>
      </w:rPr>
    </w:lvl>
    <w:lvl w:ilvl="4">
      <w:start w:val="1"/>
      <w:numFmt w:val="decimal"/>
      <w:lvlText w:val="%1.%2.%3.%4.%5"/>
      <w:lvlJc w:val="left"/>
      <w:pPr>
        <w:ind w:left="513" w:hanging="1080"/>
      </w:pPr>
      <w:rPr>
        <w:rFonts w:hint="default"/>
      </w:rPr>
    </w:lvl>
    <w:lvl w:ilvl="5">
      <w:start w:val="1"/>
      <w:numFmt w:val="decimal"/>
      <w:lvlText w:val="%1.%2.%3.%4.%5.%6"/>
      <w:lvlJc w:val="left"/>
      <w:pPr>
        <w:ind w:left="513" w:hanging="1080"/>
      </w:pPr>
      <w:rPr>
        <w:rFonts w:hint="default"/>
      </w:rPr>
    </w:lvl>
    <w:lvl w:ilvl="6">
      <w:start w:val="1"/>
      <w:numFmt w:val="decimal"/>
      <w:lvlText w:val="%1.%2.%3.%4.%5.%6.%7"/>
      <w:lvlJc w:val="left"/>
      <w:pPr>
        <w:ind w:left="873" w:hanging="1440"/>
      </w:pPr>
      <w:rPr>
        <w:rFonts w:hint="default"/>
      </w:rPr>
    </w:lvl>
    <w:lvl w:ilvl="7">
      <w:start w:val="1"/>
      <w:numFmt w:val="decimal"/>
      <w:lvlText w:val="%1.%2.%3.%4.%5.%6.%7.%8"/>
      <w:lvlJc w:val="left"/>
      <w:pPr>
        <w:ind w:left="873" w:hanging="1440"/>
      </w:pPr>
      <w:rPr>
        <w:rFonts w:hint="default"/>
      </w:rPr>
    </w:lvl>
    <w:lvl w:ilvl="8">
      <w:start w:val="1"/>
      <w:numFmt w:val="decimal"/>
      <w:lvlText w:val="%1.%2.%3.%4.%5.%6.%7.%8.%9"/>
      <w:lvlJc w:val="left"/>
      <w:pPr>
        <w:ind w:left="1233" w:hanging="1800"/>
      </w:pPr>
      <w:rPr>
        <w:rFonts w:hint="default"/>
      </w:rPr>
    </w:lvl>
  </w:abstractNum>
  <w:abstractNum w:abstractNumId="23" w15:restartNumberingAfterBreak="0">
    <w:nsid w:val="792010B8"/>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7B18DB"/>
    <w:multiLevelType w:val="hybridMultilevel"/>
    <w:tmpl w:val="8EAAB41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num w:numId="1" w16cid:durableId="1440952925">
    <w:abstractNumId w:val="1"/>
  </w:num>
  <w:num w:numId="2" w16cid:durableId="640575254">
    <w:abstractNumId w:val="15"/>
  </w:num>
  <w:num w:numId="3" w16cid:durableId="606232026">
    <w:abstractNumId w:val="12"/>
  </w:num>
  <w:num w:numId="4" w16cid:durableId="547768199">
    <w:abstractNumId w:val="2"/>
  </w:num>
  <w:num w:numId="5" w16cid:durableId="546263420">
    <w:abstractNumId w:val="7"/>
  </w:num>
  <w:num w:numId="6" w16cid:durableId="1689284711">
    <w:abstractNumId w:val="22"/>
  </w:num>
  <w:num w:numId="7" w16cid:durableId="19478296">
    <w:abstractNumId w:val="25"/>
  </w:num>
  <w:num w:numId="8" w16cid:durableId="899292317">
    <w:abstractNumId w:val="18"/>
  </w:num>
  <w:num w:numId="9" w16cid:durableId="568543774">
    <w:abstractNumId w:val="19"/>
  </w:num>
  <w:num w:numId="10" w16cid:durableId="1438987408">
    <w:abstractNumId w:val="13"/>
  </w:num>
  <w:num w:numId="11" w16cid:durableId="1366711434">
    <w:abstractNumId w:val="17"/>
  </w:num>
  <w:num w:numId="12" w16cid:durableId="317225844">
    <w:abstractNumId w:val="20"/>
  </w:num>
  <w:num w:numId="13" w16cid:durableId="800878621">
    <w:abstractNumId w:val="5"/>
  </w:num>
  <w:num w:numId="14" w16cid:durableId="1239633883">
    <w:abstractNumId w:val="4"/>
  </w:num>
  <w:num w:numId="15" w16cid:durableId="1582714537">
    <w:abstractNumId w:val="24"/>
  </w:num>
  <w:num w:numId="16" w16cid:durableId="1488353538">
    <w:abstractNumId w:val="3"/>
  </w:num>
  <w:num w:numId="17" w16cid:durableId="1568221604">
    <w:abstractNumId w:val="0"/>
  </w:num>
  <w:num w:numId="18" w16cid:durableId="1197111597">
    <w:abstractNumId w:val="9"/>
  </w:num>
  <w:num w:numId="19" w16cid:durableId="1048140480">
    <w:abstractNumId w:val="6"/>
  </w:num>
  <w:num w:numId="20" w16cid:durableId="1287854145">
    <w:abstractNumId w:val="16"/>
  </w:num>
  <w:num w:numId="21" w16cid:durableId="1288662883">
    <w:abstractNumId w:val="10"/>
  </w:num>
  <w:num w:numId="22" w16cid:durableId="82068776">
    <w:abstractNumId w:val="11"/>
  </w:num>
  <w:num w:numId="23" w16cid:durableId="999036611">
    <w:abstractNumId w:val="23"/>
  </w:num>
  <w:num w:numId="24" w16cid:durableId="1082458685">
    <w:abstractNumId w:val="8"/>
  </w:num>
  <w:num w:numId="25" w16cid:durableId="210070170">
    <w:abstractNumId w:val="21"/>
  </w:num>
  <w:num w:numId="26" w16cid:durableId="627396789">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E0"/>
    <w:rsid w:val="00000557"/>
    <w:rsid w:val="00001864"/>
    <w:rsid w:val="00003378"/>
    <w:rsid w:val="00006EF6"/>
    <w:rsid w:val="00007205"/>
    <w:rsid w:val="00013984"/>
    <w:rsid w:val="00013D0A"/>
    <w:rsid w:val="00014148"/>
    <w:rsid w:val="0003337F"/>
    <w:rsid w:val="00043E6C"/>
    <w:rsid w:val="000519C2"/>
    <w:rsid w:val="00052D70"/>
    <w:rsid w:val="00052E61"/>
    <w:rsid w:val="000740F7"/>
    <w:rsid w:val="000A2DCC"/>
    <w:rsid w:val="000B75FC"/>
    <w:rsid w:val="000B7DFC"/>
    <w:rsid w:val="000C46A1"/>
    <w:rsid w:val="000D1BC7"/>
    <w:rsid w:val="000D3AE3"/>
    <w:rsid w:val="000D5A13"/>
    <w:rsid w:val="000E1B75"/>
    <w:rsid w:val="000E37C1"/>
    <w:rsid w:val="000E4FA8"/>
    <w:rsid w:val="000E5E2C"/>
    <w:rsid w:val="000F0173"/>
    <w:rsid w:val="000F0972"/>
    <w:rsid w:val="000F2633"/>
    <w:rsid w:val="001110FC"/>
    <w:rsid w:val="00116EC6"/>
    <w:rsid w:val="001326E7"/>
    <w:rsid w:val="00134B2D"/>
    <w:rsid w:val="00135041"/>
    <w:rsid w:val="001352EB"/>
    <w:rsid w:val="001402DA"/>
    <w:rsid w:val="00146054"/>
    <w:rsid w:val="00147FFC"/>
    <w:rsid w:val="001560CB"/>
    <w:rsid w:val="001611C7"/>
    <w:rsid w:val="00174FD5"/>
    <w:rsid w:val="00176175"/>
    <w:rsid w:val="0018707A"/>
    <w:rsid w:val="00187415"/>
    <w:rsid w:val="001879A9"/>
    <w:rsid w:val="001A4A94"/>
    <w:rsid w:val="001B583F"/>
    <w:rsid w:val="001C6CF5"/>
    <w:rsid w:val="001C766D"/>
    <w:rsid w:val="001C766F"/>
    <w:rsid w:val="001E09D0"/>
    <w:rsid w:val="001E2DD7"/>
    <w:rsid w:val="001E5705"/>
    <w:rsid w:val="001E6D23"/>
    <w:rsid w:val="001F3104"/>
    <w:rsid w:val="001F46D1"/>
    <w:rsid w:val="001F5484"/>
    <w:rsid w:val="0021509B"/>
    <w:rsid w:val="00220404"/>
    <w:rsid w:val="00222423"/>
    <w:rsid w:val="00227F9F"/>
    <w:rsid w:val="00231117"/>
    <w:rsid w:val="00244627"/>
    <w:rsid w:val="00255E25"/>
    <w:rsid w:val="002603D1"/>
    <w:rsid w:val="00260B00"/>
    <w:rsid w:val="00262F3B"/>
    <w:rsid w:val="00264DBC"/>
    <w:rsid w:val="002743BD"/>
    <w:rsid w:val="00277074"/>
    <w:rsid w:val="002830C3"/>
    <w:rsid w:val="00284B94"/>
    <w:rsid w:val="002A066A"/>
    <w:rsid w:val="002A6C5E"/>
    <w:rsid w:val="002B0C23"/>
    <w:rsid w:val="002B279D"/>
    <w:rsid w:val="002C08B2"/>
    <w:rsid w:val="002C0A8F"/>
    <w:rsid w:val="002C3E48"/>
    <w:rsid w:val="002D18B4"/>
    <w:rsid w:val="002D28E9"/>
    <w:rsid w:val="002E19B0"/>
    <w:rsid w:val="002F0A89"/>
    <w:rsid w:val="00302BD8"/>
    <w:rsid w:val="0030365A"/>
    <w:rsid w:val="00307C98"/>
    <w:rsid w:val="00326E64"/>
    <w:rsid w:val="0032714C"/>
    <w:rsid w:val="00331AEA"/>
    <w:rsid w:val="003357EB"/>
    <w:rsid w:val="0033728C"/>
    <w:rsid w:val="003475EB"/>
    <w:rsid w:val="00347FD0"/>
    <w:rsid w:val="00354811"/>
    <w:rsid w:val="003722E2"/>
    <w:rsid w:val="00380497"/>
    <w:rsid w:val="003810BB"/>
    <w:rsid w:val="003839FE"/>
    <w:rsid w:val="00387DA1"/>
    <w:rsid w:val="00391C31"/>
    <w:rsid w:val="00397108"/>
    <w:rsid w:val="003975F2"/>
    <w:rsid w:val="00397F0D"/>
    <w:rsid w:val="003B15FA"/>
    <w:rsid w:val="003B538C"/>
    <w:rsid w:val="003C6E8E"/>
    <w:rsid w:val="003D30CE"/>
    <w:rsid w:val="003D7FB7"/>
    <w:rsid w:val="003E1BB6"/>
    <w:rsid w:val="003E2AFE"/>
    <w:rsid w:val="003E4ABF"/>
    <w:rsid w:val="003E69E9"/>
    <w:rsid w:val="00405915"/>
    <w:rsid w:val="00414435"/>
    <w:rsid w:val="0043186A"/>
    <w:rsid w:val="00435C08"/>
    <w:rsid w:val="00440C9B"/>
    <w:rsid w:val="00441EC7"/>
    <w:rsid w:val="00445BED"/>
    <w:rsid w:val="0045027E"/>
    <w:rsid w:val="00471BB0"/>
    <w:rsid w:val="00491AA0"/>
    <w:rsid w:val="004A09CA"/>
    <w:rsid w:val="004A13C3"/>
    <w:rsid w:val="004A73BA"/>
    <w:rsid w:val="004B7B21"/>
    <w:rsid w:val="004D79B3"/>
    <w:rsid w:val="004F2E85"/>
    <w:rsid w:val="004F5B1C"/>
    <w:rsid w:val="005033B1"/>
    <w:rsid w:val="00504A2A"/>
    <w:rsid w:val="00504A8E"/>
    <w:rsid w:val="005137BA"/>
    <w:rsid w:val="0051552B"/>
    <w:rsid w:val="00550065"/>
    <w:rsid w:val="00550EE8"/>
    <w:rsid w:val="00556392"/>
    <w:rsid w:val="00563AB5"/>
    <w:rsid w:val="00592267"/>
    <w:rsid w:val="00595684"/>
    <w:rsid w:val="005B2FE0"/>
    <w:rsid w:val="005B4251"/>
    <w:rsid w:val="005D00C9"/>
    <w:rsid w:val="005D086D"/>
    <w:rsid w:val="005D4A4E"/>
    <w:rsid w:val="005D5667"/>
    <w:rsid w:val="005E07C9"/>
    <w:rsid w:val="005E3152"/>
    <w:rsid w:val="005F4732"/>
    <w:rsid w:val="006119B8"/>
    <w:rsid w:val="00633C55"/>
    <w:rsid w:val="00633CE7"/>
    <w:rsid w:val="00644BFA"/>
    <w:rsid w:val="00645B4B"/>
    <w:rsid w:val="00645C98"/>
    <w:rsid w:val="0064794E"/>
    <w:rsid w:val="00651AD0"/>
    <w:rsid w:val="00661167"/>
    <w:rsid w:val="00665893"/>
    <w:rsid w:val="006664D9"/>
    <w:rsid w:val="00667F20"/>
    <w:rsid w:val="00680476"/>
    <w:rsid w:val="0068107B"/>
    <w:rsid w:val="00694CBE"/>
    <w:rsid w:val="00697363"/>
    <w:rsid w:val="006A2B41"/>
    <w:rsid w:val="006B255F"/>
    <w:rsid w:val="006B2A3A"/>
    <w:rsid w:val="006B6677"/>
    <w:rsid w:val="006C1D16"/>
    <w:rsid w:val="006D4E00"/>
    <w:rsid w:val="006E40FB"/>
    <w:rsid w:val="00700BAF"/>
    <w:rsid w:val="0071197C"/>
    <w:rsid w:val="007231D5"/>
    <w:rsid w:val="0073217A"/>
    <w:rsid w:val="00737A70"/>
    <w:rsid w:val="00746382"/>
    <w:rsid w:val="007539DD"/>
    <w:rsid w:val="00755831"/>
    <w:rsid w:val="00761710"/>
    <w:rsid w:val="007619E2"/>
    <w:rsid w:val="00765F82"/>
    <w:rsid w:val="0079206C"/>
    <w:rsid w:val="007A60F2"/>
    <w:rsid w:val="007B1E09"/>
    <w:rsid w:val="007C6B23"/>
    <w:rsid w:val="007D5672"/>
    <w:rsid w:val="007E5C0E"/>
    <w:rsid w:val="007F072E"/>
    <w:rsid w:val="007F1A39"/>
    <w:rsid w:val="007F21D7"/>
    <w:rsid w:val="007F5EBC"/>
    <w:rsid w:val="00800999"/>
    <w:rsid w:val="00804703"/>
    <w:rsid w:val="00826A4D"/>
    <w:rsid w:val="00833EC4"/>
    <w:rsid w:val="00841E53"/>
    <w:rsid w:val="00854141"/>
    <w:rsid w:val="00855612"/>
    <w:rsid w:val="0085567B"/>
    <w:rsid w:val="008560D7"/>
    <w:rsid w:val="008727A9"/>
    <w:rsid w:val="00873D8C"/>
    <w:rsid w:val="0088153B"/>
    <w:rsid w:val="00890D66"/>
    <w:rsid w:val="008A2F6E"/>
    <w:rsid w:val="008A4473"/>
    <w:rsid w:val="008B2920"/>
    <w:rsid w:val="008B4D57"/>
    <w:rsid w:val="008C0DA4"/>
    <w:rsid w:val="008C5D5E"/>
    <w:rsid w:val="008D155B"/>
    <w:rsid w:val="008D3BB0"/>
    <w:rsid w:val="008E0945"/>
    <w:rsid w:val="008E78BF"/>
    <w:rsid w:val="00901E8F"/>
    <w:rsid w:val="00904876"/>
    <w:rsid w:val="00916E1F"/>
    <w:rsid w:val="00920CA4"/>
    <w:rsid w:val="00946FA4"/>
    <w:rsid w:val="00954FAB"/>
    <w:rsid w:val="009558F2"/>
    <w:rsid w:val="009564C7"/>
    <w:rsid w:val="009567DC"/>
    <w:rsid w:val="0096742B"/>
    <w:rsid w:val="00967CE2"/>
    <w:rsid w:val="00971D31"/>
    <w:rsid w:val="009752DA"/>
    <w:rsid w:val="00977A58"/>
    <w:rsid w:val="00993C34"/>
    <w:rsid w:val="009B472D"/>
    <w:rsid w:val="009D40A6"/>
    <w:rsid w:val="009E6693"/>
    <w:rsid w:val="00A13E14"/>
    <w:rsid w:val="00A20163"/>
    <w:rsid w:val="00A217EC"/>
    <w:rsid w:val="00A31460"/>
    <w:rsid w:val="00A3319A"/>
    <w:rsid w:val="00A40EA9"/>
    <w:rsid w:val="00A4487B"/>
    <w:rsid w:val="00A61EE0"/>
    <w:rsid w:val="00A75412"/>
    <w:rsid w:val="00A80899"/>
    <w:rsid w:val="00A81E25"/>
    <w:rsid w:val="00A835F2"/>
    <w:rsid w:val="00A9248A"/>
    <w:rsid w:val="00A93842"/>
    <w:rsid w:val="00AA0F51"/>
    <w:rsid w:val="00AA2058"/>
    <w:rsid w:val="00AB2B9A"/>
    <w:rsid w:val="00AC3F23"/>
    <w:rsid w:val="00AD2A65"/>
    <w:rsid w:val="00AD5456"/>
    <w:rsid w:val="00AE3B29"/>
    <w:rsid w:val="00B02964"/>
    <w:rsid w:val="00B02B56"/>
    <w:rsid w:val="00B06314"/>
    <w:rsid w:val="00B36E54"/>
    <w:rsid w:val="00B44F2B"/>
    <w:rsid w:val="00B47D3A"/>
    <w:rsid w:val="00B553F7"/>
    <w:rsid w:val="00B6093A"/>
    <w:rsid w:val="00B65B1D"/>
    <w:rsid w:val="00B73032"/>
    <w:rsid w:val="00B74805"/>
    <w:rsid w:val="00B8255E"/>
    <w:rsid w:val="00B8423B"/>
    <w:rsid w:val="00B86BEB"/>
    <w:rsid w:val="00B86D77"/>
    <w:rsid w:val="00B9305B"/>
    <w:rsid w:val="00BA030F"/>
    <w:rsid w:val="00BA4F42"/>
    <w:rsid w:val="00BA77F0"/>
    <w:rsid w:val="00BB0E0B"/>
    <w:rsid w:val="00BB488D"/>
    <w:rsid w:val="00BB5447"/>
    <w:rsid w:val="00BD0364"/>
    <w:rsid w:val="00BD36DA"/>
    <w:rsid w:val="00BF4659"/>
    <w:rsid w:val="00BF5975"/>
    <w:rsid w:val="00BF65CB"/>
    <w:rsid w:val="00C01E6B"/>
    <w:rsid w:val="00C12998"/>
    <w:rsid w:val="00C12EBE"/>
    <w:rsid w:val="00C27761"/>
    <w:rsid w:val="00C52378"/>
    <w:rsid w:val="00C708D5"/>
    <w:rsid w:val="00C710BC"/>
    <w:rsid w:val="00C756EA"/>
    <w:rsid w:val="00C75984"/>
    <w:rsid w:val="00C7670C"/>
    <w:rsid w:val="00C76D97"/>
    <w:rsid w:val="00C82B34"/>
    <w:rsid w:val="00C82C3F"/>
    <w:rsid w:val="00C867B5"/>
    <w:rsid w:val="00C86BB0"/>
    <w:rsid w:val="00C95950"/>
    <w:rsid w:val="00C966CF"/>
    <w:rsid w:val="00C978F4"/>
    <w:rsid w:val="00CA633F"/>
    <w:rsid w:val="00CB5776"/>
    <w:rsid w:val="00CD4AB4"/>
    <w:rsid w:val="00CE7217"/>
    <w:rsid w:val="00CF6941"/>
    <w:rsid w:val="00D231CF"/>
    <w:rsid w:val="00D24E34"/>
    <w:rsid w:val="00D332B4"/>
    <w:rsid w:val="00D36450"/>
    <w:rsid w:val="00D4244D"/>
    <w:rsid w:val="00D50132"/>
    <w:rsid w:val="00D530F3"/>
    <w:rsid w:val="00D57A57"/>
    <w:rsid w:val="00D6186F"/>
    <w:rsid w:val="00D6414F"/>
    <w:rsid w:val="00D65517"/>
    <w:rsid w:val="00D67976"/>
    <w:rsid w:val="00D751DA"/>
    <w:rsid w:val="00D77C0B"/>
    <w:rsid w:val="00DA316D"/>
    <w:rsid w:val="00DB39E6"/>
    <w:rsid w:val="00DC1372"/>
    <w:rsid w:val="00DC1BE4"/>
    <w:rsid w:val="00DD2A5B"/>
    <w:rsid w:val="00DF15C2"/>
    <w:rsid w:val="00DF2200"/>
    <w:rsid w:val="00DF4DAA"/>
    <w:rsid w:val="00DF5155"/>
    <w:rsid w:val="00E043D5"/>
    <w:rsid w:val="00E1415E"/>
    <w:rsid w:val="00E15FD2"/>
    <w:rsid w:val="00E212C7"/>
    <w:rsid w:val="00E23F59"/>
    <w:rsid w:val="00E26CC5"/>
    <w:rsid w:val="00E304A3"/>
    <w:rsid w:val="00E30794"/>
    <w:rsid w:val="00E328B4"/>
    <w:rsid w:val="00E351A1"/>
    <w:rsid w:val="00E44FA4"/>
    <w:rsid w:val="00E56AC7"/>
    <w:rsid w:val="00E625BC"/>
    <w:rsid w:val="00E75A3C"/>
    <w:rsid w:val="00E76DC0"/>
    <w:rsid w:val="00E80001"/>
    <w:rsid w:val="00E8117D"/>
    <w:rsid w:val="00E83618"/>
    <w:rsid w:val="00E90927"/>
    <w:rsid w:val="00E90961"/>
    <w:rsid w:val="00E90BE0"/>
    <w:rsid w:val="00E94675"/>
    <w:rsid w:val="00EB29BD"/>
    <w:rsid w:val="00EB6596"/>
    <w:rsid w:val="00EC5878"/>
    <w:rsid w:val="00ED21B9"/>
    <w:rsid w:val="00EE3AF6"/>
    <w:rsid w:val="00EE3D9C"/>
    <w:rsid w:val="00EE7AF5"/>
    <w:rsid w:val="00F0105D"/>
    <w:rsid w:val="00F107B1"/>
    <w:rsid w:val="00F1129A"/>
    <w:rsid w:val="00F132CD"/>
    <w:rsid w:val="00F14764"/>
    <w:rsid w:val="00F14A25"/>
    <w:rsid w:val="00F2362D"/>
    <w:rsid w:val="00F23F25"/>
    <w:rsid w:val="00F37A7E"/>
    <w:rsid w:val="00F4310B"/>
    <w:rsid w:val="00F45E53"/>
    <w:rsid w:val="00F47BCF"/>
    <w:rsid w:val="00F52D8E"/>
    <w:rsid w:val="00F54055"/>
    <w:rsid w:val="00F57CCB"/>
    <w:rsid w:val="00F6044E"/>
    <w:rsid w:val="00F66B2E"/>
    <w:rsid w:val="00F8500B"/>
    <w:rsid w:val="00F9145C"/>
    <w:rsid w:val="00F963B9"/>
    <w:rsid w:val="00F966E8"/>
    <w:rsid w:val="00FA0E17"/>
    <w:rsid w:val="00FB26EE"/>
    <w:rsid w:val="00FC3AC9"/>
    <w:rsid w:val="00FD0ED8"/>
    <w:rsid w:val="00FD382B"/>
    <w:rsid w:val="00FE4E16"/>
    <w:rsid w:val="00FE64C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94D57F1"/>
  <w15:docId w15:val="{3F2303B1-B677-41F1-86BC-7B0FC733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497"/>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595684"/>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aliases w:val="Abcam Booklet 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aliases w:val="Abcam Booklet 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qFormat/>
    <w:rsid w:val="00E44FA4"/>
    <w:rPr>
      <w:b/>
      <w:bCs/>
    </w:rPr>
  </w:style>
  <w:style w:type="paragraph" w:customStyle="1" w:styleId="Bulletpoints">
    <w:name w:val="Bullet points"/>
    <w:basedOn w:val="Standard"/>
    <w:link w:val="BulletpointsChar"/>
    <w:qFormat/>
    <w:rsid w:val="00E44FA4"/>
    <w:pPr>
      <w:numPr>
        <w:numId w:val="5"/>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4"/>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4"/>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rsid w:val="007619E2"/>
    <w:pPr>
      <w:spacing w:before="2400" w:after="120"/>
    </w:pPr>
    <w:rPr>
      <w:rFonts w:cs="Arial"/>
      <w:b/>
      <w:sz w:val="52"/>
      <w:lang w:val="en-GB"/>
    </w:rPr>
  </w:style>
  <w:style w:type="paragraph" w:customStyle="1" w:styleId="1AbcamBookletTitle">
    <w:name w:val="1 Abcam Booklet Title"/>
    <w:basedOn w:val="Normal"/>
    <w:link w:val="1AbcamBookletTitleChar"/>
    <w:rsid w:val="0096742B"/>
    <w:pPr>
      <w:numPr>
        <w:numId w:val="15"/>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8107B"/>
    <w:pPr>
      <w:numPr>
        <w:ilvl w:val="2"/>
        <w:numId w:val="12"/>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8107B"/>
    <w:pPr>
      <w:numPr>
        <w:ilvl w:val="1"/>
        <w:numId w:val="12"/>
      </w:numPr>
      <w:tabs>
        <w:tab w:val="clear" w:pos="6662"/>
        <w:tab w:val="num" w:pos="0"/>
      </w:tabs>
      <w:spacing w:before="60" w:after="60"/>
      <w:ind w:left="567"/>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12"/>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833EC4"/>
    <w:pPr>
      <w:spacing w:before="60" w:after="60"/>
    </w:pPr>
  </w:style>
  <w:style w:type="paragraph" w:customStyle="1" w:styleId="1AbcamNotetext">
    <w:name w:val="1 Abcam Note text"/>
    <w:basedOn w:val="Normal"/>
    <w:link w:val="1AbcamNotetextChar"/>
    <w:qFormat/>
    <w:rsid w:val="00F1129A"/>
    <w:pPr>
      <w:numPr>
        <w:numId w:val="13"/>
      </w:numPr>
      <w:spacing w:before="60" w:after="60"/>
      <w:ind w:left="0" w:firstLine="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14"/>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380497"/>
    <w:pPr>
      <w:numPr>
        <w:numId w:val="12"/>
      </w:numPr>
      <w:pBdr>
        <w:bottom w:val="none" w:sz="0" w:space="0" w:color="auto"/>
      </w:pBdr>
    </w:pPr>
  </w:style>
  <w:style w:type="character" w:customStyle="1" w:styleId="1AbcamheadingChar">
    <w:name w:val="1 Abcam heading Char"/>
    <w:basedOn w:val="Heading1Char"/>
    <w:link w:val="1Abcamheading"/>
    <w:rsid w:val="00E328B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16"/>
      </w:numPr>
      <w:spacing w:before="60" w:after="60"/>
    </w:pPr>
    <w:rPr>
      <w:b/>
      <w:bCs/>
    </w:rPr>
  </w:style>
  <w:style w:type="paragraph" w:styleId="ListBullet">
    <w:name w:val="List Bullet"/>
    <w:basedOn w:val="Normal"/>
    <w:semiHidden/>
    <w:unhideWhenUsed/>
    <w:rsid w:val="001E2DD7"/>
    <w:pPr>
      <w:numPr>
        <w:numId w:val="17"/>
      </w:numPr>
      <w:contextualSpacing/>
    </w:pPr>
  </w:style>
  <w:style w:type="paragraph" w:customStyle="1" w:styleId="11Abcambold">
    <w:name w:val="1.1 Abcam#bold"/>
    <w:basedOn w:val="11Abcam"/>
    <w:qFormat/>
    <w:rsid w:val="00380497"/>
    <w:rPr>
      <w:b/>
    </w:rPr>
  </w:style>
  <w:style w:type="character" w:customStyle="1" w:styleId="1AbcamNotetextChar">
    <w:name w:val="1 Abcam Note text Char"/>
    <w:basedOn w:val="DefaultParagraphFont"/>
    <w:link w:val="1AbcamNotetext"/>
    <w:rsid w:val="00F1129A"/>
    <w:rPr>
      <w:rFonts w:ascii="Century Gothic" w:hAnsi="Century Gothic"/>
      <w:szCs w:val="24"/>
    </w:rPr>
  </w:style>
  <w:style w:type="paragraph" w:styleId="Revision">
    <w:name w:val="Revision"/>
    <w:hidden/>
    <w:semiHidden/>
    <w:rsid w:val="00262F3B"/>
    <w:rPr>
      <w:rFonts w:ascii="Century Gothic" w:hAnsi="Century Gothic"/>
      <w:szCs w:val="24"/>
    </w:rPr>
  </w:style>
  <w:style w:type="character" w:styleId="Mention">
    <w:name w:val="Mention"/>
    <w:basedOn w:val="DefaultParagraphFont"/>
    <w:uiPriority w:val="99"/>
    <w:semiHidden/>
    <w:unhideWhenUsed/>
    <w:rsid w:val="00397F0D"/>
    <w:rPr>
      <w:color w:val="2B579A"/>
      <w:shd w:val="clear" w:color="auto" w:fill="E6E6E6"/>
    </w:rPr>
  </w:style>
  <w:style w:type="paragraph" w:styleId="NormalWeb">
    <w:name w:val="Normal (Web)"/>
    <w:basedOn w:val="Normal"/>
    <w:uiPriority w:val="99"/>
    <w:semiHidden/>
    <w:unhideWhenUsed/>
    <w:rsid w:val="00556392"/>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410212">
      <w:bodyDiv w:val="1"/>
      <w:marLeft w:val="0"/>
      <w:marRight w:val="0"/>
      <w:marTop w:val="0"/>
      <w:marBottom w:val="0"/>
      <w:divBdr>
        <w:top w:val="none" w:sz="0" w:space="0" w:color="auto"/>
        <w:left w:val="none" w:sz="0" w:space="0" w:color="auto"/>
        <w:bottom w:val="none" w:sz="0" w:space="0" w:color="auto"/>
        <w:right w:val="none" w:sz="0" w:space="0" w:color="auto"/>
      </w:divBdr>
    </w:div>
    <w:div w:id="1921670520">
      <w:bodyDiv w:val="1"/>
      <w:marLeft w:val="0"/>
      <w:marRight w:val="0"/>
      <w:marTop w:val="0"/>
      <w:marBottom w:val="0"/>
      <w:divBdr>
        <w:top w:val="none" w:sz="0" w:space="0" w:color="auto"/>
        <w:left w:val="none" w:sz="0" w:space="0" w:color="auto"/>
        <w:bottom w:val="none" w:sz="0" w:space="0" w:color="auto"/>
        <w:right w:val="none" w:sz="0" w:space="0" w:color="auto"/>
      </w:divBdr>
      <w:divsChild>
        <w:div w:id="1800611709">
          <w:marLeft w:val="720"/>
          <w:marRight w:val="0"/>
          <w:marTop w:val="0"/>
          <w:marBottom w:val="480"/>
          <w:divBdr>
            <w:top w:val="none" w:sz="0" w:space="0" w:color="auto"/>
            <w:left w:val="none" w:sz="0" w:space="0" w:color="auto"/>
            <w:bottom w:val="none" w:sz="0" w:space="0" w:color="auto"/>
            <w:right w:val="none" w:sz="0" w:space="0" w:color="auto"/>
          </w:divBdr>
        </w:div>
        <w:div w:id="1468551930">
          <w:marLeft w:val="720"/>
          <w:marRight w:val="0"/>
          <w:marTop w:val="0"/>
          <w:marBottom w:val="480"/>
          <w:divBdr>
            <w:top w:val="none" w:sz="0" w:space="0" w:color="auto"/>
            <w:left w:val="none" w:sz="0" w:space="0" w:color="auto"/>
            <w:bottom w:val="none" w:sz="0" w:space="0" w:color="auto"/>
            <w:right w:val="none" w:sz="0" w:space="0" w:color="auto"/>
          </w:divBdr>
        </w:div>
      </w:divsChild>
    </w:div>
    <w:div w:id="2020303470">
      <w:bodyDiv w:val="1"/>
      <w:marLeft w:val="0"/>
      <w:marRight w:val="0"/>
      <w:marTop w:val="0"/>
      <w:marBottom w:val="0"/>
      <w:divBdr>
        <w:top w:val="none" w:sz="0" w:space="0" w:color="auto"/>
        <w:left w:val="none" w:sz="0" w:space="0" w:color="auto"/>
        <w:bottom w:val="none" w:sz="0" w:space="0" w:color="auto"/>
        <w:right w:val="none" w:sz="0" w:space="0" w:color="auto"/>
      </w:divBdr>
      <w:divsChild>
        <w:div w:id="711423527">
          <w:marLeft w:val="979"/>
          <w:marRight w:val="0"/>
          <w:marTop w:val="0"/>
          <w:marBottom w:val="480"/>
          <w:divBdr>
            <w:top w:val="none" w:sz="0" w:space="0" w:color="auto"/>
            <w:left w:val="none" w:sz="0" w:space="0" w:color="auto"/>
            <w:bottom w:val="none" w:sz="0" w:space="0" w:color="auto"/>
            <w:right w:val="none" w:sz="0" w:space="0" w:color="auto"/>
          </w:divBdr>
        </w:div>
        <w:div w:id="1007517116">
          <w:marLeft w:val="979"/>
          <w:marRight w:val="0"/>
          <w:marTop w:val="0"/>
          <w:marBottom w:val="480"/>
          <w:divBdr>
            <w:top w:val="none" w:sz="0" w:space="0" w:color="auto"/>
            <w:left w:val="none" w:sz="0" w:space="0" w:color="auto"/>
            <w:bottom w:val="none" w:sz="0" w:space="0" w:color="auto"/>
            <w:right w:val="none" w:sz="0" w:space="0" w:color="auto"/>
          </w:divBdr>
        </w:div>
        <w:div w:id="494296707">
          <w:marLeft w:val="979"/>
          <w:marRight w:val="0"/>
          <w:marTop w:val="0"/>
          <w:marBottom w:val="48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abcam.co.jp/contactus" TargetMode="External"/><Relationship Id="rId2" Type="http://schemas.openxmlformats.org/officeDocument/2006/relationships/numbering" Target="numbering.xml"/><Relationship Id="rId16" Type="http://schemas.openxmlformats.org/officeDocument/2006/relationships/hyperlink" Target="http://www.abcam.cn/contact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www.abcam.com/contactus" TargetMode="External"/><Relationship Id="rId10" Type="http://schemas.openxmlformats.org/officeDocument/2006/relationships/hyperlink" Target="http://www.abcam.com/assaykitguidelin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F5A73-C75F-48DE-9B59-EBAF7E39A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Theodore Woko</cp:lastModifiedBy>
  <cp:revision>2</cp:revision>
  <cp:lastPrinted>2018-04-13T15:00:00Z</cp:lastPrinted>
  <dcterms:created xsi:type="dcterms:W3CDTF">2023-05-25T13:24:00Z</dcterms:created>
  <dcterms:modified xsi:type="dcterms:W3CDTF">2023-05-25T13:24:00Z</dcterms:modified>
</cp:coreProperties>
</file>