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5DB9A" w14:textId="026C3D16" w:rsidR="00DC1372" w:rsidRPr="006E17B3" w:rsidRDefault="00014148" w:rsidP="00014148">
      <w:pPr>
        <w:rPr>
          <w:lang w:val="en-GB"/>
        </w:rPr>
      </w:pPr>
      <w:r>
        <w:t xml:space="preserve">Version </w:t>
      </w:r>
      <w:r w:rsidR="00B52157">
        <w:t>1</w:t>
      </w:r>
      <w:r>
        <w:t xml:space="preserve"> Last updated </w:t>
      </w:r>
      <w:r>
        <w:fldChar w:fldCharType="begin"/>
      </w:r>
      <w:r>
        <w:instrText xml:space="preserve"> DATE  \@ "d MMMM yyyy"  \* MERGEFORMAT </w:instrText>
      </w:r>
      <w:r>
        <w:fldChar w:fldCharType="separate"/>
      </w:r>
      <w:r w:rsidR="00851307">
        <w:rPr>
          <w:noProof/>
        </w:rPr>
        <w:t>12 May 2020</w:t>
      </w:r>
      <w:r>
        <w:fldChar w:fldCharType="end"/>
      </w:r>
    </w:p>
    <w:p w14:paraId="3FB6719F" w14:textId="77777777" w:rsidR="00D332B4" w:rsidRDefault="00D332B4" w:rsidP="00DC1372">
      <w:pPr>
        <w:rPr>
          <w:rFonts w:cs="Arial"/>
          <w:lang w:val="en-GB"/>
        </w:rPr>
      </w:pPr>
    </w:p>
    <w:p w14:paraId="5531AFF6"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0A87B3E5" w14:textId="77777777" w:rsidTr="00DF5155">
        <w:trPr>
          <w:trHeight w:hRule="exact" w:val="4027"/>
        </w:trPr>
        <w:tc>
          <w:tcPr>
            <w:tcW w:w="6096" w:type="dxa"/>
            <w:vAlign w:val="center"/>
          </w:tcPr>
          <w:p w14:paraId="6E3849FB" w14:textId="52177B91" w:rsidR="00A4487B" w:rsidRPr="00E74DC4" w:rsidRDefault="00D7656E" w:rsidP="00F6044E">
            <w:pPr>
              <w:pStyle w:val="Title"/>
              <w:rPr>
                <w:rFonts w:ascii="Century Gothic" w:hAnsi="Century Gothic" w:cs="Lao UI"/>
                <w:b/>
              </w:rPr>
            </w:pPr>
            <w:r>
              <w:rPr>
                <w:rFonts w:ascii="Century Gothic" w:hAnsi="Century Gothic" w:cs="Lao UI"/>
                <w:b/>
              </w:rPr>
              <w:t>ab272521</w:t>
            </w:r>
          </w:p>
          <w:p w14:paraId="007B0551" w14:textId="08F6D069" w:rsidR="000E4FA8" w:rsidRPr="00E74DC4" w:rsidRDefault="00D7656E" w:rsidP="00F6044E">
            <w:pPr>
              <w:pStyle w:val="Title"/>
              <w:rPr>
                <w:rFonts w:ascii="Century Gothic" w:hAnsi="Century Gothic"/>
              </w:rPr>
            </w:pPr>
            <w:r>
              <w:rPr>
                <w:rFonts w:ascii="Century Gothic" w:hAnsi="Century Gothic" w:cs="Lao UI"/>
                <w:b/>
              </w:rPr>
              <w:t xml:space="preserve">Beta-Glucosidase </w:t>
            </w:r>
            <w:r w:rsidR="005C62C5">
              <w:rPr>
                <w:rFonts w:ascii="Century Gothic" w:hAnsi="Century Gothic" w:cs="Lao UI"/>
                <w:b/>
              </w:rPr>
              <w:t>Assay Kit</w:t>
            </w:r>
          </w:p>
        </w:tc>
      </w:tr>
    </w:tbl>
    <w:p w14:paraId="130D05E7" w14:textId="2B1D0BA4" w:rsidR="00441AFC" w:rsidRPr="002F1463" w:rsidRDefault="00441AFC" w:rsidP="00441AFC">
      <w:pPr>
        <w:pStyle w:val="1AbcamStandardtext"/>
        <w:rPr>
          <w:sz w:val="24"/>
        </w:rPr>
      </w:pPr>
      <w:r w:rsidRPr="00132A62">
        <w:rPr>
          <w:sz w:val="24"/>
        </w:rPr>
        <w:t xml:space="preserve">View </w:t>
      </w:r>
      <w:r w:rsidR="00D7656E">
        <w:rPr>
          <w:sz w:val="24"/>
        </w:rPr>
        <w:t>ab272521</w:t>
      </w:r>
    </w:p>
    <w:p w14:paraId="75A82640" w14:textId="7FA5F8A6" w:rsidR="00441AFC" w:rsidRPr="00132A62" w:rsidRDefault="00D7656E" w:rsidP="00441AFC">
      <w:pPr>
        <w:pStyle w:val="1AbcamStandardtext"/>
        <w:rPr>
          <w:sz w:val="24"/>
        </w:rPr>
      </w:pPr>
      <w:r>
        <w:rPr>
          <w:rFonts w:cs="Lao UI"/>
        </w:rPr>
        <w:t xml:space="preserve">Beta-Glucosidase </w:t>
      </w:r>
      <w:r w:rsidR="00441AFC" w:rsidRPr="00441AFC">
        <w:rPr>
          <w:rFonts w:cs="Lao UI"/>
        </w:rPr>
        <w:t xml:space="preserve">Assay Kit </w:t>
      </w:r>
      <w:r w:rsidR="00441AFC" w:rsidRPr="00132A62">
        <w:rPr>
          <w:sz w:val="24"/>
        </w:rPr>
        <w:t>datasheet:</w:t>
      </w:r>
    </w:p>
    <w:p w14:paraId="4ED057B4" w14:textId="0197472C" w:rsidR="00441AFC" w:rsidRDefault="00851307" w:rsidP="00441AFC">
      <w:pPr>
        <w:pStyle w:val="1AbcamStandardtext"/>
        <w:rPr>
          <w:sz w:val="24"/>
        </w:rPr>
      </w:pPr>
      <w:hyperlink r:id="rId8" w:history="1">
        <w:r w:rsidR="00C339C2" w:rsidRPr="00112948">
          <w:rPr>
            <w:rStyle w:val="Hyperlink"/>
            <w:sz w:val="24"/>
          </w:rPr>
          <w:t>www.abcam.com/</w:t>
        </w:r>
        <w:r w:rsidR="00D7656E">
          <w:rPr>
            <w:rStyle w:val="Hyperlink"/>
            <w:sz w:val="24"/>
          </w:rPr>
          <w:t>ab272521</w:t>
        </w:r>
      </w:hyperlink>
    </w:p>
    <w:p w14:paraId="29C16C95" w14:textId="3663DF6E" w:rsidR="00441AFC" w:rsidRPr="00132A62" w:rsidRDefault="00441AFC" w:rsidP="00441AFC">
      <w:pPr>
        <w:pStyle w:val="1AbcamStandardtext"/>
        <w:rPr>
          <w:sz w:val="24"/>
        </w:rPr>
      </w:pPr>
      <w:r>
        <w:rPr>
          <w:sz w:val="16"/>
        </w:rPr>
        <w:t xml:space="preserve">(use </w:t>
      </w:r>
      <w:hyperlink r:id="rId9" w:history="1">
        <w:r w:rsidR="00C339C2" w:rsidRPr="00112948">
          <w:rPr>
            <w:rStyle w:val="Hyperlink"/>
            <w:sz w:val="16"/>
          </w:rPr>
          <w:t>www.abcam.cn/</w:t>
        </w:r>
        <w:r w:rsidR="00D7656E">
          <w:rPr>
            <w:rStyle w:val="Hyperlink"/>
            <w:sz w:val="16"/>
          </w:rPr>
          <w:t>ab272521</w:t>
        </w:r>
      </w:hyperlink>
      <w:r>
        <w:rPr>
          <w:sz w:val="16"/>
        </w:rPr>
        <w:t xml:space="preserve"> for China, or </w:t>
      </w:r>
      <w:hyperlink r:id="rId10" w:history="1">
        <w:r w:rsidR="00C339C2" w:rsidRPr="00112948">
          <w:rPr>
            <w:rStyle w:val="Hyperlink"/>
            <w:sz w:val="16"/>
          </w:rPr>
          <w:t>www.abcam.co.jp/</w:t>
        </w:r>
        <w:r w:rsidR="00D7656E">
          <w:rPr>
            <w:rStyle w:val="Hyperlink"/>
            <w:sz w:val="16"/>
          </w:rPr>
          <w:t>ab272521</w:t>
        </w:r>
      </w:hyperlink>
      <w:r>
        <w:rPr>
          <w:sz w:val="16"/>
        </w:rPr>
        <w:t xml:space="preserve"> for Japan)</w:t>
      </w:r>
    </w:p>
    <w:p w14:paraId="7C6F61F2" w14:textId="77777777" w:rsidR="00441AFC" w:rsidRDefault="00441AFC" w:rsidP="003E4ABF">
      <w:pPr>
        <w:autoSpaceDE w:val="0"/>
        <w:autoSpaceDN w:val="0"/>
        <w:adjustRightInd w:val="0"/>
        <w:spacing w:before="60" w:after="60"/>
        <w:rPr>
          <w:rFonts w:cs="Arial"/>
          <w:szCs w:val="20"/>
        </w:rPr>
      </w:pPr>
    </w:p>
    <w:p w14:paraId="580D8E9A" w14:textId="77777777" w:rsidR="00557DE0" w:rsidRDefault="00557DE0" w:rsidP="003E4ABF">
      <w:pPr>
        <w:autoSpaceDE w:val="0"/>
        <w:autoSpaceDN w:val="0"/>
        <w:adjustRightInd w:val="0"/>
        <w:spacing w:before="60" w:after="60"/>
        <w:rPr>
          <w:rFonts w:cs="Arial"/>
          <w:szCs w:val="20"/>
        </w:rPr>
      </w:pPr>
    </w:p>
    <w:p w14:paraId="1B24965E" w14:textId="77777777" w:rsidR="00557DE0" w:rsidRDefault="00557DE0" w:rsidP="003E4ABF">
      <w:pPr>
        <w:autoSpaceDE w:val="0"/>
        <w:autoSpaceDN w:val="0"/>
        <w:adjustRightInd w:val="0"/>
        <w:spacing w:before="60" w:after="60"/>
        <w:rPr>
          <w:rFonts w:cs="Arial"/>
          <w:szCs w:val="20"/>
        </w:rPr>
      </w:pPr>
    </w:p>
    <w:p w14:paraId="2EF8FF93" w14:textId="67030A19" w:rsidR="00BF65CB" w:rsidRDefault="00272BAE" w:rsidP="003E4ABF">
      <w:pPr>
        <w:autoSpaceDE w:val="0"/>
        <w:autoSpaceDN w:val="0"/>
        <w:adjustRightInd w:val="0"/>
        <w:spacing w:before="60" w:after="60"/>
        <w:rPr>
          <w:rFonts w:cs="Arial"/>
          <w:szCs w:val="20"/>
        </w:rPr>
      </w:pPr>
      <w:r w:rsidRPr="00272BAE">
        <w:rPr>
          <w:rFonts w:cs="Arial"/>
          <w:szCs w:val="20"/>
        </w:rPr>
        <w:t xml:space="preserve">For quantitative determination of </w:t>
      </w:r>
      <w:r w:rsidR="00D7656E">
        <w:rPr>
          <w:rFonts w:cs="Arial"/>
          <w:szCs w:val="20"/>
        </w:rPr>
        <w:t xml:space="preserve">beta-Glucosidase </w:t>
      </w:r>
      <w:r w:rsidRPr="00272BAE">
        <w:rPr>
          <w:rFonts w:cs="Arial"/>
          <w:szCs w:val="20"/>
        </w:rPr>
        <w:t>activity and evaluation of drug effects on its metabolism.</w:t>
      </w:r>
    </w:p>
    <w:p w14:paraId="2B08CC4B" w14:textId="77777777" w:rsidR="00272BAE" w:rsidRPr="003E4ABF" w:rsidRDefault="00272BAE" w:rsidP="003E4ABF">
      <w:pPr>
        <w:autoSpaceDE w:val="0"/>
        <w:autoSpaceDN w:val="0"/>
        <w:adjustRightInd w:val="0"/>
        <w:spacing w:before="60" w:after="60"/>
        <w:rPr>
          <w:rFonts w:cs="Arial"/>
          <w:szCs w:val="20"/>
        </w:rPr>
      </w:pPr>
    </w:p>
    <w:p w14:paraId="217188D0"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1B9A684F" w14:textId="77777777" w:rsidR="008B2920" w:rsidRDefault="008B2920">
      <w:pPr>
        <w:spacing w:before="0"/>
        <w:rPr>
          <w:rFonts w:cs="Arial"/>
          <w:lang w:val="en-AU"/>
        </w:rPr>
      </w:pPr>
      <w:r>
        <w:rPr>
          <w:rFonts w:cs="Arial"/>
          <w:lang w:val="en-AU"/>
        </w:rPr>
        <w:br w:type="page"/>
      </w:r>
    </w:p>
    <w:p w14:paraId="0DA062E3"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42DFE787" w14:textId="7A71DF90" w:rsidR="00442F62" w:rsidRDefault="00B86D77">
      <w:pPr>
        <w:pStyle w:val="TOC1"/>
        <w:rPr>
          <w:rFonts w:asciiTheme="minorHAnsi" w:eastAsiaTheme="minorEastAsia" w:hAnsiTheme="minorHAnsi" w:cstheme="minorBidi"/>
          <w:noProof/>
          <w:sz w:val="22"/>
          <w:szCs w:val="22"/>
          <w:lang w:val="en-GB" w:eastAsia="en-GB"/>
        </w:rPr>
      </w:pPr>
      <w:r>
        <w:fldChar w:fldCharType="begin"/>
      </w:r>
      <w:r>
        <w:instrText xml:space="preserve"> TOC \o "1-1" \u </w:instrText>
      </w:r>
      <w:r>
        <w:fldChar w:fldCharType="separate"/>
      </w:r>
      <w:r w:rsidR="00442F62">
        <w:rPr>
          <w:noProof/>
        </w:rPr>
        <w:t>1.</w:t>
      </w:r>
      <w:r w:rsidR="00442F62">
        <w:rPr>
          <w:rFonts w:asciiTheme="minorHAnsi" w:eastAsiaTheme="minorEastAsia" w:hAnsiTheme="minorHAnsi" w:cstheme="minorBidi"/>
          <w:noProof/>
          <w:sz w:val="22"/>
          <w:szCs w:val="22"/>
          <w:lang w:val="en-GB" w:eastAsia="en-GB"/>
        </w:rPr>
        <w:tab/>
      </w:r>
      <w:r w:rsidR="00442F62">
        <w:rPr>
          <w:noProof/>
        </w:rPr>
        <w:t>Overview</w:t>
      </w:r>
      <w:r w:rsidR="00442F62">
        <w:rPr>
          <w:noProof/>
        </w:rPr>
        <w:tab/>
      </w:r>
      <w:r w:rsidR="00442F62">
        <w:rPr>
          <w:noProof/>
        </w:rPr>
        <w:fldChar w:fldCharType="begin"/>
      </w:r>
      <w:r w:rsidR="00442F62">
        <w:rPr>
          <w:noProof/>
        </w:rPr>
        <w:instrText xml:space="preserve"> PAGEREF _Toc37763419 \h </w:instrText>
      </w:r>
      <w:r w:rsidR="00442F62">
        <w:rPr>
          <w:noProof/>
        </w:rPr>
      </w:r>
      <w:r w:rsidR="00442F62">
        <w:rPr>
          <w:noProof/>
        </w:rPr>
        <w:fldChar w:fldCharType="separate"/>
      </w:r>
      <w:r w:rsidR="00442F62">
        <w:rPr>
          <w:noProof/>
        </w:rPr>
        <w:t>1</w:t>
      </w:r>
      <w:r w:rsidR="00442F62">
        <w:rPr>
          <w:noProof/>
        </w:rPr>
        <w:fldChar w:fldCharType="end"/>
      </w:r>
    </w:p>
    <w:p w14:paraId="22C20E45" w14:textId="3C00324B" w:rsidR="00442F62" w:rsidRDefault="00442F62">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_Toc37763420 \h </w:instrText>
      </w:r>
      <w:r>
        <w:rPr>
          <w:noProof/>
        </w:rPr>
      </w:r>
      <w:r>
        <w:rPr>
          <w:noProof/>
        </w:rPr>
        <w:fldChar w:fldCharType="separate"/>
      </w:r>
      <w:r>
        <w:rPr>
          <w:noProof/>
        </w:rPr>
        <w:t>2</w:t>
      </w:r>
      <w:r>
        <w:rPr>
          <w:noProof/>
        </w:rPr>
        <w:fldChar w:fldCharType="end"/>
      </w:r>
    </w:p>
    <w:p w14:paraId="09AA39F2" w14:textId="75BE9E3C" w:rsidR="00442F62" w:rsidRDefault="00442F62">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_Toc37763421 \h </w:instrText>
      </w:r>
      <w:r>
        <w:rPr>
          <w:noProof/>
        </w:rPr>
      </w:r>
      <w:r>
        <w:rPr>
          <w:noProof/>
        </w:rPr>
        <w:fldChar w:fldCharType="separate"/>
      </w:r>
      <w:r>
        <w:rPr>
          <w:noProof/>
        </w:rPr>
        <w:t>3</w:t>
      </w:r>
      <w:r>
        <w:rPr>
          <w:noProof/>
        </w:rPr>
        <w:fldChar w:fldCharType="end"/>
      </w:r>
    </w:p>
    <w:p w14:paraId="627DBA53" w14:textId="7820C879" w:rsidR="00442F62" w:rsidRDefault="00442F62">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_Toc37763422 \h </w:instrText>
      </w:r>
      <w:r>
        <w:rPr>
          <w:noProof/>
        </w:rPr>
      </w:r>
      <w:r>
        <w:rPr>
          <w:noProof/>
        </w:rPr>
        <w:fldChar w:fldCharType="separate"/>
      </w:r>
      <w:r>
        <w:rPr>
          <w:noProof/>
        </w:rPr>
        <w:t>3</w:t>
      </w:r>
      <w:r>
        <w:rPr>
          <w:noProof/>
        </w:rPr>
        <w:fldChar w:fldCharType="end"/>
      </w:r>
    </w:p>
    <w:p w14:paraId="0C61F1F3" w14:textId="6FB7A634" w:rsidR="00442F62" w:rsidRDefault="00442F62">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_Toc37763423 \h </w:instrText>
      </w:r>
      <w:r>
        <w:rPr>
          <w:noProof/>
        </w:rPr>
      </w:r>
      <w:r>
        <w:rPr>
          <w:noProof/>
        </w:rPr>
        <w:fldChar w:fldCharType="separate"/>
      </w:r>
      <w:r>
        <w:rPr>
          <w:noProof/>
        </w:rPr>
        <w:t>4</w:t>
      </w:r>
      <w:r>
        <w:rPr>
          <w:noProof/>
        </w:rPr>
        <w:fldChar w:fldCharType="end"/>
      </w:r>
    </w:p>
    <w:p w14:paraId="248BAB0E" w14:textId="47AA7706" w:rsidR="00442F62" w:rsidRDefault="00442F62">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_Toc37763424 \h </w:instrText>
      </w:r>
      <w:r>
        <w:rPr>
          <w:noProof/>
        </w:rPr>
      </w:r>
      <w:r>
        <w:rPr>
          <w:noProof/>
        </w:rPr>
        <w:fldChar w:fldCharType="separate"/>
      </w:r>
      <w:r>
        <w:rPr>
          <w:noProof/>
        </w:rPr>
        <w:t>4</w:t>
      </w:r>
      <w:r>
        <w:rPr>
          <w:noProof/>
        </w:rPr>
        <w:fldChar w:fldCharType="end"/>
      </w:r>
    </w:p>
    <w:p w14:paraId="1D2DFF45" w14:textId="556F278A" w:rsidR="00442F62" w:rsidRDefault="00442F62">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_Toc37763425 \h </w:instrText>
      </w:r>
      <w:r>
        <w:rPr>
          <w:noProof/>
        </w:rPr>
      </w:r>
      <w:r>
        <w:rPr>
          <w:noProof/>
        </w:rPr>
        <w:fldChar w:fldCharType="separate"/>
      </w:r>
      <w:r>
        <w:rPr>
          <w:noProof/>
        </w:rPr>
        <w:t>5</w:t>
      </w:r>
      <w:r>
        <w:rPr>
          <w:noProof/>
        </w:rPr>
        <w:fldChar w:fldCharType="end"/>
      </w:r>
    </w:p>
    <w:p w14:paraId="08A6C2FA" w14:textId="2DA2EF85" w:rsidR="00442F62" w:rsidRDefault="00442F62">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_Toc37763426 \h </w:instrText>
      </w:r>
      <w:r>
        <w:rPr>
          <w:noProof/>
        </w:rPr>
      </w:r>
      <w:r>
        <w:rPr>
          <w:noProof/>
        </w:rPr>
        <w:fldChar w:fldCharType="separate"/>
      </w:r>
      <w:r>
        <w:rPr>
          <w:noProof/>
        </w:rPr>
        <w:t>6</w:t>
      </w:r>
      <w:r>
        <w:rPr>
          <w:noProof/>
        </w:rPr>
        <w:fldChar w:fldCharType="end"/>
      </w:r>
    </w:p>
    <w:p w14:paraId="00929A2F" w14:textId="78D4F2EE" w:rsidR="00442F62" w:rsidRDefault="00442F62">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_Toc37763427 \h </w:instrText>
      </w:r>
      <w:r>
        <w:rPr>
          <w:noProof/>
        </w:rPr>
      </w:r>
      <w:r>
        <w:rPr>
          <w:noProof/>
        </w:rPr>
        <w:fldChar w:fldCharType="separate"/>
      </w:r>
      <w:r>
        <w:rPr>
          <w:noProof/>
        </w:rPr>
        <w:t>7</w:t>
      </w:r>
      <w:r>
        <w:rPr>
          <w:noProof/>
        </w:rPr>
        <w:fldChar w:fldCharType="end"/>
      </w:r>
    </w:p>
    <w:p w14:paraId="1331BABE" w14:textId="770B6D53" w:rsidR="00442F62" w:rsidRDefault="00442F62">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_Toc37763428 \h </w:instrText>
      </w:r>
      <w:r>
        <w:rPr>
          <w:noProof/>
        </w:rPr>
      </w:r>
      <w:r>
        <w:rPr>
          <w:noProof/>
        </w:rPr>
        <w:fldChar w:fldCharType="separate"/>
      </w:r>
      <w:r>
        <w:rPr>
          <w:noProof/>
        </w:rPr>
        <w:t>8</w:t>
      </w:r>
      <w:r>
        <w:rPr>
          <w:noProof/>
        </w:rPr>
        <w:fldChar w:fldCharType="end"/>
      </w:r>
    </w:p>
    <w:p w14:paraId="75D5D14E" w14:textId="03C6D158" w:rsidR="00442F62" w:rsidRDefault="00442F62">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_Toc37763429 \h </w:instrText>
      </w:r>
      <w:r>
        <w:rPr>
          <w:noProof/>
        </w:rPr>
      </w:r>
      <w:r>
        <w:rPr>
          <w:noProof/>
        </w:rPr>
        <w:fldChar w:fldCharType="separate"/>
      </w:r>
      <w:r>
        <w:rPr>
          <w:noProof/>
        </w:rPr>
        <w:t>9</w:t>
      </w:r>
      <w:r>
        <w:rPr>
          <w:noProof/>
        </w:rPr>
        <w:fldChar w:fldCharType="end"/>
      </w:r>
    </w:p>
    <w:p w14:paraId="26CB9137" w14:textId="1FB42D4A" w:rsidR="00442F62" w:rsidRDefault="00442F62">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_Toc37763430 \h </w:instrText>
      </w:r>
      <w:r>
        <w:rPr>
          <w:noProof/>
        </w:rPr>
      </w:r>
      <w:r>
        <w:rPr>
          <w:noProof/>
        </w:rPr>
        <w:fldChar w:fldCharType="separate"/>
      </w:r>
      <w:r>
        <w:rPr>
          <w:noProof/>
        </w:rPr>
        <w:t>10</w:t>
      </w:r>
      <w:r>
        <w:rPr>
          <w:noProof/>
        </w:rPr>
        <w:fldChar w:fldCharType="end"/>
      </w:r>
    </w:p>
    <w:p w14:paraId="6A8EAE30" w14:textId="393EB060" w:rsidR="00442F62" w:rsidRDefault="00442F62">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_Toc37763431 \h </w:instrText>
      </w:r>
      <w:r>
        <w:rPr>
          <w:noProof/>
        </w:rPr>
      </w:r>
      <w:r>
        <w:rPr>
          <w:noProof/>
        </w:rPr>
        <w:fldChar w:fldCharType="separate"/>
      </w:r>
      <w:r>
        <w:rPr>
          <w:noProof/>
        </w:rPr>
        <w:t>11</w:t>
      </w:r>
      <w:r>
        <w:rPr>
          <w:noProof/>
        </w:rPr>
        <w:fldChar w:fldCharType="end"/>
      </w:r>
    </w:p>
    <w:p w14:paraId="7EBD6504" w14:textId="3DBD35A5" w:rsidR="00442F62" w:rsidRDefault="00442F62">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_Toc37763432 \h </w:instrText>
      </w:r>
      <w:r>
        <w:rPr>
          <w:noProof/>
        </w:rPr>
      </w:r>
      <w:r>
        <w:rPr>
          <w:noProof/>
        </w:rPr>
        <w:fldChar w:fldCharType="separate"/>
      </w:r>
      <w:r>
        <w:rPr>
          <w:noProof/>
        </w:rPr>
        <w:t>13</w:t>
      </w:r>
      <w:r>
        <w:rPr>
          <w:noProof/>
        </w:rPr>
        <w:fldChar w:fldCharType="end"/>
      </w:r>
    </w:p>
    <w:p w14:paraId="42D934C7" w14:textId="1BA00035" w:rsidR="00442F62" w:rsidRDefault="00442F62">
      <w:pPr>
        <w:pStyle w:val="TOC1"/>
        <w:rPr>
          <w:rFonts w:asciiTheme="minorHAnsi" w:eastAsiaTheme="minorEastAsia" w:hAnsiTheme="minorHAnsi" w:cstheme="minorBidi"/>
          <w:noProof/>
          <w:sz w:val="22"/>
          <w:szCs w:val="22"/>
          <w:lang w:val="en-GB" w:eastAsia="en-GB"/>
        </w:rPr>
      </w:pPr>
    </w:p>
    <w:p w14:paraId="060CA56B" w14:textId="3FCD526D" w:rsidR="00B9305B" w:rsidRDefault="00B86D77" w:rsidP="001E2DD7">
      <w:pPr>
        <w:pStyle w:val="TOC1"/>
        <w:sectPr w:rsidR="00B9305B" w:rsidSect="00BD36DA">
          <w:headerReference w:type="even" r:id="rId11"/>
          <w:headerReference w:type="default" r:id="rId12"/>
          <w:footerReference w:type="even" r:id="rId13"/>
          <w:footerReference w:type="default" r:id="rId14"/>
          <w:footerReference w:type="first" r:id="rId15"/>
          <w:pgSz w:w="8400" w:h="11900"/>
          <w:pgMar w:top="737" w:right="737" w:bottom="737" w:left="737" w:header="0" w:footer="0" w:gutter="0"/>
          <w:pgNumType w:start="1"/>
          <w:cols w:space="708"/>
          <w:titlePg/>
          <w:docGrid w:linePitch="272"/>
        </w:sectPr>
      </w:pPr>
      <w:r>
        <w:fldChar w:fldCharType="end"/>
      </w:r>
      <w:bookmarkStart w:id="1" w:name="_Toc446403811"/>
      <w:bookmarkStart w:id="2" w:name="_Toc315440410"/>
    </w:p>
    <w:p w14:paraId="2E32AF26" w14:textId="35E5BD90" w:rsidR="000E4FA8" w:rsidRPr="00291DE0" w:rsidRDefault="000E4FA8" w:rsidP="000040B0">
      <w:pPr>
        <w:pStyle w:val="1Abcamheading"/>
        <w:numPr>
          <w:ilvl w:val="0"/>
          <w:numId w:val="35"/>
        </w:numPr>
      </w:pPr>
      <w:bookmarkStart w:id="3" w:name="_Toc37763419"/>
      <w:r w:rsidRPr="00291DE0">
        <w:lastRenderedPageBreak/>
        <w:t>Overview</w:t>
      </w:r>
      <w:bookmarkEnd w:id="1"/>
      <w:bookmarkEnd w:id="3"/>
    </w:p>
    <w:p w14:paraId="54BB7502" w14:textId="55DC9000" w:rsidR="000D1074" w:rsidRPr="000D1074" w:rsidRDefault="00C95F79" w:rsidP="000D1074">
      <w:pPr>
        <w:spacing w:before="60" w:after="60"/>
        <w:jc w:val="both"/>
        <w:rPr>
          <w:rFonts w:eastAsiaTheme="minorHAnsi" w:cstheme="minorBidi"/>
          <w:bCs/>
        </w:rPr>
      </w:pPr>
      <w:r>
        <w:rPr>
          <w:rFonts w:eastAsiaTheme="minorHAnsi" w:cstheme="minorBidi"/>
          <w:bCs/>
        </w:rPr>
        <w:t>B</w:t>
      </w:r>
      <w:r w:rsidR="000D1074" w:rsidRPr="000D1074">
        <w:rPr>
          <w:rFonts w:eastAsiaTheme="minorHAnsi" w:cstheme="minorBidi"/>
          <w:bCs/>
        </w:rPr>
        <w:t>eta-Glucosidase Assay Kit (ab272521) is</w:t>
      </w:r>
      <w:r w:rsidR="0067267D">
        <w:rPr>
          <w:rFonts w:eastAsiaTheme="minorHAnsi" w:cstheme="minorBidi"/>
          <w:bCs/>
        </w:rPr>
        <w:t xml:space="preserve"> a</w:t>
      </w:r>
      <w:r w:rsidR="000D1074" w:rsidRPr="000D1074">
        <w:rPr>
          <w:rFonts w:eastAsiaTheme="minorHAnsi" w:cstheme="minorBidi"/>
          <w:bCs/>
        </w:rPr>
        <w:t xml:space="preserve"> simple, direct and automation-ready procedure for measuring β</w:t>
      </w:r>
      <w:r w:rsidR="0067267D">
        <w:rPr>
          <w:rFonts w:eastAsiaTheme="minorHAnsi" w:cstheme="minorBidi"/>
          <w:bCs/>
        </w:rPr>
        <w:t>-</w:t>
      </w:r>
      <w:r w:rsidR="000D1074" w:rsidRPr="000D1074">
        <w:rPr>
          <w:rFonts w:eastAsiaTheme="minorHAnsi" w:cstheme="minorBidi"/>
          <w:bCs/>
        </w:rPr>
        <w:t>glucosidase</w:t>
      </w:r>
      <w:r w:rsidR="0067267D">
        <w:rPr>
          <w:rFonts w:eastAsiaTheme="minorHAnsi" w:cstheme="minorBidi"/>
          <w:bCs/>
        </w:rPr>
        <w:t xml:space="preserve">. </w:t>
      </w:r>
      <w:r w:rsidR="0067267D" w:rsidRPr="0067267D">
        <w:rPr>
          <w:rFonts w:eastAsiaTheme="minorHAnsi" w:cstheme="minorBidi"/>
          <w:bCs/>
        </w:rPr>
        <w:t xml:space="preserve">beta-Glucosidase Assay Kit (ab272521) </w:t>
      </w:r>
      <w:r w:rsidR="000D1074" w:rsidRPr="000D1074">
        <w:rPr>
          <w:rFonts w:eastAsiaTheme="minorHAnsi" w:cstheme="minorBidi"/>
          <w:bCs/>
        </w:rPr>
        <w:t>is designed to measure β-glucosidase activity directly in biological samples without pretreatment. The improved method utilizes p-nitrophenyl-β-D</w:t>
      </w:r>
      <w:r w:rsidR="0067267D">
        <w:rPr>
          <w:rFonts w:eastAsiaTheme="minorHAnsi" w:cstheme="minorBidi"/>
          <w:bCs/>
        </w:rPr>
        <w:t>-</w:t>
      </w:r>
      <w:r w:rsidR="000D1074" w:rsidRPr="000D1074">
        <w:rPr>
          <w:rFonts w:eastAsiaTheme="minorHAnsi" w:cstheme="minorBidi"/>
          <w:bCs/>
        </w:rPr>
        <w:t>glucopyranoside that is hydrolyzed specifically by β-glucosidase into a yellow colored product (maximal absorbance at 405nm). The rate of the reaction is directly proportional to the enzyme activity.</w:t>
      </w:r>
    </w:p>
    <w:p w14:paraId="3684B8F3" w14:textId="77777777" w:rsidR="000D1074" w:rsidRPr="000D1074" w:rsidRDefault="000D1074" w:rsidP="000D1074">
      <w:pPr>
        <w:spacing w:before="60" w:after="60"/>
        <w:jc w:val="both"/>
        <w:rPr>
          <w:rFonts w:eastAsiaTheme="minorHAnsi" w:cstheme="minorBidi"/>
          <w:bCs/>
        </w:rPr>
      </w:pPr>
    </w:p>
    <w:p w14:paraId="1CB81959" w14:textId="77777777" w:rsidR="000D1074" w:rsidRPr="000D1074" w:rsidRDefault="000D1074" w:rsidP="000D1074">
      <w:pPr>
        <w:spacing w:before="60" w:after="60"/>
        <w:jc w:val="both"/>
        <w:rPr>
          <w:rFonts w:eastAsiaTheme="minorHAnsi" w:cstheme="minorBidi"/>
          <w:bCs/>
        </w:rPr>
      </w:pPr>
      <w:r w:rsidRPr="0067267D">
        <w:rPr>
          <w:rFonts w:eastAsiaTheme="minorHAnsi" w:cstheme="minorBidi"/>
          <w:b/>
        </w:rPr>
        <w:t>High sensitivity and wide linear range</w:t>
      </w:r>
      <w:r w:rsidRPr="000D1074">
        <w:rPr>
          <w:rFonts w:eastAsiaTheme="minorHAnsi" w:cstheme="minorBidi"/>
          <w:bCs/>
        </w:rPr>
        <w:t>. Use 20 μL sample. The detection limit is 2 U/L, linear up to 250 U/L.</w:t>
      </w:r>
    </w:p>
    <w:p w14:paraId="5DB1215B" w14:textId="77777777" w:rsidR="000D1074" w:rsidRPr="000D1074" w:rsidRDefault="000D1074" w:rsidP="000D1074">
      <w:pPr>
        <w:spacing w:before="60" w:after="60"/>
        <w:jc w:val="both"/>
        <w:rPr>
          <w:rFonts w:eastAsiaTheme="minorHAnsi" w:cstheme="minorBidi"/>
          <w:bCs/>
        </w:rPr>
      </w:pPr>
    </w:p>
    <w:p w14:paraId="6F597879" w14:textId="77777777" w:rsidR="000D1074" w:rsidRPr="000D1074" w:rsidRDefault="000D1074" w:rsidP="000D1074">
      <w:pPr>
        <w:spacing w:before="60" w:after="60"/>
        <w:jc w:val="both"/>
        <w:rPr>
          <w:rFonts w:eastAsiaTheme="minorHAnsi" w:cstheme="minorBidi"/>
          <w:bCs/>
        </w:rPr>
      </w:pPr>
      <w:r w:rsidRPr="0067267D">
        <w:rPr>
          <w:rFonts w:eastAsiaTheme="minorHAnsi" w:cstheme="minorBidi"/>
          <w:b/>
        </w:rPr>
        <w:t>Homogeneous and simple procedure.</w:t>
      </w:r>
      <w:r w:rsidRPr="000D1074">
        <w:rPr>
          <w:rFonts w:eastAsiaTheme="minorHAnsi" w:cstheme="minorBidi"/>
          <w:bCs/>
        </w:rPr>
        <w:t xml:space="preserve"> Simple "mix-and-measure" procedure allows reliable quantitation of β-glucosidase activity within 20 minutes.</w:t>
      </w:r>
    </w:p>
    <w:p w14:paraId="566FA0AF" w14:textId="77777777" w:rsidR="000D1074" w:rsidRPr="000D1074" w:rsidRDefault="000D1074" w:rsidP="000D1074">
      <w:pPr>
        <w:spacing w:before="60" w:after="60"/>
        <w:jc w:val="both"/>
        <w:rPr>
          <w:rFonts w:eastAsiaTheme="minorHAnsi" w:cstheme="minorBidi"/>
          <w:bCs/>
        </w:rPr>
      </w:pPr>
    </w:p>
    <w:p w14:paraId="6975FDE6" w14:textId="1374349D" w:rsidR="000E4FA8" w:rsidRPr="00037143" w:rsidRDefault="000D1074" w:rsidP="000D1074">
      <w:pPr>
        <w:spacing w:before="60" w:after="60"/>
        <w:jc w:val="both"/>
        <w:rPr>
          <w:rFonts w:eastAsiaTheme="minorHAnsi" w:cstheme="minorBidi"/>
          <w:bCs/>
        </w:rPr>
      </w:pPr>
      <w:r w:rsidRPr="0067267D">
        <w:rPr>
          <w:rFonts w:eastAsiaTheme="minorHAnsi" w:cstheme="minorBidi"/>
          <w:b/>
        </w:rPr>
        <w:t>Robust and amenable to HTS.</w:t>
      </w:r>
      <w:r w:rsidRPr="000D1074">
        <w:rPr>
          <w:rFonts w:eastAsiaTheme="minorHAnsi" w:cstheme="minorBidi"/>
          <w:bCs/>
        </w:rPr>
        <w:t xml:space="preserve"> All reagents are compatible with high-throughput liquid handling instru</w:t>
      </w:r>
      <w:bookmarkStart w:id="4" w:name="_GoBack"/>
      <w:bookmarkEnd w:id="4"/>
      <w:r w:rsidRPr="000D1074">
        <w:rPr>
          <w:rFonts w:eastAsiaTheme="minorHAnsi" w:cstheme="minorBidi"/>
          <w:bCs/>
        </w:rPr>
        <w:t>ments.</w:t>
      </w:r>
      <w:r w:rsidR="000E4FA8" w:rsidRPr="00291DE0">
        <w:br w:type="page"/>
      </w:r>
    </w:p>
    <w:p w14:paraId="6E9A4A20" w14:textId="77777777" w:rsidR="000E4FA8" w:rsidRPr="00291DE0" w:rsidRDefault="000E4FA8" w:rsidP="000040B0">
      <w:pPr>
        <w:pStyle w:val="1Abcamheading"/>
        <w:numPr>
          <w:ilvl w:val="0"/>
          <w:numId w:val="35"/>
        </w:numPr>
      </w:pPr>
      <w:bookmarkStart w:id="5" w:name="_Toc446403812"/>
      <w:bookmarkStart w:id="6" w:name="_Toc37763420"/>
      <w:r w:rsidRPr="00291DE0">
        <w:lastRenderedPageBreak/>
        <w:t>Protocol Summary</w:t>
      </w:r>
      <w:bookmarkEnd w:id="5"/>
      <w:bookmarkEnd w:id="6"/>
    </w:p>
    <w:p w14:paraId="301AAB35" w14:textId="77777777" w:rsidR="00694D41" w:rsidRDefault="00694D41" w:rsidP="009474C2">
      <w:pPr>
        <w:spacing w:before="60" w:after="60" w:line="276" w:lineRule="auto"/>
        <w:jc w:val="center"/>
      </w:pPr>
    </w:p>
    <w:p w14:paraId="0EEBAD0A" w14:textId="77777777" w:rsidR="005A1D44" w:rsidRDefault="005A1D44" w:rsidP="009474C2">
      <w:pPr>
        <w:spacing w:before="60" w:after="60" w:line="276" w:lineRule="auto"/>
        <w:jc w:val="center"/>
      </w:pPr>
    </w:p>
    <w:p w14:paraId="0A26D438" w14:textId="6428DE79" w:rsidR="000C28F6" w:rsidRPr="00566F29" w:rsidRDefault="00314076" w:rsidP="009474C2">
      <w:pPr>
        <w:spacing w:before="60" w:after="60" w:line="276" w:lineRule="auto"/>
        <w:jc w:val="center"/>
      </w:pPr>
      <w:r w:rsidRPr="00566F29">
        <w:rPr>
          <w:noProof/>
          <w:lang w:val="en-GB" w:eastAsia="en-GB"/>
        </w:rPr>
        <mc:AlternateContent>
          <mc:Choice Requires="wps">
            <w:drawing>
              <wp:anchor distT="0" distB="0" distL="114300" distR="114300" simplePos="0" relativeHeight="251680256" behindDoc="0" locked="0" layoutInCell="1" allowOverlap="1" wp14:anchorId="642810DB" wp14:editId="53A10AD1">
                <wp:simplePos x="0" y="0"/>
                <wp:positionH relativeFrom="margin">
                  <wp:posOffset>2113280</wp:posOffset>
                </wp:positionH>
                <wp:positionV relativeFrom="paragraph">
                  <wp:posOffset>197114</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043B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5.5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">
                <w10:wrap anchorx="margin"/>
              </v:shape>
            </w:pict>
          </mc:Fallback>
        </mc:AlternateContent>
      </w:r>
      <w:r w:rsidR="005F7621" w:rsidRPr="00566F29">
        <w:t xml:space="preserve">Prepare all reagents and </w:t>
      </w:r>
      <w:r w:rsidR="000C28F6" w:rsidRPr="00566F29">
        <w:t>sampl</w:t>
      </w:r>
      <w:r w:rsidR="008A2CF9" w:rsidRPr="00566F29">
        <w:t>es as instructed</w:t>
      </w:r>
    </w:p>
    <w:p w14:paraId="0EA81228" w14:textId="77777777" w:rsidR="000C28F6" w:rsidRPr="009257A3" w:rsidRDefault="000C28F6" w:rsidP="009474C2">
      <w:pPr>
        <w:spacing w:before="60" w:after="60" w:line="276" w:lineRule="auto"/>
        <w:rPr>
          <w:highlight w:val="yellow"/>
        </w:rPr>
      </w:pPr>
    </w:p>
    <w:p w14:paraId="60CD49A4" w14:textId="1288F3A7" w:rsidR="000C28F6" w:rsidRDefault="005F26A7" w:rsidP="009474C2">
      <w:pPr>
        <w:spacing w:before="60" w:after="60" w:line="276" w:lineRule="auto"/>
        <w:jc w:val="center"/>
        <w:rPr>
          <w:rFonts w:cs="Arial"/>
          <w:szCs w:val="20"/>
        </w:rPr>
      </w:pPr>
      <w:r w:rsidRPr="00566F29">
        <w:rPr>
          <w:rFonts w:cs="Arial"/>
          <w:szCs w:val="20"/>
        </w:rPr>
        <w:t xml:space="preserve">Add </w:t>
      </w:r>
      <w:r w:rsidR="00566F29">
        <w:rPr>
          <w:rFonts w:cs="Arial"/>
          <w:szCs w:val="20"/>
        </w:rPr>
        <w:t>blanks</w:t>
      </w:r>
      <w:r w:rsidRPr="00566F29">
        <w:rPr>
          <w:rFonts w:cs="Arial"/>
          <w:szCs w:val="20"/>
        </w:rPr>
        <w:t xml:space="preserve"> and samples to appropriate </w:t>
      </w:r>
      <w:r w:rsidR="002B49BC">
        <w:rPr>
          <w:rFonts w:cs="Arial"/>
          <w:szCs w:val="20"/>
        </w:rPr>
        <w:t>wells</w:t>
      </w:r>
      <w:r w:rsidRPr="00566F29">
        <w:rPr>
          <w:rFonts w:cs="Arial"/>
          <w:szCs w:val="20"/>
        </w:rPr>
        <w:t>.</w:t>
      </w:r>
      <w:r w:rsidR="00314076" w:rsidRPr="00566F29">
        <w:rPr>
          <w:noProof/>
          <w:lang w:val="en-GB" w:eastAsia="en-GB"/>
        </w:rPr>
        <mc:AlternateContent>
          <mc:Choice Requires="wps">
            <w:drawing>
              <wp:anchor distT="0" distB="0" distL="114300" distR="114300" simplePos="0" relativeHeight="251682304" behindDoc="0" locked="0" layoutInCell="1" allowOverlap="1" wp14:anchorId="6EF42931" wp14:editId="27DD257A">
                <wp:simplePos x="0" y="0"/>
                <wp:positionH relativeFrom="margin">
                  <wp:posOffset>2113280</wp:posOffset>
                </wp:positionH>
                <wp:positionV relativeFrom="paragraph">
                  <wp:posOffset>194310</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A9BC" id="AutoShape 8" o:spid="_x0000_s1026" type="#_x0000_t67" style="position:absolute;margin-left:166.4pt;margin-top:15.3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">
                <w10:wrap anchorx="margin"/>
              </v:shape>
            </w:pict>
          </mc:Fallback>
        </mc:AlternateContent>
      </w:r>
      <w:r w:rsidRPr="00566F29">
        <w:rPr>
          <w:rFonts w:cs="Arial"/>
          <w:szCs w:val="20"/>
        </w:rPr>
        <w:t xml:space="preserve"> </w:t>
      </w:r>
    </w:p>
    <w:p w14:paraId="2AF80591" w14:textId="07FA527D" w:rsidR="002B49BC" w:rsidRDefault="002B49BC" w:rsidP="009474C2">
      <w:pPr>
        <w:spacing w:before="60" w:after="60" w:line="276" w:lineRule="auto"/>
        <w:jc w:val="center"/>
        <w:rPr>
          <w:rFonts w:cs="Arial"/>
          <w:szCs w:val="20"/>
        </w:rPr>
      </w:pPr>
    </w:p>
    <w:p w14:paraId="293B2B7A" w14:textId="0B9CB9FF" w:rsidR="002B49BC" w:rsidRPr="002B49BC" w:rsidRDefault="002B49BC" w:rsidP="009474C2">
      <w:pPr>
        <w:spacing w:before="60" w:after="60" w:line="276" w:lineRule="auto"/>
        <w:jc w:val="center"/>
      </w:pPr>
      <w:r w:rsidRPr="00566F29">
        <w:rPr>
          <w:noProof/>
          <w:lang w:val="en-GB" w:eastAsia="en-GB"/>
        </w:rPr>
        <mc:AlternateContent>
          <mc:Choice Requires="wps">
            <w:drawing>
              <wp:anchor distT="0" distB="0" distL="114300" distR="114300" simplePos="0" relativeHeight="251696640" behindDoc="0" locked="0" layoutInCell="1" allowOverlap="1" wp14:anchorId="4139D4C5" wp14:editId="274FED22">
                <wp:simplePos x="0" y="0"/>
                <wp:positionH relativeFrom="margin">
                  <wp:posOffset>2122099</wp:posOffset>
                </wp:positionH>
                <wp:positionV relativeFrom="paragraph">
                  <wp:posOffset>214582</wp:posOffset>
                </wp:positionV>
                <wp:extent cx="180975" cy="231140"/>
                <wp:effectExtent l="38100" t="0" r="28575" b="355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DC1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7.1pt;margin-top:16.9pt;width:14.25pt;height:18.2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xh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FimUGJ&#10;Hg4RUmaya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">
                <w10:wrap anchorx="margin"/>
              </v:shape>
            </w:pict>
          </mc:Fallback>
        </mc:AlternateContent>
      </w:r>
      <w:r>
        <w:rPr>
          <w:rFonts w:cs="Arial"/>
          <w:szCs w:val="20"/>
        </w:rPr>
        <w:t>Add Calibrator, H</w:t>
      </w:r>
      <w:r>
        <w:rPr>
          <w:rFonts w:cs="Arial"/>
          <w:szCs w:val="20"/>
          <w:vertAlign w:val="subscript"/>
        </w:rPr>
        <w:t>2</w:t>
      </w:r>
      <w:r>
        <w:rPr>
          <w:rFonts w:cs="Arial"/>
          <w:szCs w:val="20"/>
        </w:rPr>
        <w:t>O or Working Reagent to appropriate wells.</w:t>
      </w:r>
    </w:p>
    <w:p w14:paraId="3E8F12DD" w14:textId="77777777" w:rsidR="00D76621" w:rsidRPr="009257A3" w:rsidRDefault="00D76621" w:rsidP="009474C2">
      <w:pPr>
        <w:spacing w:before="60" w:after="60" w:line="276" w:lineRule="auto"/>
        <w:rPr>
          <w:highlight w:val="yellow"/>
        </w:rPr>
      </w:pPr>
    </w:p>
    <w:bookmarkStart w:id="7" w:name="_Hlk36808189"/>
    <w:p w14:paraId="11D36C8C" w14:textId="7D7F24C3" w:rsidR="008A2CF9" w:rsidRPr="00566F29" w:rsidRDefault="005A1D44" w:rsidP="009474C2">
      <w:pPr>
        <w:spacing w:before="60" w:after="60" w:line="276" w:lineRule="auto"/>
        <w:jc w:val="center"/>
      </w:pPr>
      <w:r w:rsidRPr="00566F29">
        <w:rPr>
          <w:noProof/>
          <w:lang w:val="en-GB" w:eastAsia="en-GB"/>
        </w:rPr>
        <mc:AlternateContent>
          <mc:Choice Requires="wps">
            <w:drawing>
              <wp:anchor distT="0" distB="0" distL="114300" distR="114300" simplePos="0" relativeHeight="251690496" behindDoc="0" locked="0" layoutInCell="1" allowOverlap="1" wp14:anchorId="69F389B7" wp14:editId="50CE0FEF">
                <wp:simplePos x="0" y="0"/>
                <wp:positionH relativeFrom="margin">
                  <wp:posOffset>2113280</wp:posOffset>
                </wp:positionH>
                <wp:positionV relativeFrom="paragraph">
                  <wp:posOffset>195209</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29F5" id="AutoShape 8" o:spid="_x0000_s1026" type="#_x0000_t67" style="position:absolute;margin-left:166.4pt;margin-top:15.35pt;width:14.25pt;height:1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">
                <w10:wrap anchorx="margin"/>
              </v:shape>
            </w:pict>
          </mc:Fallback>
        </mc:AlternateContent>
      </w:r>
      <w:r w:rsidR="00566F29" w:rsidRPr="00566F29">
        <w:rPr>
          <w:noProof/>
          <w:lang w:val="en-GB" w:eastAsia="en-GB"/>
        </w:rPr>
        <w:t>Read OD</w:t>
      </w:r>
      <w:r w:rsidR="004901EF">
        <w:rPr>
          <w:noProof/>
          <w:vertAlign w:val="subscript"/>
          <w:lang w:val="en-GB" w:eastAsia="en-GB"/>
        </w:rPr>
        <w:t>405</w:t>
      </w:r>
      <w:r w:rsidR="00566F29">
        <w:rPr>
          <w:noProof/>
          <w:vertAlign w:val="subscript"/>
          <w:lang w:val="en-GB" w:eastAsia="en-GB"/>
        </w:rPr>
        <w:t xml:space="preserve"> </w:t>
      </w:r>
      <w:r w:rsidR="00566F29">
        <w:rPr>
          <w:noProof/>
          <w:lang w:val="en-GB" w:eastAsia="en-GB"/>
        </w:rPr>
        <w:t>(= OD</w:t>
      </w:r>
      <w:r w:rsidR="00566F29">
        <w:rPr>
          <w:noProof/>
          <w:vertAlign w:val="subscript"/>
          <w:lang w:val="en-GB" w:eastAsia="en-GB"/>
        </w:rPr>
        <w:t>0</w:t>
      </w:r>
      <w:r w:rsidR="00566F29">
        <w:rPr>
          <w:noProof/>
          <w:lang w:val="en-GB" w:eastAsia="en-GB"/>
        </w:rPr>
        <w:t>)</w:t>
      </w:r>
    </w:p>
    <w:bookmarkEnd w:id="7"/>
    <w:p w14:paraId="6C0DAC4A" w14:textId="398867A7" w:rsidR="00566F29" w:rsidRDefault="00566F29" w:rsidP="009474C2">
      <w:pPr>
        <w:spacing w:before="60" w:after="60" w:line="276" w:lineRule="auto"/>
        <w:jc w:val="center"/>
      </w:pPr>
    </w:p>
    <w:p w14:paraId="22A0377D" w14:textId="7AE912BE" w:rsidR="00D76621" w:rsidRPr="00566F29" w:rsidRDefault="00566F29" w:rsidP="009474C2">
      <w:pPr>
        <w:spacing w:before="60" w:after="60" w:line="276" w:lineRule="auto"/>
        <w:jc w:val="center"/>
      </w:pPr>
      <w:r w:rsidRPr="009257A3">
        <w:rPr>
          <w:noProof/>
          <w:highlight w:val="yellow"/>
          <w:lang w:val="en-GB" w:eastAsia="en-GB"/>
        </w:rPr>
        <mc:AlternateContent>
          <mc:Choice Requires="wps">
            <w:drawing>
              <wp:anchor distT="0" distB="0" distL="114300" distR="114300" simplePos="0" relativeHeight="251692544" behindDoc="0" locked="0" layoutInCell="1" allowOverlap="1" wp14:anchorId="7BF6D678" wp14:editId="51B8FF01">
                <wp:simplePos x="0" y="0"/>
                <wp:positionH relativeFrom="margin">
                  <wp:posOffset>2093859</wp:posOffset>
                </wp:positionH>
                <wp:positionV relativeFrom="paragraph">
                  <wp:posOffset>179705</wp:posOffset>
                </wp:positionV>
                <wp:extent cx="180975" cy="231140"/>
                <wp:effectExtent l="38100" t="0" r="28575" b="355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3DE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4.85pt;margin-top:14.15pt;width:14.25pt;height:1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">
                <w10:wrap anchorx="margin"/>
              </v:shape>
            </w:pict>
          </mc:Fallback>
        </mc:AlternateContent>
      </w:r>
      <w:r w:rsidRPr="00566F29">
        <w:t xml:space="preserve">Incubate for </w:t>
      </w:r>
      <w:r w:rsidR="00442F62">
        <w:t>2</w:t>
      </w:r>
      <w:r w:rsidRPr="00566F29">
        <w:t>0</w:t>
      </w:r>
      <w:r>
        <w:t xml:space="preserve"> </w:t>
      </w:r>
      <w:r w:rsidRPr="00566F29">
        <w:t>minutes at desired reaction temperature.</w:t>
      </w:r>
    </w:p>
    <w:p w14:paraId="25A5F319" w14:textId="768FF451" w:rsidR="00566F29" w:rsidRDefault="00566F29" w:rsidP="00566F29">
      <w:pPr>
        <w:spacing w:before="60" w:after="60" w:line="276" w:lineRule="auto"/>
        <w:jc w:val="center"/>
        <w:rPr>
          <w:noProof/>
          <w:lang w:val="en-GB" w:eastAsia="en-GB"/>
        </w:rPr>
      </w:pPr>
    </w:p>
    <w:p w14:paraId="50315B1B" w14:textId="7AD3B3FA" w:rsidR="00566F29" w:rsidRPr="00566F29" w:rsidRDefault="00566F29" w:rsidP="00566F29">
      <w:pPr>
        <w:spacing w:before="60" w:after="60" w:line="276" w:lineRule="auto"/>
        <w:jc w:val="center"/>
      </w:pPr>
      <w:r w:rsidRPr="00566F29">
        <w:rPr>
          <w:noProof/>
          <w:lang w:val="en-GB" w:eastAsia="en-GB"/>
        </w:rPr>
        <mc:AlternateContent>
          <mc:Choice Requires="wps">
            <w:drawing>
              <wp:anchor distT="0" distB="0" distL="114300" distR="114300" simplePos="0" relativeHeight="251694592" behindDoc="0" locked="0" layoutInCell="1" allowOverlap="1" wp14:anchorId="10810283" wp14:editId="404A1E0D">
                <wp:simplePos x="0" y="0"/>
                <wp:positionH relativeFrom="margin">
                  <wp:posOffset>2113280</wp:posOffset>
                </wp:positionH>
                <wp:positionV relativeFrom="paragraph">
                  <wp:posOffset>195209</wp:posOffset>
                </wp:positionV>
                <wp:extent cx="180975" cy="231140"/>
                <wp:effectExtent l="38100" t="0" r="28575" b="3556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0B48" id="AutoShape 8" o:spid="_x0000_s1026" type="#_x0000_t67" style="position:absolute;margin-left:166.4pt;margin-top:15.35pt;width:14.25pt;height:18.2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4iQgIAAJE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">
                <w10:wrap anchorx="margin"/>
              </v:shape>
            </w:pict>
          </mc:Fallback>
        </mc:AlternateContent>
      </w:r>
      <w:r w:rsidRPr="00566F29">
        <w:rPr>
          <w:noProof/>
          <w:lang w:val="en-GB" w:eastAsia="en-GB"/>
        </w:rPr>
        <w:t>Read OD</w:t>
      </w:r>
      <w:r w:rsidR="004901EF">
        <w:rPr>
          <w:noProof/>
          <w:vertAlign w:val="subscript"/>
          <w:lang w:val="en-GB" w:eastAsia="en-GB"/>
        </w:rPr>
        <w:t>405</w:t>
      </w:r>
      <w:r>
        <w:rPr>
          <w:noProof/>
          <w:vertAlign w:val="subscript"/>
          <w:lang w:val="en-GB" w:eastAsia="en-GB"/>
        </w:rPr>
        <w:t xml:space="preserve"> </w:t>
      </w:r>
      <w:r>
        <w:rPr>
          <w:noProof/>
          <w:lang w:val="en-GB" w:eastAsia="en-GB"/>
        </w:rPr>
        <w:t>(= OD</w:t>
      </w:r>
      <w:r w:rsidR="004901EF">
        <w:rPr>
          <w:noProof/>
          <w:vertAlign w:val="subscript"/>
          <w:lang w:val="en-GB" w:eastAsia="en-GB"/>
        </w:rPr>
        <w:t>20</w:t>
      </w:r>
      <w:r>
        <w:rPr>
          <w:noProof/>
          <w:lang w:val="en-GB" w:eastAsia="en-GB"/>
        </w:rPr>
        <w:t>)</w:t>
      </w:r>
    </w:p>
    <w:p w14:paraId="06EFCCF9" w14:textId="34783BAC" w:rsidR="005A1D44" w:rsidRPr="009257A3" w:rsidRDefault="005A1D44" w:rsidP="009474C2">
      <w:pPr>
        <w:spacing w:before="60" w:after="60" w:line="276" w:lineRule="auto"/>
        <w:jc w:val="center"/>
        <w:rPr>
          <w:highlight w:val="yellow"/>
        </w:rPr>
      </w:pPr>
    </w:p>
    <w:p w14:paraId="3EB61177" w14:textId="4F64672A" w:rsidR="00D76621" w:rsidRDefault="00566F29" w:rsidP="005A1D44">
      <w:pPr>
        <w:spacing w:before="60" w:after="60" w:line="276" w:lineRule="auto"/>
        <w:jc w:val="center"/>
      </w:pPr>
      <w:r>
        <w:t xml:space="preserve">Calculate </w:t>
      </w:r>
      <w:r w:rsidR="00C013A7" w:rsidRPr="00C013A7">
        <w:t>β-NPG</w:t>
      </w:r>
      <w:r w:rsidR="00C013A7">
        <w:t xml:space="preserve"> </w:t>
      </w:r>
      <w:r>
        <w:t>activity</w:t>
      </w:r>
    </w:p>
    <w:p w14:paraId="69C8E116" w14:textId="77777777" w:rsidR="000E4FA8" w:rsidRPr="00E57B7C" w:rsidRDefault="000E4FA8" w:rsidP="009474C2">
      <w:pPr>
        <w:spacing w:before="60" w:after="60" w:line="276" w:lineRule="auto"/>
        <w:jc w:val="center"/>
      </w:pPr>
      <w:r w:rsidRPr="00291DE0">
        <w:rPr>
          <w:lang w:val="en-GB"/>
        </w:rPr>
        <w:br w:type="page"/>
      </w:r>
    </w:p>
    <w:p w14:paraId="5A70078B" w14:textId="77777777" w:rsidR="000E4FA8" w:rsidRPr="00291DE0" w:rsidRDefault="000E4FA8" w:rsidP="000040B0">
      <w:pPr>
        <w:pStyle w:val="1Abcamheading"/>
        <w:numPr>
          <w:ilvl w:val="0"/>
          <w:numId w:val="35"/>
        </w:numPr>
      </w:pPr>
      <w:bookmarkStart w:id="8" w:name="_Toc446403813"/>
      <w:bookmarkStart w:id="9" w:name="_Toc37763421"/>
      <w:r w:rsidRPr="00291DE0">
        <w:lastRenderedPageBreak/>
        <w:t>Precautions</w:t>
      </w:r>
      <w:bookmarkEnd w:id="8"/>
      <w:bookmarkEnd w:id="9"/>
    </w:p>
    <w:p w14:paraId="16DE57AF"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6AD69589" w14:textId="77777777" w:rsidR="000E4FA8" w:rsidRPr="00291DE0" w:rsidRDefault="000E4FA8" w:rsidP="0014558D">
      <w:pPr>
        <w:pStyle w:val="1AbcamBulletpoints"/>
      </w:pPr>
      <w:r w:rsidRPr="00291DE0">
        <w:t>All kit components have been formulated and quality control tested to function successfully as a kit.</w:t>
      </w:r>
    </w:p>
    <w:p w14:paraId="4533951E"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66EC6C8C" w14:textId="77777777" w:rsidR="000E4FA8" w:rsidRPr="00291DE0" w:rsidRDefault="000E4FA8" w:rsidP="0014558D">
      <w:pPr>
        <w:pStyle w:val="1AbcamBulletpoints"/>
      </w:pPr>
      <w:r w:rsidRPr="00291DE0">
        <w:t>Reagents should be treated as possible mutagens and should be handle</w:t>
      </w:r>
      <w:r w:rsidR="00037143">
        <w:t>d</w:t>
      </w:r>
      <w:r w:rsidRPr="00291DE0">
        <w:t xml:space="preserve"> with care and disposed of properly. Please review the Safety Datasheet (SDS) provided with the product for information on the specific components.</w:t>
      </w:r>
    </w:p>
    <w:p w14:paraId="170D3019"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6FFADE82"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0637209C" w14:textId="77777777" w:rsidR="000E4FA8" w:rsidRPr="00291DE0" w:rsidRDefault="000E4FA8" w:rsidP="000040B0">
      <w:pPr>
        <w:pStyle w:val="1Abcamheading"/>
        <w:numPr>
          <w:ilvl w:val="0"/>
          <w:numId w:val="35"/>
        </w:numPr>
      </w:pPr>
      <w:bookmarkStart w:id="10" w:name="_Toc446403814"/>
      <w:bookmarkStart w:id="11" w:name="_Toc37763422"/>
      <w:r w:rsidRPr="00291DE0">
        <w:t xml:space="preserve">Storage and </w:t>
      </w:r>
      <w:r w:rsidR="00174FD5" w:rsidRPr="00291DE0">
        <w:t>S</w:t>
      </w:r>
      <w:r w:rsidRPr="00291DE0">
        <w:t>tability</w:t>
      </w:r>
      <w:bookmarkEnd w:id="10"/>
      <w:bookmarkEnd w:id="11"/>
    </w:p>
    <w:p w14:paraId="0BEAAC0F" w14:textId="354279EC" w:rsidR="000E4FA8" w:rsidRPr="00291DE0" w:rsidRDefault="001F5EB4" w:rsidP="00003549">
      <w:pPr>
        <w:pStyle w:val="Standard"/>
        <w:rPr>
          <w:rFonts w:ascii="Century Gothic" w:hAnsi="Century Gothic" w:cstheme="minorBidi"/>
          <w:b/>
          <w:bCs/>
          <w:color w:val="auto"/>
          <w:szCs w:val="24"/>
          <w:lang w:val="en-US"/>
        </w:rPr>
      </w:pPr>
      <w:r w:rsidRPr="001F5EB4">
        <w:rPr>
          <w:rFonts w:ascii="Century Gothic" w:hAnsi="Century Gothic" w:cstheme="minorBidi"/>
          <w:b/>
          <w:bCs/>
          <w:color w:val="auto"/>
          <w:szCs w:val="24"/>
          <w:lang w:val="en-US"/>
        </w:rPr>
        <w:t xml:space="preserve">Store kit at </w:t>
      </w:r>
      <w:r w:rsidR="002866CE">
        <w:rPr>
          <w:rFonts w:ascii="Century Gothic" w:hAnsi="Century Gothic" w:cstheme="minorBidi"/>
          <w:b/>
          <w:bCs/>
          <w:color w:val="auto"/>
          <w:szCs w:val="24"/>
          <w:lang w:val="en-US"/>
        </w:rPr>
        <w:t>-20</w:t>
      </w:r>
      <w:r w:rsidRPr="001F5EB4">
        <w:rPr>
          <w:rFonts w:ascii="Century Gothic" w:hAnsi="Century Gothic" w:cstheme="minorBidi"/>
          <w:b/>
          <w:bCs/>
          <w:color w:val="auto"/>
          <w:szCs w:val="24"/>
          <w:lang w:val="en-US"/>
        </w:rPr>
        <w:t>°C immediately upon receipt</w:t>
      </w:r>
      <w:r w:rsidR="009257A3">
        <w:rPr>
          <w:rFonts w:ascii="Century Gothic" w:hAnsi="Century Gothic" w:cstheme="minorBidi"/>
          <w:b/>
          <w:bCs/>
          <w:color w:val="auto"/>
          <w:szCs w:val="24"/>
          <w:lang w:val="en-US"/>
        </w:rPr>
        <w:t xml:space="preserve">. </w:t>
      </w:r>
      <w:r w:rsidR="00003549" w:rsidRPr="00003549">
        <w:rPr>
          <w:rFonts w:ascii="Century Gothic" w:hAnsi="Century Gothic" w:cstheme="minorBidi"/>
          <w:b/>
          <w:bCs/>
          <w:color w:val="auto"/>
          <w:szCs w:val="24"/>
          <w:lang w:val="en-US"/>
        </w:rPr>
        <w:t xml:space="preserve">Avoid multiple freeze-thaw cycles. </w:t>
      </w:r>
      <w:r w:rsidR="002A5519">
        <w:rPr>
          <w:rFonts w:ascii="Century Gothic" w:hAnsi="Century Gothic" w:cstheme="minorBidi"/>
          <w:b/>
          <w:bCs/>
          <w:color w:val="auto"/>
          <w:szCs w:val="24"/>
          <w:lang w:val="en-US"/>
        </w:rPr>
        <w:t xml:space="preserve">Kit has a storage time of </w:t>
      </w:r>
      <w:r w:rsidR="002866CE">
        <w:rPr>
          <w:rFonts w:ascii="Century Gothic" w:hAnsi="Century Gothic" w:cstheme="minorBidi"/>
          <w:b/>
          <w:bCs/>
          <w:color w:val="auto"/>
          <w:szCs w:val="24"/>
          <w:lang w:val="en-US"/>
        </w:rPr>
        <w:t>6 months</w:t>
      </w:r>
      <w:r w:rsidR="000E4FA8" w:rsidRPr="006E3FEE">
        <w:rPr>
          <w:rFonts w:ascii="Century Gothic" w:hAnsi="Century Gothic" w:cstheme="minorBidi"/>
          <w:b/>
          <w:bCs/>
          <w:color w:val="auto"/>
          <w:szCs w:val="24"/>
          <w:lang w:val="en-US"/>
        </w:rPr>
        <w:t xml:space="preserve"> from receipt</w:t>
      </w:r>
      <w:r w:rsidR="00A9666D">
        <w:rPr>
          <w:rFonts w:ascii="Century Gothic" w:hAnsi="Century Gothic" w:cstheme="minorBidi"/>
          <w:b/>
          <w:bCs/>
          <w:color w:val="auto"/>
          <w:szCs w:val="24"/>
          <w:lang w:val="en-US"/>
        </w:rPr>
        <w:t>.</w:t>
      </w:r>
    </w:p>
    <w:p w14:paraId="44D77572"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Refer to list of materials supplied for storage conditions of individual components. Observe the storage conditions for individual prepared components in the Materials Supplied section.</w:t>
      </w:r>
    </w:p>
    <w:p w14:paraId="18C16085"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4DA09A71" w14:textId="77777777" w:rsidR="000E4FA8" w:rsidRPr="00291DE0" w:rsidRDefault="000E4FA8" w:rsidP="000040B0">
      <w:pPr>
        <w:pStyle w:val="1Abcamheading"/>
        <w:numPr>
          <w:ilvl w:val="0"/>
          <w:numId w:val="35"/>
        </w:numPr>
      </w:pPr>
      <w:bookmarkStart w:id="12" w:name="_Toc446403815"/>
      <w:bookmarkStart w:id="13" w:name="_Toc37763423"/>
      <w:r w:rsidRPr="00291DE0">
        <w:lastRenderedPageBreak/>
        <w:t>Limitations</w:t>
      </w:r>
      <w:bookmarkEnd w:id="12"/>
      <w:bookmarkEnd w:id="13"/>
    </w:p>
    <w:p w14:paraId="2551CFDF" w14:textId="77777777" w:rsidR="000E4FA8" w:rsidRPr="00291DE0" w:rsidRDefault="000E4FA8" w:rsidP="00E74DC4">
      <w:pPr>
        <w:pStyle w:val="1AbcamBulletpoints"/>
      </w:pPr>
      <w:r w:rsidRPr="00291DE0">
        <w:t>Assay kit intended for research use only. Not for use in diagnostic procedures.</w:t>
      </w:r>
    </w:p>
    <w:p w14:paraId="4EA06A4A"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7B1A6F46" w14:textId="77777777" w:rsidR="000E4FA8" w:rsidRPr="00291DE0" w:rsidRDefault="000E4FA8" w:rsidP="000040B0">
      <w:pPr>
        <w:pStyle w:val="1Abcamheading"/>
        <w:numPr>
          <w:ilvl w:val="0"/>
          <w:numId w:val="35"/>
        </w:numPr>
      </w:pPr>
      <w:bookmarkStart w:id="14" w:name="_Toc446403816"/>
      <w:bookmarkStart w:id="15" w:name="_Toc37763424"/>
      <w:r w:rsidRPr="00291DE0">
        <w:t xml:space="preserve">Materials </w:t>
      </w:r>
      <w:r w:rsidR="00174FD5" w:rsidRPr="00291DE0">
        <w:t>S</w:t>
      </w:r>
      <w:r w:rsidRPr="00291DE0">
        <w:t>upplied</w:t>
      </w:r>
      <w:bookmarkEnd w:id="14"/>
      <w:bookmarkEnd w:id="15"/>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91DE0" w14:paraId="1FCDB3C3" w14:textId="77777777" w:rsidTr="00AF0A48">
        <w:trPr>
          <w:trHeight w:val="306"/>
          <w:jc w:val="center"/>
        </w:trPr>
        <w:tc>
          <w:tcPr>
            <w:tcW w:w="4405" w:type="dxa"/>
            <w:vAlign w:val="center"/>
          </w:tcPr>
          <w:p w14:paraId="402BBAD4"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1109" w:type="dxa"/>
            <w:vAlign w:val="center"/>
          </w:tcPr>
          <w:p w14:paraId="68AB2E28" w14:textId="77777777" w:rsidR="00AF0A48" w:rsidRPr="00291DE0" w:rsidRDefault="00AF0A48"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442" w:type="dxa"/>
            <w:vAlign w:val="center"/>
          </w:tcPr>
          <w:p w14:paraId="0A1697E4" w14:textId="77777777" w:rsidR="00AF0A48" w:rsidRPr="00291DE0" w:rsidRDefault="00AF0A48"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333D5B" w:rsidRPr="00291DE0" w14:paraId="1318B813" w14:textId="77777777" w:rsidTr="0025100D">
        <w:trPr>
          <w:trHeight w:val="306"/>
          <w:jc w:val="center"/>
        </w:trPr>
        <w:tc>
          <w:tcPr>
            <w:tcW w:w="4405" w:type="dxa"/>
            <w:vAlign w:val="center"/>
          </w:tcPr>
          <w:p w14:paraId="31760094" w14:textId="2953CF9A" w:rsidR="00333D5B" w:rsidRPr="004C22CE" w:rsidRDefault="00A80F62" w:rsidP="00333D5B">
            <w:pPr>
              <w:spacing w:before="0" w:after="0"/>
              <w:rPr>
                <w:rFonts w:eastAsia="Times New Roman" w:cs="Arial"/>
                <w:color w:val="000000"/>
                <w:sz w:val="18"/>
                <w:szCs w:val="18"/>
              </w:rPr>
            </w:pPr>
            <w:r>
              <w:rPr>
                <w:rFonts w:cs="Arial"/>
                <w:sz w:val="18"/>
                <w:szCs w:val="18"/>
              </w:rPr>
              <w:t>Assay Buffer</w:t>
            </w:r>
            <w:r w:rsidR="00C013A7">
              <w:rPr>
                <w:rFonts w:cs="Arial"/>
                <w:sz w:val="18"/>
                <w:szCs w:val="18"/>
              </w:rPr>
              <w:t xml:space="preserve"> </w:t>
            </w:r>
          </w:p>
        </w:tc>
        <w:tc>
          <w:tcPr>
            <w:tcW w:w="1109" w:type="dxa"/>
            <w:vAlign w:val="center"/>
          </w:tcPr>
          <w:p w14:paraId="17010536" w14:textId="298ED707" w:rsidR="00333D5B" w:rsidRPr="004C22CE" w:rsidRDefault="00C013A7" w:rsidP="00333D5B">
            <w:pPr>
              <w:spacing w:before="0" w:after="0"/>
              <w:jc w:val="center"/>
              <w:rPr>
                <w:rFonts w:eastAsia="Times New Roman" w:cs="Arial"/>
                <w:color w:val="000000"/>
                <w:sz w:val="18"/>
                <w:szCs w:val="18"/>
              </w:rPr>
            </w:pPr>
            <w:r>
              <w:rPr>
                <w:rFonts w:cs="Arial"/>
                <w:sz w:val="18"/>
                <w:szCs w:val="18"/>
              </w:rPr>
              <w:t>24</w:t>
            </w:r>
            <w:r w:rsidR="008A0255">
              <w:rPr>
                <w:rFonts w:cs="Arial"/>
                <w:sz w:val="18"/>
                <w:szCs w:val="18"/>
              </w:rPr>
              <w:t xml:space="preserve"> mL</w:t>
            </w:r>
          </w:p>
        </w:tc>
        <w:tc>
          <w:tcPr>
            <w:tcW w:w="1442" w:type="dxa"/>
            <w:vAlign w:val="center"/>
          </w:tcPr>
          <w:p w14:paraId="1D319B1F" w14:textId="65648D43" w:rsidR="00333D5B" w:rsidRPr="004C22CE" w:rsidRDefault="008A0255" w:rsidP="00333D5B">
            <w:pPr>
              <w:spacing w:before="0" w:after="0"/>
              <w:jc w:val="center"/>
              <w:rPr>
                <w:rFonts w:eastAsia="Times New Roman" w:cs="Arial"/>
                <w:color w:val="000000"/>
                <w:sz w:val="18"/>
                <w:szCs w:val="18"/>
              </w:rPr>
            </w:pPr>
            <w:r w:rsidRPr="004C22CE">
              <w:rPr>
                <w:rFonts w:cs="Arial"/>
                <w:sz w:val="18"/>
                <w:szCs w:val="18"/>
              </w:rPr>
              <w:t>-20°C</w:t>
            </w:r>
            <w:r w:rsidRPr="00A5659C">
              <w:rPr>
                <w:rFonts w:cs="Arial"/>
                <w:sz w:val="18"/>
                <w:szCs w:val="18"/>
              </w:rPr>
              <w:t xml:space="preserve"> </w:t>
            </w:r>
          </w:p>
        </w:tc>
      </w:tr>
      <w:tr w:rsidR="008A0255" w:rsidRPr="00291DE0" w14:paraId="1D068904" w14:textId="77777777" w:rsidTr="0025100D">
        <w:trPr>
          <w:trHeight w:val="306"/>
          <w:jc w:val="center"/>
        </w:trPr>
        <w:tc>
          <w:tcPr>
            <w:tcW w:w="4405" w:type="dxa"/>
            <w:vAlign w:val="center"/>
          </w:tcPr>
          <w:p w14:paraId="338A8D84" w14:textId="0F501027" w:rsidR="008A0255" w:rsidRPr="008A0255" w:rsidRDefault="00A80F62" w:rsidP="00333D5B">
            <w:pPr>
              <w:spacing w:before="0" w:after="0"/>
              <w:rPr>
                <w:rFonts w:cs="Arial"/>
                <w:sz w:val="18"/>
                <w:szCs w:val="18"/>
                <w:vertAlign w:val="subscript"/>
              </w:rPr>
            </w:pPr>
            <w:r>
              <w:rPr>
                <w:rFonts w:cs="Arial"/>
                <w:sz w:val="18"/>
                <w:szCs w:val="18"/>
              </w:rPr>
              <w:t>Calibrator</w:t>
            </w:r>
            <w:r w:rsidR="00C013A7">
              <w:rPr>
                <w:rFonts w:cs="Arial"/>
                <w:sz w:val="18"/>
                <w:szCs w:val="18"/>
              </w:rPr>
              <w:t xml:space="preserve"> </w:t>
            </w:r>
          </w:p>
        </w:tc>
        <w:tc>
          <w:tcPr>
            <w:tcW w:w="1109" w:type="dxa"/>
            <w:vAlign w:val="center"/>
          </w:tcPr>
          <w:p w14:paraId="6563E32F" w14:textId="3F49F45B" w:rsidR="008A0255" w:rsidRDefault="00C013A7" w:rsidP="00333D5B">
            <w:pPr>
              <w:spacing w:before="0" w:after="0"/>
              <w:jc w:val="center"/>
              <w:rPr>
                <w:rFonts w:eastAsia="Times New Roman" w:cs="Arial"/>
                <w:color w:val="000000"/>
                <w:sz w:val="18"/>
                <w:szCs w:val="18"/>
              </w:rPr>
            </w:pPr>
            <w:r>
              <w:rPr>
                <w:rFonts w:eastAsia="Times New Roman" w:cs="Arial"/>
                <w:color w:val="000000"/>
                <w:sz w:val="18"/>
                <w:szCs w:val="18"/>
              </w:rPr>
              <w:t>10</w:t>
            </w:r>
            <w:r w:rsidR="008A0255">
              <w:rPr>
                <w:rFonts w:eastAsia="Times New Roman" w:cs="Arial"/>
                <w:color w:val="000000"/>
                <w:sz w:val="18"/>
                <w:szCs w:val="18"/>
              </w:rPr>
              <w:t xml:space="preserve"> mL</w:t>
            </w:r>
          </w:p>
        </w:tc>
        <w:tc>
          <w:tcPr>
            <w:tcW w:w="1442" w:type="dxa"/>
            <w:vAlign w:val="center"/>
          </w:tcPr>
          <w:p w14:paraId="440F60EF" w14:textId="2470D10A" w:rsidR="008A0255" w:rsidRPr="00A5659C" w:rsidRDefault="008A0255" w:rsidP="00333D5B">
            <w:pPr>
              <w:spacing w:before="0" w:after="0"/>
              <w:jc w:val="center"/>
              <w:rPr>
                <w:rFonts w:cs="Arial"/>
                <w:sz w:val="18"/>
                <w:szCs w:val="18"/>
              </w:rPr>
            </w:pPr>
            <w:r w:rsidRPr="004C22CE">
              <w:rPr>
                <w:rFonts w:cs="Arial"/>
                <w:sz w:val="18"/>
                <w:szCs w:val="18"/>
              </w:rPr>
              <w:t>20°C</w:t>
            </w:r>
            <w:r w:rsidRPr="00A5659C">
              <w:rPr>
                <w:rFonts w:cs="Arial"/>
                <w:sz w:val="18"/>
                <w:szCs w:val="18"/>
              </w:rPr>
              <w:t xml:space="preserve"> </w:t>
            </w:r>
          </w:p>
        </w:tc>
      </w:tr>
      <w:tr w:rsidR="008A0255" w:rsidRPr="00291DE0" w14:paraId="7CE3675E" w14:textId="77777777" w:rsidTr="0025100D">
        <w:trPr>
          <w:trHeight w:val="306"/>
          <w:jc w:val="center"/>
        </w:trPr>
        <w:tc>
          <w:tcPr>
            <w:tcW w:w="4405" w:type="dxa"/>
            <w:vAlign w:val="center"/>
          </w:tcPr>
          <w:p w14:paraId="1EC33047" w14:textId="5FF16C5D" w:rsidR="008A0255" w:rsidRDefault="00C013A7" w:rsidP="00333D5B">
            <w:pPr>
              <w:spacing w:before="0" w:after="0"/>
              <w:rPr>
                <w:rFonts w:cs="Arial"/>
                <w:sz w:val="18"/>
                <w:szCs w:val="18"/>
              </w:rPr>
            </w:pPr>
            <w:r w:rsidRPr="00C013A7">
              <w:rPr>
                <w:rFonts w:cs="Arial"/>
                <w:sz w:val="18"/>
                <w:szCs w:val="18"/>
              </w:rPr>
              <w:t>β-NPG</w:t>
            </w:r>
            <w:r>
              <w:rPr>
                <w:rFonts w:cs="Arial"/>
                <w:sz w:val="18"/>
                <w:szCs w:val="18"/>
              </w:rPr>
              <w:t xml:space="preserve"> </w:t>
            </w:r>
            <w:r w:rsidR="00A80F62">
              <w:rPr>
                <w:rFonts w:cs="Arial"/>
                <w:sz w:val="18"/>
                <w:szCs w:val="18"/>
              </w:rPr>
              <w:t xml:space="preserve">Substrate </w:t>
            </w:r>
          </w:p>
        </w:tc>
        <w:tc>
          <w:tcPr>
            <w:tcW w:w="1109" w:type="dxa"/>
            <w:vAlign w:val="center"/>
          </w:tcPr>
          <w:p w14:paraId="411FD4C2" w14:textId="77777777" w:rsidR="008A0255" w:rsidRDefault="008A0255" w:rsidP="00333D5B">
            <w:pPr>
              <w:spacing w:before="0" w:after="0"/>
              <w:jc w:val="center"/>
              <w:rPr>
                <w:rFonts w:eastAsia="Times New Roman" w:cs="Arial"/>
                <w:color w:val="000000"/>
                <w:sz w:val="18"/>
                <w:szCs w:val="18"/>
              </w:rPr>
            </w:pPr>
            <w:r>
              <w:rPr>
                <w:rFonts w:eastAsia="Times New Roman" w:cs="Arial"/>
                <w:color w:val="000000"/>
                <w:sz w:val="18"/>
                <w:szCs w:val="18"/>
              </w:rPr>
              <w:t>1 mL</w:t>
            </w:r>
          </w:p>
        </w:tc>
        <w:tc>
          <w:tcPr>
            <w:tcW w:w="1442" w:type="dxa"/>
            <w:vAlign w:val="center"/>
          </w:tcPr>
          <w:p w14:paraId="7D31DC75" w14:textId="77777777" w:rsidR="008A0255" w:rsidRPr="00A5659C" w:rsidRDefault="008A0255" w:rsidP="00333D5B">
            <w:pPr>
              <w:spacing w:before="0" w:after="0"/>
              <w:jc w:val="center"/>
              <w:rPr>
                <w:rFonts w:cs="Arial"/>
                <w:sz w:val="18"/>
                <w:szCs w:val="18"/>
              </w:rPr>
            </w:pPr>
            <w:r w:rsidRPr="008A0255">
              <w:rPr>
                <w:rFonts w:cs="Arial"/>
                <w:sz w:val="18"/>
                <w:szCs w:val="18"/>
              </w:rPr>
              <w:t>-20°C</w:t>
            </w:r>
          </w:p>
        </w:tc>
      </w:tr>
    </w:tbl>
    <w:p w14:paraId="3B016C85" w14:textId="77777777" w:rsidR="001C766D" w:rsidRPr="00291DE0" w:rsidRDefault="001C766D">
      <w:pPr>
        <w:spacing w:before="0" w:after="0"/>
        <w:rPr>
          <w:b/>
        </w:rPr>
      </w:pPr>
      <w:r w:rsidRPr="00291DE0">
        <w:rPr>
          <w:b/>
        </w:rPr>
        <w:br w:type="page"/>
      </w:r>
    </w:p>
    <w:p w14:paraId="40AD0F65" w14:textId="77777777" w:rsidR="000E4FA8" w:rsidRPr="00291DE0" w:rsidRDefault="000E4FA8" w:rsidP="000040B0">
      <w:pPr>
        <w:pStyle w:val="1Abcamheading"/>
        <w:numPr>
          <w:ilvl w:val="0"/>
          <w:numId w:val="35"/>
        </w:numPr>
      </w:pPr>
      <w:bookmarkStart w:id="16" w:name="_Toc446403817"/>
      <w:bookmarkStart w:id="17" w:name="_Toc37763425"/>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6"/>
      <w:bookmarkEnd w:id="17"/>
    </w:p>
    <w:p w14:paraId="007C8ECD" w14:textId="372B2D21" w:rsidR="00B975E3" w:rsidRPr="00A80F62" w:rsidRDefault="000E4FA8" w:rsidP="00A80F62">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03683CEE" w14:textId="296468BA" w:rsidR="00C013A7" w:rsidRDefault="00C013A7" w:rsidP="00D46B13">
      <w:pPr>
        <w:pStyle w:val="ListParagraph"/>
        <w:numPr>
          <w:ilvl w:val="0"/>
          <w:numId w:val="16"/>
        </w:numPr>
        <w:spacing w:before="0" w:after="0"/>
        <w:rPr>
          <w:color w:val="000000"/>
          <w:szCs w:val="20"/>
        </w:rPr>
      </w:pPr>
      <w:r w:rsidRPr="00C013A7">
        <w:rPr>
          <w:color w:val="000000"/>
          <w:szCs w:val="20"/>
        </w:rPr>
        <w:t>Pipetting devices and accessories</w:t>
      </w:r>
    </w:p>
    <w:p w14:paraId="370992C9" w14:textId="092499E2" w:rsidR="008A0255" w:rsidRPr="008A0255" w:rsidRDefault="008A0255" w:rsidP="00D46B13">
      <w:pPr>
        <w:pStyle w:val="ListParagraph"/>
        <w:numPr>
          <w:ilvl w:val="0"/>
          <w:numId w:val="16"/>
        </w:numPr>
        <w:spacing w:before="0" w:after="0"/>
        <w:rPr>
          <w:color w:val="000000"/>
          <w:szCs w:val="20"/>
        </w:rPr>
      </w:pPr>
      <w:r>
        <w:rPr>
          <w:color w:val="000000"/>
          <w:szCs w:val="20"/>
        </w:rPr>
        <w:t xml:space="preserve">96-well  clear plate </w:t>
      </w:r>
      <w:r w:rsidR="00B975E3">
        <w:rPr>
          <w:color w:val="000000"/>
          <w:szCs w:val="20"/>
        </w:rPr>
        <w:t xml:space="preserve">with flat bottom </w:t>
      </w:r>
    </w:p>
    <w:p w14:paraId="0EC81088" w14:textId="2DC2E541" w:rsidR="007A44ED" w:rsidRPr="00A80F62" w:rsidRDefault="00D46B13" w:rsidP="00A80F62">
      <w:pPr>
        <w:pStyle w:val="ListParagraph"/>
        <w:numPr>
          <w:ilvl w:val="0"/>
          <w:numId w:val="16"/>
        </w:numPr>
        <w:spacing w:before="0" w:after="0"/>
        <w:rPr>
          <w:color w:val="000000"/>
          <w:szCs w:val="20"/>
        </w:rPr>
      </w:pPr>
      <w:r w:rsidRPr="00A80F62">
        <w:rPr>
          <w:szCs w:val="20"/>
        </w:rPr>
        <w:t xml:space="preserve">Standard microplate reader - capable of reading </w:t>
      </w:r>
      <w:r w:rsidR="008E6843">
        <w:rPr>
          <w:szCs w:val="20"/>
        </w:rPr>
        <w:t xml:space="preserve">absorbance </w:t>
      </w:r>
      <w:r w:rsidRPr="00A80F62">
        <w:rPr>
          <w:szCs w:val="20"/>
        </w:rPr>
        <w:t xml:space="preserve">at </w:t>
      </w:r>
      <w:r w:rsidR="008E6843">
        <w:rPr>
          <w:szCs w:val="20"/>
        </w:rPr>
        <w:t>405</w:t>
      </w:r>
      <w:r w:rsidR="008A0255" w:rsidRPr="00A80F62">
        <w:rPr>
          <w:szCs w:val="20"/>
        </w:rPr>
        <w:t xml:space="preserve"> </w:t>
      </w:r>
      <w:r w:rsidR="008410EB" w:rsidRPr="00A80F62">
        <w:rPr>
          <w:szCs w:val="20"/>
        </w:rPr>
        <w:t xml:space="preserve">nm </w:t>
      </w:r>
      <w:r w:rsidR="007A44ED">
        <w:br w:type="page"/>
      </w:r>
    </w:p>
    <w:p w14:paraId="2C2EDA8B" w14:textId="77777777" w:rsidR="000E4FA8" w:rsidRPr="00E74DC4" w:rsidRDefault="000E4FA8" w:rsidP="008A3118">
      <w:pPr>
        <w:pStyle w:val="1Abcamheading"/>
        <w:numPr>
          <w:ilvl w:val="0"/>
          <w:numId w:val="35"/>
        </w:numPr>
      </w:pPr>
      <w:bookmarkStart w:id="18" w:name="_Toc446403818"/>
      <w:bookmarkStart w:id="19" w:name="_Toc37763426"/>
      <w:r w:rsidRPr="00E74DC4">
        <w:lastRenderedPageBreak/>
        <w:t>Technical Hints</w:t>
      </w:r>
      <w:bookmarkEnd w:id="18"/>
      <w:bookmarkEnd w:id="19"/>
    </w:p>
    <w:p w14:paraId="1C82D59F" w14:textId="77777777" w:rsidR="007A44ED" w:rsidRDefault="007A44ED" w:rsidP="00D36AEE">
      <w:pPr>
        <w:pStyle w:val="1AbcamBulletpoints"/>
        <w:numPr>
          <w:ilvl w:val="0"/>
          <w:numId w:val="17"/>
        </w:numPr>
      </w:pPr>
      <w:r>
        <w:t>This kit is sold based on number of tests. A ‘test’ simply refers to a</w:t>
      </w:r>
      <w:r w:rsidR="00D36AEE">
        <w:t xml:space="preserve"> </w:t>
      </w:r>
      <w:r>
        <w:t>single assay well. The number of wells that contain sample, control</w:t>
      </w:r>
      <w:r w:rsidR="00D36AEE">
        <w:t xml:space="preserve"> </w:t>
      </w:r>
      <w:r>
        <w:t>or standard will vary by product. Review the protocol completely to</w:t>
      </w:r>
      <w:r w:rsidR="00D36AEE">
        <w:t xml:space="preserve"> </w:t>
      </w:r>
      <w:r>
        <w:t>confirm this kit meets your requirements. Please contact our</w:t>
      </w:r>
      <w:r w:rsidR="00D36AEE">
        <w:t xml:space="preserve"> </w:t>
      </w:r>
      <w:r>
        <w:t>Technical Support staff with any questions.</w:t>
      </w:r>
    </w:p>
    <w:p w14:paraId="624A0768" w14:textId="77777777" w:rsidR="003E40A5" w:rsidRDefault="003E40A5" w:rsidP="003E40A5">
      <w:pPr>
        <w:pStyle w:val="1AbcamBulletpoints"/>
      </w:pPr>
      <w:r>
        <w:t>Pre-rinse the pipette tip with the reagent, use fresh pipette tips for each sample, standard and reagent.</w:t>
      </w:r>
    </w:p>
    <w:p w14:paraId="4D0B0808" w14:textId="77777777" w:rsidR="003E40A5" w:rsidRDefault="003E40A5" w:rsidP="003E40A5">
      <w:pPr>
        <w:pStyle w:val="1AbcamBulletpoints"/>
      </w:pPr>
      <w:r>
        <w:t>Pipette standards and samples to the bottom of the wells.</w:t>
      </w:r>
    </w:p>
    <w:p w14:paraId="3B400049" w14:textId="77777777" w:rsidR="003E40A5" w:rsidRDefault="003E40A5" w:rsidP="008A0255">
      <w:pPr>
        <w:pStyle w:val="1AbcamBulletpoints"/>
      </w:pPr>
      <w:r>
        <w:t xml:space="preserve">Add the reagents to the side of the </w:t>
      </w:r>
      <w:r w:rsidR="00B975E3">
        <w:t xml:space="preserve">tube </w:t>
      </w:r>
      <w:r>
        <w:t>to avoid contamination.</w:t>
      </w:r>
    </w:p>
    <w:p w14:paraId="2157C125" w14:textId="77777777" w:rsidR="00B46171" w:rsidRPr="006A1D3D" w:rsidRDefault="009F761A" w:rsidP="00B46171">
      <w:pPr>
        <w:pStyle w:val="1AbcamBulletpoints"/>
      </w:pPr>
      <w:r>
        <w:t xml:space="preserve">Some Solutions supplied in this kit are </w:t>
      </w:r>
      <w:r w:rsidRPr="006A1D3D">
        <w:t>caustic; car</w:t>
      </w:r>
      <w:r>
        <w:t>e should be taken with their use</w:t>
      </w:r>
      <w:r w:rsidR="00E54DEB">
        <w:t>.</w:t>
      </w:r>
    </w:p>
    <w:p w14:paraId="3E996D00" w14:textId="77777777" w:rsidR="000E4FA8" w:rsidRPr="00291DE0" w:rsidRDefault="000E4FA8" w:rsidP="00692528">
      <w:pPr>
        <w:pStyle w:val="1AbcamBulletpoints"/>
      </w:pPr>
      <w:r w:rsidRPr="00291DE0">
        <w:br w:type="page"/>
      </w:r>
    </w:p>
    <w:p w14:paraId="1EF77A8F" w14:textId="77777777" w:rsidR="000E4FA8" w:rsidRPr="00291DE0" w:rsidRDefault="000E4FA8" w:rsidP="000040B0">
      <w:pPr>
        <w:pStyle w:val="1Abcamheading"/>
        <w:numPr>
          <w:ilvl w:val="0"/>
          <w:numId w:val="35"/>
        </w:numPr>
      </w:pPr>
      <w:bookmarkStart w:id="20" w:name="_Toc446403819"/>
      <w:bookmarkStart w:id="21" w:name="_Toc37763427"/>
      <w:r w:rsidRPr="00291DE0">
        <w:lastRenderedPageBreak/>
        <w:t>R</w:t>
      </w:r>
      <w:r w:rsidR="00174FD5" w:rsidRPr="00291DE0">
        <w:t>eagent P</w:t>
      </w:r>
      <w:r w:rsidRPr="00291DE0">
        <w:t>reparation</w:t>
      </w:r>
      <w:bookmarkEnd w:id="20"/>
      <w:bookmarkEnd w:id="21"/>
    </w:p>
    <w:p w14:paraId="396F687C" w14:textId="77777777" w:rsidR="003746DD" w:rsidRDefault="004C0853" w:rsidP="008E6843">
      <w:pPr>
        <w:pStyle w:val="1AbcamBulletpoints"/>
      </w:pPr>
      <w:r>
        <w:t>Equilibrate all reagents to room temperature (18-25°C) prior to use.</w:t>
      </w:r>
    </w:p>
    <w:p w14:paraId="538C41A4" w14:textId="7C2F30C8" w:rsidR="00E2291F" w:rsidRDefault="004C0853" w:rsidP="008E6843">
      <w:pPr>
        <w:pStyle w:val="1AbcamBulletpoints"/>
      </w:pPr>
      <w:r>
        <w:t xml:space="preserve">The kit contains enough reagents for </w:t>
      </w:r>
      <w:r w:rsidR="008410EB">
        <w:t>100 assays</w:t>
      </w:r>
      <w:r>
        <w:t>.</w:t>
      </w:r>
    </w:p>
    <w:p w14:paraId="0B7111D7" w14:textId="77777777" w:rsidR="00300FEC" w:rsidRDefault="00300FEC" w:rsidP="00F62783">
      <w:pPr>
        <w:spacing w:before="60" w:after="60"/>
      </w:pPr>
    </w:p>
    <w:p w14:paraId="192D41CE" w14:textId="3C76F5BB" w:rsidR="00630231" w:rsidRPr="00D53A55" w:rsidRDefault="00300FEC" w:rsidP="00D53A55">
      <w:pPr>
        <w:spacing w:before="60" w:after="60"/>
      </w:pPr>
      <w:r>
        <w:t>All reagents are supplied ready to use.</w:t>
      </w:r>
      <w:bookmarkStart w:id="22" w:name="_Toc446403821"/>
      <w:bookmarkStart w:id="23" w:name="_Toc482275725"/>
      <w:bookmarkEnd w:id="22"/>
      <w:r w:rsidR="00630231" w:rsidRPr="004C22CE">
        <w:br w:type="page"/>
      </w:r>
    </w:p>
    <w:p w14:paraId="78424064" w14:textId="77777777" w:rsidR="000E4FA8" w:rsidRPr="004C22CE" w:rsidRDefault="00331AEA" w:rsidP="000040B0">
      <w:pPr>
        <w:pStyle w:val="1Abcamheading"/>
        <w:numPr>
          <w:ilvl w:val="0"/>
          <w:numId w:val="35"/>
        </w:numPr>
      </w:pPr>
      <w:bookmarkStart w:id="24" w:name="_Toc37763428"/>
      <w:r w:rsidRPr="004C22CE">
        <w:lastRenderedPageBreak/>
        <w:t xml:space="preserve">Sample </w:t>
      </w:r>
      <w:r w:rsidR="00174FD5" w:rsidRPr="004C22CE">
        <w:t>P</w:t>
      </w:r>
      <w:r w:rsidRPr="004C22CE">
        <w:t>reparation</w:t>
      </w:r>
      <w:bookmarkEnd w:id="23"/>
      <w:bookmarkEnd w:id="24"/>
    </w:p>
    <w:p w14:paraId="7816E09C" w14:textId="77777777" w:rsidR="005203D1" w:rsidRDefault="005203D1" w:rsidP="005203D1">
      <w:pPr>
        <w:pStyle w:val="111Abcam"/>
        <w:numPr>
          <w:ilvl w:val="0"/>
          <w:numId w:val="17"/>
        </w:numPr>
      </w:pPr>
      <w:bookmarkStart w:id="25" w:name="_Toc361121115"/>
      <w:r>
        <w:t>E</w:t>
      </w:r>
      <w:r w:rsidRPr="005203D1">
        <w:t xml:space="preserve">nzyme samples can be in 50 mM phosphate (pH 7.0) buffer or in any other suitable enzyme buffer. </w:t>
      </w:r>
    </w:p>
    <w:p w14:paraId="3BD82F72" w14:textId="77777777" w:rsidR="008E6843" w:rsidRDefault="008E6843" w:rsidP="008E6843">
      <w:pPr>
        <w:pStyle w:val="111Abcam"/>
        <w:ind w:left="360"/>
      </w:pPr>
    </w:p>
    <w:p w14:paraId="325654B3" w14:textId="77168AAA" w:rsidR="005F308A" w:rsidRPr="0005435E" w:rsidRDefault="008E6843" w:rsidP="008E6843">
      <w:pPr>
        <w:pStyle w:val="111Abcam"/>
      </w:pPr>
      <w:r w:rsidRPr="008E6843">
        <w:rPr>
          <w:rFonts w:ascii="Symbol" w:hAnsi="Symbol"/>
          <w:b/>
          <w:bCs/>
        </w:rPr>
        <w:t></w:t>
      </w:r>
      <w:r w:rsidRPr="008E6843">
        <w:rPr>
          <w:rFonts w:ascii="Symbol" w:hAnsi="Symbol"/>
          <w:b/>
          <w:bCs/>
        </w:rPr>
        <w:t></w:t>
      </w:r>
      <w:r w:rsidRPr="008E6843">
        <w:rPr>
          <w:b/>
          <w:bCs/>
        </w:rPr>
        <w:t>Note:</w:t>
      </w:r>
      <w:r>
        <w:t xml:space="preserve"> </w:t>
      </w:r>
      <w:r w:rsidR="005203D1" w:rsidRPr="005203D1">
        <w:t>The following chemicals are known to affect the enzyme activity and should be avoided. SH-containing reagents (e.g. dithiothreitol, 2-mercaptoethanol, glutathione), Ca2+, Cu2+ , Fe3+/Fe2+, Hg2+, Mg2+, Ni2+, Zn2+, SDS, EDTA and Tris.</w:t>
      </w:r>
    </w:p>
    <w:bookmarkEnd w:id="25"/>
    <w:p w14:paraId="34FC2375" w14:textId="77777777" w:rsidR="00465ED2" w:rsidRPr="00F62783" w:rsidRDefault="00465ED2" w:rsidP="00F62783">
      <w:pPr>
        <w:spacing w:before="0" w:after="0"/>
        <w:rPr>
          <w:rFonts w:eastAsiaTheme="minorHAnsi" w:cstheme="minorBidi"/>
        </w:rPr>
      </w:pPr>
      <w:r>
        <w:br w:type="page"/>
      </w:r>
    </w:p>
    <w:p w14:paraId="47E8FD78" w14:textId="77777777" w:rsidR="00B86D77" w:rsidRPr="00291DE0" w:rsidRDefault="00174FD5" w:rsidP="00EE3FCD">
      <w:pPr>
        <w:pStyle w:val="1Abcamheading"/>
        <w:numPr>
          <w:ilvl w:val="0"/>
          <w:numId w:val="35"/>
        </w:numPr>
      </w:pPr>
      <w:bookmarkStart w:id="26" w:name="_Toc37763429"/>
      <w:r w:rsidRPr="00291DE0">
        <w:lastRenderedPageBreak/>
        <w:t>Assay Procedure</w:t>
      </w:r>
      <w:bookmarkEnd w:id="2"/>
      <w:bookmarkEnd w:id="26"/>
    </w:p>
    <w:p w14:paraId="5050C6C0" w14:textId="045FAA57" w:rsidR="00007205" w:rsidRPr="00291DE0" w:rsidRDefault="00007205" w:rsidP="00406842">
      <w:pPr>
        <w:pStyle w:val="1AbcamBulletpoints"/>
      </w:pPr>
      <w:bookmarkStart w:id="27" w:name="_Toc271554832"/>
      <w:bookmarkStart w:id="28" w:name="_Toc273532551"/>
      <w:r w:rsidRPr="00291DE0">
        <w:t xml:space="preserve">Equilibrate all materials and prepared reagents to </w:t>
      </w:r>
      <w:r w:rsidR="00600D02">
        <w:t>the desired reaction temperature (e.g. 25</w:t>
      </w:r>
      <w:r w:rsidR="00600D02" w:rsidRPr="00600D02">
        <w:t>°C</w:t>
      </w:r>
      <w:r w:rsidR="00600D02">
        <w:t xml:space="preserve"> or 37</w:t>
      </w:r>
      <w:r w:rsidR="00600D02" w:rsidRPr="00600D02">
        <w:rPr>
          <w:rFonts w:cs="Arial"/>
        </w:rPr>
        <w:t>°C</w:t>
      </w:r>
      <w:r w:rsidR="00600D02">
        <w:rPr>
          <w:rFonts w:cs="Arial"/>
        </w:rPr>
        <w:t>)</w:t>
      </w:r>
      <w:r w:rsidR="00600D02">
        <w:t xml:space="preserve"> </w:t>
      </w:r>
      <w:r w:rsidRPr="00291DE0">
        <w:t>prior to use.</w:t>
      </w:r>
    </w:p>
    <w:p w14:paraId="45E58BA4" w14:textId="20B3BBA2" w:rsidR="00007205" w:rsidRDefault="00007205" w:rsidP="00406842">
      <w:pPr>
        <w:pStyle w:val="1AbcamBulletpoints"/>
      </w:pPr>
      <w:r w:rsidRPr="00291DE0">
        <w:t>We recommend that you assay all standards, controls and samples in duplicate.</w:t>
      </w:r>
    </w:p>
    <w:p w14:paraId="33576E7D" w14:textId="77777777" w:rsidR="005203D1" w:rsidRDefault="005203D1" w:rsidP="005203D1">
      <w:pPr>
        <w:pStyle w:val="1AbcamBulletpoints"/>
        <w:numPr>
          <w:ilvl w:val="0"/>
          <w:numId w:val="0"/>
        </w:numPr>
      </w:pPr>
    </w:p>
    <w:p w14:paraId="5FDC9B41" w14:textId="74CABF1B" w:rsidR="006C5087" w:rsidRDefault="006C5087" w:rsidP="00600D02">
      <w:pPr>
        <w:rPr>
          <w:rFonts w:cs="Arial"/>
          <w:b/>
          <w:iCs/>
          <w:szCs w:val="20"/>
        </w:rPr>
      </w:pPr>
      <w:r>
        <w:rPr>
          <w:rFonts w:cs="Arial"/>
          <w:b/>
          <w:iCs/>
          <w:szCs w:val="20"/>
        </w:rPr>
        <w:t xml:space="preserve">Working </w:t>
      </w:r>
      <w:r w:rsidR="00C95F79">
        <w:rPr>
          <w:rFonts w:cs="Arial"/>
          <w:b/>
          <w:iCs/>
          <w:szCs w:val="20"/>
        </w:rPr>
        <w:t>Reagent</w:t>
      </w:r>
      <w:r>
        <w:rPr>
          <w:rFonts w:cs="Arial"/>
          <w:b/>
          <w:iCs/>
          <w:szCs w:val="20"/>
        </w:rPr>
        <w:t>:</w:t>
      </w:r>
    </w:p>
    <w:p w14:paraId="4F7A2AA4" w14:textId="3541C773" w:rsidR="006C5087" w:rsidRDefault="006C5087" w:rsidP="00600D02">
      <w:pPr>
        <w:rPr>
          <w:rFonts w:cs="Arial"/>
          <w:bCs/>
          <w:iCs/>
          <w:szCs w:val="20"/>
        </w:rPr>
      </w:pPr>
      <w:r w:rsidRPr="006C5087">
        <w:rPr>
          <w:rFonts w:cs="Arial"/>
          <w:bCs/>
          <w:iCs/>
          <w:szCs w:val="20"/>
        </w:rPr>
        <w:t xml:space="preserve">The Working </w:t>
      </w:r>
      <w:r w:rsidR="00C95F79">
        <w:rPr>
          <w:rFonts w:cs="Arial"/>
          <w:bCs/>
          <w:iCs/>
          <w:szCs w:val="20"/>
        </w:rPr>
        <w:t xml:space="preserve">Reagent </w:t>
      </w:r>
      <w:r w:rsidRPr="006C5087">
        <w:rPr>
          <w:rFonts w:cs="Arial"/>
          <w:bCs/>
          <w:iCs/>
          <w:szCs w:val="20"/>
        </w:rPr>
        <w:t xml:space="preserve">is prepared by mixing for each 96-well assay, 200 µL Assay Buffer and 8 µL β-NPG </w:t>
      </w:r>
      <w:r w:rsidR="00196D9C">
        <w:rPr>
          <w:rFonts w:cs="Arial"/>
          <w:bCs/>
          <w:iCs/>
          <w:szCs w:val="20"/>
        </w:rPr>
        <w:t>S</w:t>
      </w:r>
      <w:r w:rsidRPr="006C5087">
        <w:rPr>
          <w:rFonts w:cs="Arial"/>
          <w:bCs/>
          <w:iCs/>
          <w:szCs w:val="20"/>
        </w:rPr>
        <w:t xml:space="preserve">ubstrate (final 1.0 mM). </w:t>
      </w:r>
    </w:p>
    <w:tbl>
      <w:tblPr>
        <w:tblStyle w:val="TableGrid"/>
        <w:tblW w:w="0" w:type="auto"/>
        <w:tblLook w:val="04A0" w:firstRow="1" w:lastRow="0" w:firstColumn="1" w:lastColumn="0" w:noHBand="0" w:noVBand="1"/>
      </w:tblPr>
      <w:tblGrid>
        <w:gridCol w:w="3458"/>
        <w:gridCol w:w="3458"/>
      </w:tblGrid>
      <w:tr w:rsidR="00196D9C" w14:paraId="378CBE20" w14:textId="77777777" w:rsidTr="00196D9C">
        <w:trPr>
          <w:trHeight w:val="481"/>
        </w:trPr>
        <w:tc>
          <w:tcPr>
            <w:tcW w:w="3458" w:type="dxa"/>
            <w:vAlign w:val="center"/>
          </w:tcPr>
          <w:p w14:paraId="3FF587A3" w14:textId="03F0D2CC" w:rsidR="00196D9C" w:rsidRPr="00196D9C" w:rsidRDefault="00196D9C" w:rsidP="00196D9C">
            <w:pPr>
              <w:autoSpaceDE w:val="0"/>
              <w:autoSpaceDN w:val="0"/>
              <w:adjustRightInd w:val="0"/>
              <w:spacing w:before="60" w:after="60"/>
              <w:jc w:val="center"/>
              <w:rPr>
                <w:rFonts w:cs="Arial"/>
                <w:b/>
                <w:bCs/>
                <w:color w:val="000000"/>
                <w:szCs w:val="18"/>
                <w:lang w:val="en-GB"/>
              </w:rPr>
            </w:pPr>
            <w:r w:rsidRPr="00196D9C">
              <w:rPr>
                <w:rFonts w:cs="Arial"/>
                <w:b/>
                <w:bCs/>
                <w:color w:val="000000"/>
                <w:szCs w:val="18"/>
                <w:lang w:val="en-GB"/>
              </w:rPr>
              <w:t>Component</w:t>
            </w:r>
          </w:p>
        </w:tc>
        <w:tc>
          <w:tcPr>
            <w:tcW w:w="3458" w:type="dxa"/>
            <w:vAlign w:val="center"/>
          </w:tcPr>
          <w:p w14:paraId="49615F2B" w14:textId="347DACFE" w:rsidR="00196D9C" w:rsidRPr="00196D9C" w:rsidRDefault="00196D9C" w:rsidP="00196D9C">
            <w:pPr>
              <w:jc w:val="center"/>
              <w:rPr>
                <w:rFonts w:cs="Arial"/>
                <w:b/>
                <w:bCs/>
                <w:color w:val="000000"/>
                <w:szCs w:val="18"/>
                <w:lang w:val="en-GB"/>
              </w:rPr>
            </w:pPr>
            <w:r w:rsidRPr="00196D9C">
              <w:rPr>
                <w:rFonts w:cs="Arial"/>
                <w:b/>
                <w:bCs/>
                <w:color w:val="000000"/>
                <w:szCs w:val="18"/>
                <w:lang w:val="en-GB"/>
              </w:rPr>
              <w:t>Volume per assay (µL)</w:t>
            </w:r>
          </w:p>
        </w:tc>
      </w:tr>
      <w:tr w:rsidR="00196D9C" w14:paraId="517F27B3" w14:textId="77777777" w:rsidTr="00196D9C">
        <w:tc>
          <w:tcPr>
            <w:tcW w:w="3458" w:type="dxa"/>
          </w:tcPr>
          <w:p w14:paraId="2D66B2BC" w14:textId="1F1B1DBE" w:rsidR="00196D9C" w:rsidRPr="00196D9C" w:rsidRDefault="00196D9C" w:rsidP="00196D9C">
            <w:pPr>
              <w:autoSpaceDE w:val="0"/>
              <w:autoSpaceDN w:val="0"/>
              <w:adjustRightInd w:val="0"/>
              <w:spacing w:before="60" w:after="60"/>
              <w:jc w:val="center"/>
              <w:rPr>
                <w:rFonts w:cs="Arial"/>
                <w:color w:val="000000"/>
                <w:szCs w:val="18"/>
                <w:lang w:val="en-GB"/>
              </w:rPr>
            </w:pPr>
            <w:r w:rsidRPr="00196D9C">
              <w:rPr>
                <w:rFonts w:cs="Arial"/>
                <w:color w:val="000000"/>
                <w:szCs w:val="18"/>
                <w:lang w:val="en-GB"/>
              </w:rPr>
              <w:t>Assay Buffer</w:t>
            </w:r>
          </w:p>
        </w:tc>
        <w:tc>
          <w:tcPr>
            <w:tcW w:w="3458" w:type="dxa"/>
          </w:tcPr>
          <w:p w14:paraId="57E3995B" w14:textId="20208112" w:rsidR="00196D9C" w:rsidRPr="00196D9C" w:rsidRDefault="00196D9C" w:rsidP="00196D9C">
            <w:pPr>
              <w:autoSpaceDE w:val="0"/>
              <w:autoSpaceDN w:val="0"/>
              <w:adjustRightInd w:val="0"/>
              <w:spacing w:before="60" w:after="60"/>
              <w:jc w:val="center"/>
              <w:rPr>
                <w:rFonts w:cs="Arial"/>
                <w:color w:val="000000"/>
                <w:szCs w:val="18"/>
                <w:lang w:val="en-GB"/>
              </w:rPr>
            </w:pPr>
            <w:r w:rsidRPr="00196D9C">
              <w:rPr>
                <w:rFonts w:cs="Arial"/>
                <w:color w:val="000000"/>
                <w:szCs w:val="18"/>
                <w:lang w:val="en-GB"/>
              </w:rPr>
              <w:t>200</w:t>
            </w:r>
          </w:p>
        </w:tc>
      </w:tr>
      <w:tr w:rsidR="00196D9C" w14:paraId="7BF57018" w14:textId="77777777" w:rsidTr="00196D9C">
        <w:tc>
          <w:tcPr>
            <w:tcW w:w="3458" w:type="dxa"/>
          </w:tcPr>
          <w:p w14:paraId="1622F098" w14:textId="5DB055E2" w:rsidR="00196D9C" w:rsidRPr="00196D9C" w:rsidRDefault="00196D9C" w:rsidP="00196D9C">
            <w:pPr>
              <w:autoSpaceDE w:val="0"/>
              <w:autoSpaceDN w:val="0"/>
              <w:adjustRightInd w:val="0"/>
              <w:spacing w:before="60" w:after="60"/>
              <w:jc w:val="center"/>
              <w:rPr>
                <w:rFonts w:cs="Arial"/>
                <w:color w:val="000000"/>
                <w:szCs w:val="18"/>
                <w:lang w:val="en-GB"/>
              </w:rPr>
            </w:pPr>
            <w:r w:rsidRPr="00196D9C">
              <w:rPr>
                <w:rFonts w:cs="Arial"/>
                <w:color w:val="000000"/>
                <w:szCs w:val="18"/>
                <w:lang w:val="en-GB"/>
              </w:rPr>
              <w:t>β-NPG Substrate</w:t>
            </w:r>
          </w:p>
        </w:tc>
        <w:tc>
          <w:tcPr>
            <w:tcW w:w="3458" w:type="dxa"/>
          </w:tcPr>
          <w:p w14:paraId="5574C6A4" w14:textId="5462599A" w:rsidR="00196D9C" w:rsidRPr="00196D9C" w:rsidRDefault="00196D9C" w:rsidP="00196D9C">
            <w:pPr>
              <w:autoSpaceDE w:val="0"/>
              <w:autoSpaceDN w:val="0"/>
              <w:adjustRightInd w:val="0"/>
              <w:spacing w:before="60" w:after="60"/>
              <w:jc w:val="center"/>
              <w:rPr>
                <w:rFonts w:cs="Arial"/>
                <w:color w:val="000000"/>
                <w:szCs w:val="18"/>
                <w:lang w:val="en-GB"/>
              </w:rPr>
            </w:pPr>
            <w:r w:rsidRPr="00196D9C">
              <w:rPr>
                <w:rFonts w:cs="Arial"/>
                <w:color w:val="000000"/>
                <w:szCs w:val="18"/>
                <w:lang w:val="en-GB"/>
              </w:rPr>
              <w:t>8</w:t>
            </w:r>
          </w:p>
        </w:tc>
      </w:tr>
    </w:tbl>
    <w:p w14:paraId="0DF33855" w14:textId="465D2B18" w:rsidR="006C5087" w:rsidRPr="006C5087" w:rsidRDefault="006C5087" w:rsidP="00600D02">
      <w:pPr>
        <w:rPr>
          <w:rFonts w:cs="Arial"/>
          <w:bCs/>
          <w:iCs/>
          <w:szCs w:val="20"/>
        </w:rPr>
      </w:pPr>
      <w:r w:rsidRPr="006C5087">
        <w:rPr>
          <w:rFonts w:ascii="Symbol" w:hAnsi="Symbol" w:cs="Arial"/>
          <w:b/>
          <w:iCs/>
          <w:szCs w:val="20"/>
        </w:rPr>
        <w:t></w:t>
      </w:r>
      <w:r w:rsidRPr="006C5087">
        <w:rPr>
          <w:rFonts w:ascii="Symbol" w:hAnsi="Symbol" w:cs="Arial"/>
          <w:b/>
          <w:iCs/>
          <w:szCs w:val="20"/>
        </w:rPr>
        <w:t></w:t>
      </w:r>
      <w:r w:rsidRPr="006C5087">
        <w:rPr>
          <w:rFonts w:cs="Arial"/>
          <w:b/>
          <w:iCs/>
          <w:szCs w:val="20"/>
        </w:rPr>
        <w:t>Note:</w:t>
      </w:r>
      <w:r>
        <w:rPr>
          <w:rFonts w:cs="Arial"/>
          <w:bCs/>
          <w:iCs/>
          <w:szCs w:val="20"/>
        </w:rPr>
        <w:t xml:space="preserve"> </w:t>
      </w:r>
      <w:r w:rsidRPr="006C5087">
        <w:rPr>
          <w:rFonts w:cs="Arial"/>
          <w:bCs/>
          <w:iCs/>
          <w:szCs w:val="20"/>
        </w:rPr>
        <w:t xml:space="preserve">Fresh </w:t>
      </w:r>
      <w:r w:rsidR="00196D9C">
        <w:rPr>
          <w:rFonts w:cs="Arial"/>
          <w:bCs/>
          <w:iCs/>
          <w:szCs w:val="20"/>
        </w:rPr>
        <w:t>preparation</w:t>
      </w:r>
      <w:r w:rsidRPr="006C5087">
        <w:rPr>
          <w:rFonts w:cs="Arial"/>
          <w:bCs/>
          <w:iCs/>
          <w:szCs w:val="20"/>
        </w:rPr>
        <w:t xml:space="preserve"> is recommended, although the Working Solution is stable for at least one day at room temperature.</w:t>
      </w:r>
    </w:p>
    <w:p w14:paraId="3BCCB6FC" w14:textId="0F1B9EE7" w:rsidR="00884D73" w:rsidRPr="00884D73" w:rsidRDefault="00490566" w:rsidP="00600D02">
      <w:pPr>
        <w:rPr>
          <w:rFonts w:cs="Arial"/>
          <w:b/>
          <w:iCs/>
          <w:szCs w:val="20"/>
        </w:rPr>
      </w:pPr>
      <w:r>
        <w:rPr>
          <w:rFonts w:cs="Arial"/>
          <w:b/>
          <w:iCs/>
          <w:szCs w:val="20"/>
        </w:rPr>
        <w:t>Reaction</w:t>
      </w:r>
      <w:r w:rsidR="00884D73">
        <w:rPr>
          <w:rFonts w:cs="Arial"/>
          <w:b/>
          <w:iCs/>
          <w:szCs w:val="20"/>
        </w:rPr>
        <w:t>:</w:t>
      </w:r>
    </w:p>
    <w:p w14:paraId="0A4BF5F6" w14:textId="54BEE24C" w:rsidR="005203D1" w:rsidRDefault="005203D1" w:rsidP="0078070D">
      <w:pPr>
        <w:pStyle w:val="11Abcam"/>
        <w:numPr>
          <w:ilvl w:val="1"/>
          <w:numId w:val="35"/>
        </w:numPr>
        <w:ind w:left="426"/>
        <w:contextualSpacing w:val="0"/>
      </w:pPr>
      <w:r w:rsidRPr="005203D1">
        <w:t>Transfer 20 µL distilled water (H</w:t>
      </w:r>
      <w:r w:rsidRPr="006C5087">
        <w:rPr>
          <w:vertAlign w:val="subscript"/>
        </w:rPr>
        <w:t>2</w:t>
      </w:r>
      <w:r w:rsidRPr="005203D1">
        <w:t>O) to two wells of a clear bottom 96 well plate. Add 200 µL H</w:t>
      </w:r>
      <w:r w:rsidRPr="006C5087">
        <w:rPr>
          <w:vertAlign w:val="subscript"/>
        </w:rPr>
        <w:t>2</w:t>
      </w:r>
      <w:r w:rsidRPr="005203D1">
        <w:t>O to one of these wells and 200 µL Calibrator to the other well (total volume 220 µL).</w:t>
      </w:r>
    </w:p>
    <w:p w14:paraId="2860F63F" w14:textId="77777777" w:rsidR="005203D1" w:rsidRDefault="005203D1" w:rsidP="00490566">
      <w:pPr>
        <w:pStyle w:val="11Abcam"/>
        <w:numPr>
          <w:ilvl w:val="1"/>
          <w:numId w:val="35"/>
        </w:numPr>
        <w:ind w:left="426"/>
        <w:contextualSpacing w:val="0"/>
      </w:pPr>
      <w:r w:rsidRPr="005203D1">
        <w:t>Transfer 20 µL samples into other wells. Transfer 200 µL Working Reagent to the sample wells only. The final reaction volume in the sample wells is 220 µL. Tap plate briefly to mix.</w:t>
      </w:r>
    </w:p>
    <w:p w14:paraId="55A5ECE5" w14:textId="47B8B8CA" w:rsidR="008A3118" w:rsidRDefault="005203D1" w:rsidP="00490566">
      <w:pPr>
        <w:pStyle w:val="11Abcam"/>
        <w:numPr>
          <w:ilvl w:val="1"/>
          <w:numId w:val="35"/>
        </w:numPr>
        <w:ind w:left="426"/>
        <w:contextualSpacing w:val="0"/>
      </w:pPr>
      <w:r w:rsidRPr="005203D1">
        <w:t>Read OD405nm (t = 0), and again after 20 min (t = 20 min) on a plate reader.</w:t>
      </w:r>
    </w:p>
    <w:p w14:paraId="3EA7E344" w14:textId="49C67255" w:rsidR="00CB4F04" w:rsidRDefault="00CB4F04" w:rsidP="00CB4F04">
      <w:pPr>
        <w:pStyle w:val="11Abcam"/>
        <w:contextualSpacing w:val="0"/>
      </w:pPr>
    </w:p>
    <w:p w14:paraId="0C1ED573" w14:textId="77777777" w:rsidR="0078070D" w:rsidRDefault="00CB4F04" w:rsidP="00CB4F04">
      <w:pPr>
        <w:pStyle w:val="11Abcam"/>
        <w:contextualSpacing w:val="0"/>
      </w:pPr>
      <w:bookmarkStart w:id="29" w:name="_Hlk36808348"/>
      <w:r w:rsidRPr="00CB4F04">
        <w:rPr>
          <w:rFonts w:ascii="Symbol" w:hAnsi="Symbol"/>
          <w:b/>
          <w:bCs/>
        </w:rPr>
        <w:t></w:t>
      </w:r>
      <w:r w:rsidRPr="00CB4F04">
        <w:rPr>
          <w:rFonts w:ascii="Symbol" w:hAnsi="Symbol"/>
          <w:b/>
          <w:bCs/>
        </w:rPr>
        <w:t></w:t>
      </w:r>
      <w:r w:rsidRPr="00CB4F04">
        <w:rPr>
          <w:b/>
          <w:bCs/>
        </w:rPr>
        <w:t xml:space="preserve">Note: </w:t>
      </w:r>
      <w:bookmarkEnd w:id="29"/>
      <w:r w:rsidRPr="00CB4F04">
        <w:t xml:space="preserve">This assay is based on a kinetic reaction. To ensure identical incubation time, addition of Working Reagent to samples should be quick and mixing should be brief but thorough. Use of a multi-channel pipettor is recommended. </w:t>
      </w:r>
    </w:p>
    <w:p w14:paraId="3D07EB84" w14:textId="390BADE3" w:rsidR="003722E2" w:rsidRPr="00A57B1B" w:rsidRDefault="0078070D" w:rsidP="006621EC">
      <w:pPr>
        <w:pStyle w:val="11Abcam"/>
        <w:contextualSpacing w:val="0"/>
      </w:pPr>
      <w:r w:rsidRPr="00CB4F04">
        <w:rPr>
          <w:rFonts w:ascii="Symbol" w:hAnsi="Symbol"/>
          <w:b/>
          <w:bCs/>
        </w:rPr>
        <w:t></w:t>
      </w:r>
      <w:r w:rsidRPr="00CB4F04">
        <w:rPr>
          <w:rFonts w:ascii="Symbol" w:hAnsi="Symbol"/>
          <w:b/>
          <w:bCs/>
        </w:rPr>
        <w:t></w:t>
      </w:r>
      <w:r w:rsidRPr="00CB4F04">
        <w:rPr>
          <w:b/>
          <w:bCs/>
        </w:rPr>
        <w:t xml:space="preserve">Note: </w:t>
      </w:r>
      <w:r w:rsidR="00CB4F04" w:rsidRPr="00CB4F04">
        <w:t xml:space="preserve">Assays can be executed at any desired temperature (e.g. </w:t>
      </w:r>
      <w:r w:rsidR="00CE3D3F">
        <w:t>RT</w:t>
      </w:r>
      <w:r w:rsidR="00CB4F04" w:rsidRPr="00CB4F04">
        <w:t xml:space="preserve"> or 37°C).</w:t>
      </w:r>
    </w:p>
    <w:p w14:paraId="73E30D14" w14:textId="77777777" w:rsidR="00854515" w:rsidRDefault="00854515" w:rsidP="008A3118">
      <w:pPr>
        <w:pStyle w:val="1Abcamheading"/>
        <w:numPr>
          <w:ilvl w:val="0"/>
          <w:numId w:val="35"/>
        </w:numPr>
      </w:pPr>
      <w:bookmarkStart w:id="30" w:name="_Toc37763430"/>
      <w:bookmarkEnd w:id="27"/>
      <w:bookmarkEnd w:id="28"/>
      <w:r>
        <w:lastRenderedPageBreak/>
        <w:t>Calculations</w:t>
      </w:r>
      <w:bookmarkEnd w:id="30"/>
    </w:p>
    <w:p w14:paraId="45CC711D" w14:textId="3412D2B9" w:rsidR="00235AF3" w:rsidRDefault="00235AF3" w:rsidP="00B975E3">
      <w:pPr>
        <w:pStyle w:val="11Abcam"/>
        <w:numPr>
          <w:ilvl w:val="1"/>
          <w:numId w:val="35"/>
        </w:numPr>
        <w:ind w:left="426"/>
        <w:contextualSpacing w:val="0"/>
      </w:pPr>
      <w:r w:rsidRPr="00235AF3">
        <w:t>Calculation: β-glucosidase activity of the sample (U/L) is</w:t>
      </w:r>
      <w:r>
        <w:t>:</w:t>
      </w:r>
    </w:p>
    <w:p w14:paraId="5B4FF7D6" w14:textId="77777777" w:rsidR="00232132" w:rsidRDefault="00232132" w:rsidP="00232132">
      <w:pPr>
        <w:pStyle w:val="11Abcam"/>
      </w:pPr>
    </w:p>
    <w:p w14:paraId="5ACFE939" w14:textId="23F4212F" w:rsidR="008B3A27" w:rsidRPr="00235AF3" w:rsidRDefault="00235AF3" w:rsidP="00232132">
      <w:pPr>
        <w:pStyle w:val="11Abcam"/>
        <w:rPr>
          <w:bCs/>
        </w:rPr>
      </w:pPr>
      <w:r w:rsidRPr="00235AF3">
        <w:rPr>
          <w:bCs/>
        </w:rPr>
        <w:t>β-Glucosidase</w:t>
      </w:r>
      <w:r>
        <w:rPr>
          <w:bCs/>
        </w:rPr>
        <w:t xml:space="preserve"> Activity =</w:t>
      </w:r>
      <m:oMath>
        <m:r>
          <w:rPr>
            <w:rFonts w:ascii="Cambria Math" w:hAnsi="Cambria Math"/>
            <w:sz w:val="24"/>
            <w:szCs w:val="32"/>
          </w:rPr>
          <m:t xml:space="preserve"> </m:t>
        </m:r>
        <m:f>
          <m:fPr>
            <m:ctrlPr>
              <w:rPr>
                <w:rFonts w:ascii="Cambria Math" w:hAnsi="Cambria Math"/>
                <w:bCs/>
                <w:sz w:val="24"/>
                <w:szCs w:val="32"/>
              </w:rPr>
            </m:ctrlPr>
          </m:fPr>
          <m:num>
            <m:r>
              <w:rPr>
                <w:rFonts w:ascii="Cambria Math" w:hAnsi="Cambria Math"/>
                <w:sz w:val="24"/>
                <w:szCs w:val="32"/>
              </w:rPr>
              <m:t>OD20-OD0</m:t>
            </m:r>
          </m:num>
          <m:den>
            <m:r>
              <w:rPr>
                <w:rFonts w:ascii="Cambria Math" w:hAnsi="Cambria Math"/>
                <w:sz w:val="24"/>
                <w:szCs w:val="32"/>
              </w:rPr>
              <m:t>OD Calibrator-ODH2O</m:t>
            </m:r>
          </m:den>
        </m:f>
        <m:r>
          <w:rPr>
            <w:rFonts w:ascii="Cambria Math" w:hAnsi="Cambria Math"/>
            <w:sz w:val="24"/>
            <w:szCs w:val="32"/>
          </w:rPr>
          <m:t>×250 (U/L)</m:t>
        </m:r>
      </m:oMath>
    </w:p>
    <w:p w14:paraId="483B6B7E" w14:textId="77777777" w:rsidR="008B3A27" w:rsidRDefault="008B3A27" w:rsidP="00232132">
      <w:pPr>
        <w:pStyle w:val="11Abcam"/>
        <w:rPr>
          <w:bCs/>
        </w:rPr>
      </w:pPr>
      <w:r>
        <w:rPr>
          <w:bCs/>
        </w:rPr>
        <w:tab/>
        <w:t xml:space="preserve">         </w:t>
      </w:r>
    </w:p>
    <w:p w14:paraId="356096C7" w14:textId="0B6B948D" w:rsidR="008B3A27" w:rsidRPr="008B3A27" w:rsidRDefault="008B3A27" w:rsidP="008B3A27">
      <w:pPr>
        <w:pStyle w:val="11Abcam"/>
        <w:rPr>
          <w:bCs/>
          <w:sz w:val="32"/>
          <w:szCs w:val="32"/>
        </w:rPr>
      </w:pPr>
    </w:p>
    <w:p w14:paraId="6A7E287C" w14:textId="6A5A5343" w:rsidR="004A3C18" w:rsidRDefault="004A3C18" w:rsidP="00B975E3">
      <w:pPr>
        <w:pStyle w:val="11Abcam"/>
        <w:ind w:left="1287" w:firstLine="153"/>
      </w:pPr>
    </w:p>
    <w:p w14:paraId="5AE04048" w14:textId="684A5CAD" w:rsidR="00AC3CEB" w:rsidRDefault="00196D9C" w:rsidP="00381B5C">
      <w:pPr>
        <w:pStyle w:val="11Abcam"/>
        <w:contextualSpacing w:val="0"/>
        <w:rPr>
          <w:szCs w:val="20"/>
        </w:rPr>
      </w:pPr>
      <w:r>
        <w:rPr>
          <w:szCs w:val="20"/>
        </w:rPr>
        <w:t>OD</w:t>
      </w:r>
      <w:r w:rsidRPr="00196D9C">
        <w:rPr>
          <w:szCs w:val="20"/>
          <w:vertAlign w:val="subscript"/>
        </w:rPr>
        <w:t xml:space="preserve">0 </w:t>
      </w:r>
      <w:r>
        <w:rPr>
          <w:szCs w:val="20"/>
        </w:rPr>
        <w:t>= OC 405 nm at 0 minutes</w:t>
      </w:r>
    </w:p>
    <w:p w14:paraId="2B171DB1" w14:textId="2ED84D84" w:rsidR="00196D9C" w:rsidRDefault="00196D9C" w:rsidP="00381B5C">
      <w:pPr>
        <w:pStyle w:val="11Abcam"/>
        <w:contextualSpacing w:val="0"/>
        <w:rPr>
          <w:szCs w:val="20"/>
        </w:rPr>
      </w:pPr>
      <w:r>
        <w:rPr>
          <w:szCs w:val="20"/>
        </w:rPr>
        <w:t>OD</w:t>
      </w:r>
      <w:r w:rsidRPr="00196D9C">
        <w:rPr>
          <w:szCs w:val="20"/>
          <w:vertAlign w:val="subscript"/>
        </w:rPr>
        <w:t>20</w:t>
      </w:r>
      <w:r>
        <w:rPr>
          <w:szCs w:val="20"/>
        </w:rPr>
        <w:t xml:space="preserve"> = OD 405 nm at 20 minutes</w:t>
      </w:r>
    </w:p>
    <w:p w14:paraId="3B228C42" w14:textId="769806B8" w:rsidR="00196D9C" w:rsidRDefault="00196D9C" w:rsidP="00381B5C">
      <w:pPr>
        <w:pStyle w:val="11Abcam"/>
        <w:contextualSpacing w:val="0"/>
        <w:rPr>
          <w:szCs w:val="20"/>
        </w:rPr>
      </w:pPr>
      <w:proofErr w:type="spellStart"/>
      <w:r>
        <w:rPr>
          <w:szCs w:val="20"/>
        </w:rPr>
        <w:t>OD</w:t>
      </w:r>
      <w:r w:rsidRPr="00196D9C">
        <w:rPr>
          <w:szCs w:val="20"/>
          <w:vertAlign w:val="subscript"/>
        </w:rPr>
        <w:t>Calibrator</w:t>
      </w:r>
      <w:proofErr w:type="spellEnd"/>
      <w:r>
        <w:rPr>
          <w:szCs w:val="20"/>
          <w:vertAlign w:val="subscript"/>
        </w:rPr>
        <w:t xml:space="preserve"> </w:t>
      </w:r>
      <w:r>
        <w:rPr>
          <w:szCs w:val="20"/>
        </w:rPr>
        <w:t>= OD 405 nm of calibrator at 20 minutes</w:t>
      </w:r>
    </w:p>
    <w:p w14:paraId="029B7B7F" w14:textId="76C0C6CA" w:rsidR="00196D9C" w:rsidRDefault="00196D9C" w:rsidP="00381B5C">
      <w:pPr>
        <w:pStyle w:val="11Abcam"/>
        <w:contextualSpacing w:val="0"/>
        <w:rPr>
          <w:szCs w:val="20"/>
        </w:rPr>
      </w:pPr>
      <w:r>
        <w:rPr>
          <w:szCs w:val="20"/>
        </w:rPr>
        <w:t>OD</w:t>
      </w:r>
      <w:r>
        <w:rPr>
          <w:szCs w:val="20"/>
          <w:vertAlign w:val="subscript"/>
        </w:rPr>
        <w:t>H2O</w:t>
      </w:r>
      <w:r>
        <w:rPr>
          <w:szCs w:val="20"/>
        </w:rPr>
        <w:t xml:space="preserve"> = OD 405 nm of H</w:t>
      </w:r>
      <w:r>
        <w:rPr>
          <w:szCs w:val="20"/>
          <w:vertAlign w:val="subscript"/>
        </w:rPr>
        <w:t>2</w:t>
      </w:r>
      <w:r>
        <w:rPr>
          <w:szCs w:val="20"/>
        </w:rPr>
        <w:t>O at 20 minutes</w:t>
      </w:r>
    </w:p>
    <w:p w14:paraId="0621E13A" w14:textId="77777777" w:rsidR="00196D9C" w:rsidRPr="00196D9C" w:rsidRDefault="00196D9C" w:rsidP="00381B5C">
      <w:pPr>
        <w:pStyle w:val="11Abcam"/>
        <w:contextualSpacing w:val="0"/>
        <w:rPr>
          <w:szCs w:val="20"/>
        </w:rPr>
      </w:pPr>
    </w:p>
    <w:p w14:paraId="485D29FE" w14:textId="2F15D9C0" w:rsidR="00AC3CEB" w:rsidRDefault="00AC3CEB" w:rsidP="00AC3CEB">
      <w:pPr>
        <w:pStyle w:val="11Abcam"/>
      </w:pPr>
      <w:r w:rsidRPr="00AC3CEB">
        <w:rPr>
          <w:b/>
          <w:bCs/>
        </w:rPr>
        <w:t>Unit definition:</w:t>
      </w:r>
      <w:r>
        <w:t xml:space="preserve"> </w:t>
      </w:r>
      <w:r w:rsidR="00235AF3">
        <w:t xml:space="preserve">One unit of </w:t>
      </w:r>
      <w:r w:rsidR="00235AF3" w:rsidRPr="00235AF3">
        <w:rPr>
          <w:bCs/>
        </w:rPr>
        <w:t>β-Glucosidase</w:t>
      </w:r>
      <w:r w:rsidR="00235AF3">
        <w:rPr>
          <w:bCs/>
        </w:rPr>
        <w:t xml:space="preserve"> </w:t>
      </w:r>
      <w:r w:rsidR="00235AF3">
        <w:t>enzyme catalyzes the hydrolysis of 1 µmole of substrate per min at pH 7.0.</w:t>
      </w:r>
    </w:p>
    <w:p w14:paraId="63D60048" w14:textId="77777777" w:rsidR="00235AF3" w:rsidRDefault="00235AF3" w:rsidP="00AC3CEB">
      <w:pPr>
        <w:pStyle w:val="11Abcam"/>
      </w:pPr>
    </w:p>
    <w:p w14:paraId="49FFEAB5" w14:textId="77777777" w:rsidR="004A3C18" w:rsidRDefault="004A3C18" w:rsidP="004A3C18">
      <w:pPr>
        <w:pStyle w:val="11Abcam"/>
        <w:ind w:firstLine="153"/>
        <w:rPr>
          <w:rFonts w:ascii="Symbol" w:hAnsi="Symbol"/>
          <w:b/>
          <w:bCs/>
        </w:rPr>
      </w:pPr>
    </w:p>
    <w:p w14:paraId="05C5F99D" w14:textId="77777777" w:rsidR="004A3C18" w:rsidRDefault="004A3C18" w:rsidP="004A3C18">
      <w:pPr>
        <w:pStyle w:val="11Abcam"/>
        <w:ind w:firstLine="153"/>
        <w:rPr>
          <w:rFonts w:ascii="Symbol" w:hAnsi="Symbol"/>
          <w:b/>
          <w:bCs/>
        </w:rPr>
      </w:pPr>
    </w:p>
    <w:p w14:paraId="032E524D" w14:textId="1705A446" w:rsidR="004A3C18" w:rsidRPr="004A3C18" w:rsidRDefault="003C7221" w:rsidP="004A3C18">
      <w:pPr>
        <w:pStyle w:val="11Abcam"/>
      </w:pPr>
      <w:r>
        <w:br w:type="page"/>
      </w:r>
    </w:p>
    <w:p w14:paraId="78253042" w14:textId="77777777" w:rsidR="00B86D77" w:rsidRPr="00291DE0" w:rsidRDefault="00E44FA4" w:rsidP="00E6542D">
      <w:pPr>
        <w:pStyle w:val="1Abcamheading"/>
        <w:numPr>
          <w:ilvl w:val="0"/>
          <w:numId w:val="35"/>
        </w:numPr>
      </w:pPr>
      <w:bookmarkStart w:id="31" w:name="_Toc37763431"/>
      <w:r w:rsidRPr="00291DE0">
        <w:lastRenderedPageBreak/>
        <w:t xml:space="preserve">Typical </w:t>
      </w:r>
      <w:r w:rsidR="00B86D77" w:rsidRPr="00291DE0">
        <w:t>Data</w:t>
      </w:r>
      <w:bookmarkEnd w:id="31"/>
    </w:p>
    <w:p w14:paraId="45B9433F" w14:textId="77777777" w:rsidR="005B1DAB"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p w14:paraId="6F55A339" w14:textId="77777777" w:rsidR="002036FC" w:rsidRPr="00291DE0" w:rsidRDefault="002036FC" w:rsidP="00D530F3">
      <w:pPr>
        <w:spacing w:before="60" w:after="60"/>
        <w:rPr>
          <w:lang w:val="en-GB"/>
        </w:rPr>
      </w:pPr>
    </w:p>
    <w:p w14:paraId="4363ABA8" w14:textId="657F8075" w:rsidR="002036FC" w:rsidRDefault="004D7082" w:rsidP="002036FC">
      <w:pPr>
        <w:spacing w:before="60" w:after="0" w:line="276" w:lineRule="auto"/>
        <w:jc w:val="center"/>
        <w:rPr>
          <w:noProof/>
        </w:rPr>
      </w:pPr>
      <w:r>
        <w:rPr>
          <w:noProof/>
        </w:rPr>
        <w:drawing>
          <wp:inline distT="0" distB="0" distL="0" distR="0" wp14:anchorId="4A4C557B" wp14:editId="2938075F">
            <wp:extent cx="4233545" cy="2959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3545" cy="2959735"/>
                    </a:xfrm>
                    <a:prstGeom prst="rect">
                      <a:avLst/>
                    </a:prstGeom>
                    <a:noFill/>
                    <a:ln>
                      <a:noFill/>
                    </a:ln>
                  </pic:spPr>
                </pic:pic>
              </a:graphicData>
            </a:graphic>
          </wp:inline>
        </w:drawing>
      </w:r>
    </w:p>
    <w:p w14:paraId="61BD1FE0" w14:textId="77777777" w:rsidR="00B80872" w:rsidRDefault="00B80872" w:rsidP="00E8117D">
      <w:pPr>
        <w:pStyle w:val="1AbcamImageLegend"/>
        <w:rPr>
          <w:b/>
        </w:rPr>
      </w:pPr>
    </w:p>
    <w:p w14:paraId="41752AEA" w14:textId="4D1AA1AB" w:rsidR="00614307" w:rsidRDefault="005B1DAB" w:rsidP="004A3C18">
      <w:pPr>
        <w:pStyle w:val="1AbcamImageLegend"/>
      </w:pPr>
      <w:r w:rsidRPr="006621EC">
        <w:rPr>
          <w:b/>
        </w:rPr>
        <w:t>Figure 1</w:t>
      </w:r>
      <w:r w:rsidRPr="005B1DAB">
        <w:t xml:space="preserve">. Example of </w:t>
      </w:r>
      <w:r w:rsidR="00147D4E">
        <w:t>b</w:t>
      </w:r>
      <w:r w:rsidR="00D7656E">
        <w:t xml:space="preserve">eta-Glucosidase </w:t>
      </w:r>
      <w:r w:rsidR="004D7082">
        <w:t>standard curve</w:t>
      </w:r>
      <w:r w:rsidR="00761794">
        <w:t>.</w:t>
      </w:r>
    </w:p>
    <w:p w14:paraId="4A901889" w14:textId="0293DEE5" w:rsidR="004D7082" w:rsidRDefault="004D7082" w:rsidP="004A3C18">
      <w:pPr>
        <w:pStyle w:val="1AbcamImageLegend"/>
        <w:rPr>
          <w:rFonts w:cs="Arial"/>
          <w:lang w:val="en-AU"/>
        </w:rPr>
      </w:pPr>
      <w:r>
        <w:lastRenderedPageBreak/>
        <w:drawing>
          <wp:inline distT="0" distB="0" distL="0" distR="0" wp14:anchorId="6F24E178" wp14:editId="27BEBBAE">
            <wp:extent cx="4398010" cy="28403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8010" cy="2840355"/>
                    </a:xfrm>
                    <a:prstGeom prst="rect">
                      <a:avLst/>
                    </a:prstGeom>
                    <a:noFill/>
                    <a:ln>
                      <a:noFill/>
                    </a:ln>
                  </pic:spPr>
                </pic:pic>
              </a:graphicData>
            </a:graphic>
          </wp:inline>
        </w:drawing>
      </w:r>
    </w:p>
    <w:p w14:paraId="5F2942AB" w14:textId="5A87F8D0" w:rsidR="00626F16" w:rsidRPr="004A3C18" w:rsidRDefault="004D7082" w:rsidP="004A3C18">
      <w:pPr>
        <w:pStyle w:val="1AbcamImageLegend"/>
      </w:pPr>
      <w:r w:rsidRPr="004D7082">
        <w:rPr>
          <w:rFonts w:cs="Arial"/>
          <w:b/>
          <w:bCs/>
          <w:lang w:val="en-AU"/>
        </w:rPr>
        <w:t>Figure 2</w:t>
      </w:r>
      <w:r>
        <w:rPr>
          <w:rFonts w:cs="Arial"/>
          <w:lang w:val="en-AU"/>
        </w:rPr>
        <w:t xml:space="preserve">. </w:t>
      </w:r>
      <w:r w:rsidRPr="005B1DAB">
        <w:t xml:space="preserve">Example of </w:t>
      </w:r>
      <w:r w:rsidR="00147D4E">
        <w:t>b</w:t>
      </w:r>
      <w:r>
        <w:t xml:space="preserve">eta-Glucosidase </w:t>
      </w:r>
      <w:r w:rsidR="00147D4E">
        <w:t>reaction progress curves.</w:t>
      </w:r>
      <w:r w:rsidR="00E351A1" w:rsidRPr="00291DE0">
        <w:rPr>
          <w:rFonts w:cs="Arial"/>
          <w:lang w:val="en-AU"/>
        </w:rPr>
        <w:br w:type="page"/>
      </w:r>
    </w:p>
    <w:p w14:paraId="4CEF84E5" w14:textId="77777777" w:rsidR="00A64FDB" w:rsidRDefault="00FE4E16" w:rsidP="00E6542D">
      <w:pPr>
        <w:pStyle w:val="1Abcamheading"/>
        <w:numPr>
          <w:ilvl w:val="0"/>
          <w:numId w:val="35"/>
        </w:numPr>
        <w:spacing w:before="0" w:after="0"/>
      </w:pPr>
      <w:bookmarkStart w:id="32" w:name="_Toc482275732"/>
      <w:bookmarkStart w:id="33" w:name="_Toc37763432"/>
      <w:r w:rsidRPr="00291DE0">
        <w:lastRenderedPageBreak/>
        <w:t>Notes</w:t>
      </w:r>
      <w:bookmarkEnd w:id="32"/>
      <w:bookmarkEnd w:id="33"/>
    </w:p>
    <w:p w14:paraId="1BCA18D0" w14:textId="77777777" w:rsidR="004C22CE" w:rsidRDefault="004C22CE" w:rsidP="00324B3B">
      <w:pPr>
        <w:spacing w:before="0" w:after="0"/>
      </w:pPr>
    </w:p>
    <w:p w14:paraId="3326B250" w14:textId="77777777" w:rsidR="004C22CE" w:rsidRDefault="004C22CE" w:rsidP="00324B3B">
      <w:pPr>
        <w:spacing w:before="0" w:after="0"/>
      </w:pPr>
    </w:p>
    <w:p w14:paraId="6E937D3A" w14:textId="77777777" w:rsidR="004C22CE" w:rsidRDefault="004C22CE" w:rsidP="00324B3B">
      <w:pPr>
        <w:spacing w:before="0" w:after="0"/>
      </w:pPr>
    </w:p>
    <w:p w14:paraId="2B3815EE" w14:textId="77777777" w:rsidR="004C22CE" w:rsidRDefault="004C22CE" w:rsidP="00324B3B">
      <w:pPr>
        <w:spacing w:before="0" w:after="0"/>
      </w:pPr>
    </w:p>
    <w:p w14:paraId="21AE08AE" w14:textId="77777777" w:rsidR="004C22CE" w:rsidRDefault="004C22CE" w:rsidP="00324B3B">
      <w:pPr>
        <w:spacing w:before="0" w:after="0"/>
      </w:pPr>
    </w:p>
    <w:p w14:paraId="2C8FBE0C" w14:textId="77777777" w:rsidR="004C22CE" w:rsidRDefault="004C22CE" w:rsidP="00324B3B">
      <w:pPr>
        <w:spacing w:before="0" w:after="0"/>
      </w:pPr>
    </w:p>
    <w:p w14:paraId="217AAD1A" w14:textId="77777777" w:rsidR="004C22CE" w:rsidRDefault="004C22CE" w:rsidP="00324B3B">
      <w:pPr>
        <w:spacing w:before="0" w:after="0"/>
      </w:pPr>
    </w:p>
    <w:p w14:paraId="7A4F70A5" w14:textId="77777777" w:rsidR="004C22CE" w:rsidRDefault="004C22CE" w:rsidP="00324B3B">
      <w:pPr>
        <w:spacing w:before="0" w:after="0"/>
      </w:pPr>
    </w:p>
    <w:p w14:paraId="54A15E9B" w14:textId="77777777" w:rsidR="004C22CE" w:rsidRDefault="004C22CE" w:rsidP="00324B3B">
      <w:pPr>
        <w:spacing w:before="0" w:after="0"/>
      </w:pPr>
    </w:p>
    <w:p w14:paraId="4DB7331B" w14:textId="77777777" w:rsidR="004C22CE" w:rsidRDefault="004C22CE" w:rsidP="00324B3B">
      <w:pPr>
        <w:spacing w:before="0" w:after="0"/>
      </w:pPr>
    </w:p>
    <w:p w14:paraId="083061A3" w14:textId="77777777" w:rsidR="004C22CE" w:rsidRDefault="004C22CE" w:rsidP="00324B3B">
      <w:pPr>
        <w:spacing w:before="0" w:after="0"/>
      </w:pPr>
    </w:p>
    <w:p w14:paraId="431E60FD" w14:textId="77777777" w:rsidR="004C22CE" w:rsidRDefault="004C22CE" w:rsidP="00324B3B">
      <w:pPr>
        <w:spacing w:before="0" w:after="0"/>
      </w:pPr>
    </w:p>
    <w:p w14:paraId="7F7B9B47" w14:textId="77777777" w:rsidR="004C22CE" w:rsidRDefault="004C22CE" w:rsidP="00324B3B">
      <w:pPr>
        <w:spacing w:before="0" w:after="0"/>
      </w:pPr>
    </w:p>
    <w:p w14:paraId="4400FD09" w14:textId="77777777" w:rsidR="004C22CE" w:rsidRDefault="004C22CE" w:rsidP="00324B3B">
      <w:pPr>
        <w:spacing w:before="0" w:after="0"/>
      </w:pPr>
    </w:p>
    <w:p w14:paraId="74F8210D" w14:textId="77777777" w:rsidR="004C22CE" w:rsidRDefault="004C22CE" w:rsidP="00324B3B">
      <w:pPr>
        <w:spacing w:before="0" w:after="0"/>
      </w:pPr>
    </w:p>
    <w:p w14:paraId="6E18E74E" w14:textId="77777777" w:rsidR="004C22CE" w:rsidRDefault="004C22CE" w:rsidP="00324B3B">
      <w:pPr>
        <w:spacing w:before="0" w:after="0"/>
      </w:pPr>
    </w:p>
    <w:p w14:paraId="4C6E97A4" w14:textId="77777777" w:rsidR="004C22CE" w:rsidRDefault="004C22CE" w:rsidP="00324B3B">
      <w:pPr>
        <w:spacing w:before="0" w:after="0"/>
      </w:pPr>
    </w:p>
    <w:p w14:paraId="49BC559B" w14:textId="77777777" w:rsidR="004C22CE" w:rsidRDefault="004C22CE" w:rsidP="00324B3B">
      <w:pPr>
        <w:spacing w:before="0" w:after="0"/>
      </w:pPr>
    </w:p>
    <w:p w14:paraId="592CEBC8" w14:textId="77777777" w:rsidR="004C22CE" w:rsidRDefault="004C22CE" w:rsidP="00324B3B">
      <w:pPr>
        <w:spacing w:before="0" w:after="0"/>
      </w:pPr>
    </w:p>
    <w:p w14:paraId="2B5E34A5" w14:textId="77777777" w:rsidR="004C22CE" w:rsidRDefault="004C22CE" w:rsidP="00324B3B">
      <w:pPr>
        <w:spacing w:before="0" w:after="0"/>
      </w:pPr>
    </w:p>
    <w:p w14:paraId="58166160" w14:textId="77777777" w:rsidR="004C22CE" w:rsidRDefault="004C22CE" w:rsidP="00324B3B">
      <w:pPr>
        <w:spacing w:before="0" w:after="0"/>
      </w:pPr>
    </w:p>
    <w:p w14:paraId="6DA28BFE" w14:textId="77777777" w:rsidR="004C22CE" w:rsidRDefault="004C22CE" w:rsidP="00324B3B">
      <w:pPr>
        <w:spacing w:before="0" w:after="0"/>
      </w:pPr>
    </w:p>
    <w:p w14:paraId="0FE1939A" w14:textId="77777777" w:rsidR="004C22CE" w:rsidRDefault="004C22CE" w:rsidP="00324B3B">
      <w:pPr>
        <w:spacing w:before="0" w:after="0"/>
      </w:pPr>
    </w:p>
    <w:p w14:paraId="5BE82607" w14:textId="77777777" w:rsidR="004C22CE" w:rsidRDefault="004C22CE" w:rsidP="00324B3B">
      <w:pPr>
        <w:spacing w:before="0" w:after="0"/>
      </w:pPr>
    </w:p>
    <w:p w14:paraId="7407C563" w14:textId="3BAF141D" w:rsidR="00FA2149" w:rsidRDefault="00FA2149" w:rsidP="00324B3B">
      <w:pPr>
        <w:spacing w:before="0" w:after="0"/>
      </w:pPr>
    </w:p>
    <w:p w14:paraId="54E7E3C1" w14:textId="03EFA462" w:rsidR="0079206C" w:rsidRPr="00DB67CF" w:rsidRDefault="00A64FDB" w:rsidP="00324B3B">
      <w:pPr>
        <w:spacing w:before="0" w:after="0"/>
        <w:sectPr w:rsidR="0079206C" w:rsidRPr="00DB67CF" w:rsidSect="00E74DC4">
          <w:footerReference w:type="default" r:id="rId18"/>
          <w:footerReference w:type="first" r:id="rId19"/>
          <w:pgSz w:w="8400" w:h="11900"/>
          <w:pgMar w:top="737" w:right="737" w:bottom="737" w:left="737" w:header="0" w:footer="0" w:gutter="0"/>
          <w:pgNumType w:start="1"/>
          <w:cols w:space="708"/>
          <w:docGrid w:linePitch="272"/>
        </w:sectPr>
      </w:pPr>
      <w:r>
        <w:br w:type="page"/>
      </w:r>
    </w:p>
    <w:p w14:paraId="5F194AF6" w14:textId="77777777" w:rsidR="002A066A" w:rsidRPr="00291DE0" w:rsidRDefault="002A066A" w:rsidP="002A066A">
      <w:pPr>
        <w:keepNext/>
        <w:keepLines/>
        <w:suppressAutoHyphens/>
        <w:ind w:left="397" w:hanging="397"/>
        <w:outlineLvl w:val="0"/>
        <w:rPr>
          <w:rFonts w:eastAsia="Times New Roman"/>
          <w:b/>
          <w:bCs/>
          <w:sz w:val="24"/>
          <w:szCs w:val="28"/>
        </w:rPr>
      </w:pPr>
      <w:bookmarkStart w:id="34" w:name="_Toc453674396"/>
      <w:bookmarkStart w:id="35" w:name="_Toc482275733"/>
      <w:bookmarkStart w:id="36" w:name="_Toc500514847"/>
      <w:bookmarkStart w:id="37" w:name="_Toc501114459"/>
      <w:bookmarkStart w:id="38" w:name="_Toc502216479"/>
      <w:bookmarkStart w:id="39" w:name="_Toc502220229"/>
      <w:bookmarkStart w:id="40" w:name="_Toc503365141"/>
      <w:bookmarkStart w:id="41" w:name="_Toc503365197"/>
      <w:bookmarkStart w:id="42" w:name="_Toc37763433"/>
      <w:r w:rsidRPr="00291DE0">
        <w:rPr>
          <w:rFonts w:eastAsia="Times New Roman"/>
          <w:b/>
          <w:bCs/>
          <w:sz w:val="24"/>
          <w:szCs w:val="28"/>
        </w:rPr>
        <w:lastRenderedPageBreak/>
        <w:t>Technical Support</w:t>
      </w:r>
      <w:bookmarkEnd w:id="34"/>
      <w:bookmarkEnd w:id="35"/>
      <w:bookmarkEnd w:id="36"/>
      <w:bookmarkEnd w:id="37"/>
      <w:bookmarkEnd w:id="38"/>
      <w:bookmarkEnd w:id="39"/>
      <w:bookmarkEnd w:id="40"/>
      <w:bookmarkEnd w:id="41"/>
      <w:bookmarkEnd w:id="42"/>
    </w:p>
    <w:p w14:paraId="685DB620" w14:textId="77777777" w:rsidR="002A066A" w:rsidRPr="00291DE0" w:rsidRDefault="005A3646" w:rsidP="002A066A">
      <w:pPr>
        <w:spacing w:before="0" w:after="0"/>
        <w:rPr>
          <w:sz w:val="18"/>
          <w:szCs w:val="18"/>
        </w:rPr>
      </w:pPr>
      <w:r>
        <w:rPr>
          <w:sz w:val="18"/>
          <w:szCs w:val="18"/>
        </w:rPr>
        <w:t>Copyright © 20</w:t>
      </w:r>
      <w:r w:rsidR="00A06CBB">
        <w:rPr>
          <w:sz w:val="18"/>
          <w:szCs w:val="18"/>
        </w:rPr>
        <w:t>20</w:t>
      </w:r>
      <w:r w:rsidR="002A066A" w:rsidRPr="00291DE0">
        <w:rPr>
          <w:sz w:val="18"/>
          <w:szCs w:val="18"/>
        </w:rPr>
        <w:t xml:space="preserve"> Abcam, All Rights Reserved.  The Abcam logo is a registered trademark. All information / detail is correct at time of going to print.</w:t>
      </w:r>
    </w:p>
    <w:p w14:paraId="6805E2B7" w14:textId="2CD7AA30" w:rsidR="00DC1372" w:rsidRDefault="006B10DF" w:rsidP="006B10DF">
      <w:pPr>
        <w:rPr>
          <w:b/>
        </w:rPr>
      </w:pPr>
      <w:r>
        <w:rPr>
          <w:b/>
        </w:rPr>
        <w:t>For all technical or commercial enquiries please go to:</w:t>
      </w:r>
    </w:p>
    <w:p w14:paraId="68A8AB8E" w14:textId="325C4611" w:rsidR="006B10DF" w:rsidRPr="006B10DF" w:rsidRDefault="006B10DF" w:rsidP="006B10DF">
      <w:pPr>
        <w:rPr>
          <w:rStyle w:val="Hyperlink"/>
          <w:bCs/>
        </w:rPr>
      </w:pPr>
      <w:r>
        <w:rPr>
          <w:bCs/>
        </w:rPr>
        <w:fldChar w:fldCharType="begin"/>
      </w:r>
      <w:r>
        <w:rPr>
          <w:bCs/>
        </w:rPr>
        <w:instrText xml:space="preserve"> HYPERLINK "https://www.abcam.com/index.html?pageconfig=distributors&amp;viapagetrap=contactus" </w:instrText>
      </w:r>
      <w:r>
        <w:rPr>
          <w:bCs/>
        </w:rPr>
        <w:fldChar w:fldCharType="separate"/>
      </w:r>
      <w:r w:rsidRPr="006B10DF">
        <w:rPr>
          <w:rStyle w:val="Hyperlink"/>
          <w:bCs/>
        </w:rPr>
        <w:t>www.abcam.com/contactus</w:t>
      </w:r>
    </w:p>
    <w:p w14:paraId="44D78423" w14:textId="3939515E" w:rsidR="00043E6C" w:rsidRDefault="006B10DF" w:rsidP="00665893">
      <w:pPr>
        <w:rPr>
          <w:bCs/>
        </w:rPr>
      </w:pPr>
      <w:r>
        <w:rPr>
          <w:bCs/>
        </w:rPr>
        <w:fldChar w:fldCharType="end"/>
      </w:r>
      <w:hyperlink r:id="rId20" w:history="1">
        <w:r w:rsidRPr="002952D8">
          <w:rPr>
            <w:rStyle w:val="Hyperlink"/>
            <w:bCs/>
          </w:rPr>
          <w:t>www.abcam.cn/contactus</w:t>
        </w:r>
      </w:hyperlink>
      <w:r>
        <w:rPr>
          <w:bCs/>
        </w:rPr>
        <w:t xml:space="preserve"> (China)</w:t>
      </w:r>
    </w:p>
    <w:p w14:paraId="29543776" w14:textId="1158326D" w:rsidR="006B10DF" w:rsidRPr="00291DE0" w:rsidRDefault="00851307" w:rsidP="00665893">
      <w:hyperlink r:id="rId21" w:history="1">
        <w:r w:rsidR="006B10DF" w:rsidRPr="002952D8">
          <w:rPr>
            <w:rStyle w:val="Hyperlink"/>
            <w:bCs/>
          </w:rPr>
          <w:t>www.abcam.co.jp/contactus</w:t>
        </w:r>
      </w:hyperlink>
      <w:r w:rsidR="006B10DF">
        <w:rPr>
          <w:bCs/>
        </w:rPr>
        <w:t xml:space="preserve"> (Japan)</w:t>
      </w:r>
    </w:p>
    <w:sectPr w:rsidR="006B10DF" w:rsidRPr="00291DE0" w:rsidSect="00E74DC4">
      <w:footerReference w:type="default" r:id="rId22"/>
      <w:pgSz w:w="8400" w:h="11900"/>
      <w:pgMar w:top="737" w:right="737" w:bottom="737" w:left="73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0B55" w14:textId="77777777" w:rsidR="008A0255" w:rsidRDefault="008A0255" w:rsidP="00DC1372">
      <w:r>
        <w:separator/>
      </w:r>
    </w:p>
    <w:p w14:paraId="6890B017" w14:textId="77777777" w:rsidR="008A0255" w:rsidRDefault="008A0255"/>
    <w:p w14:paraId="11C05812" w14:textId="77777777" w:rsidR="008A0255" w:rsidRDefault="008A0255"/>
  </w:endnote>
  <w:endnote w:type="continuationSeparator" w:id="0">
    <w:p w14:paraId="53D49975" w14:textId="77777777" w:rsidR="008A0255" w:rsidRDefault="008A0255" w:rsidP="00DC1372">
      <w:r>
        <w:continuationSeparator/>
      </w:r>
    </w:p>
    <w:p w14:paraId="1E100402" w14:textId="77777777" w:rsidR="008A0255" w:rsidRDefault="008A0255"/>
    <w:p w14:paraId="677686C8" w14:textId="77777777" w:rsidR="008A0255" w:rsidRDefault="008A0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46AE" w14:textId="77777777" w:rsidR="008A0255" w:rsidRDefault="008A025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DAB36DC" w14:textId="77777777" w:rsidR="008A0255" w:rsidRDefault="008A0255" w:rsidP="00DC1372">
    <w:pPr>
      <w:pStyle w:val="Footer"/>
      <w:ind w:right="360"/>
    </w:pPr>
  </w:p>
  <w:p w14:paraId="6C6471DB" w14:textId="77777777" w:rsidR="008A0255" w:rsidRDefault="008A0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D911" w14:textId="77777777" w:rsidR="008A0255" w:rsidRPr="003B15FA" w:rsidRDefault="008A0255" w:rsidP="003B15FA">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6403" w14:textId="77777777" w:rsidR="008A0255" w:rsidRPr="00471BB0" w:rsidRDefault="008A0255" w:rsidP="00471BB0">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155A" w14:textId="65567239" w:rsidR="008A0255" w:rsidRPr="00C339C2" w:rsidRDefault="00C339C2" w:rsidP="00851307">
    <w:pPr>
      <w:pStyle w:val="Footer"/>
      <w:tabs>
        <w:tab w:val="clear" w:pos="4320"/>
        <w:tab w:val="clear" w:pos="8640"/>
        <w:tab w:val="center" w:pos="3463"/>
      </w:tabs>
      <w:rPr>
        <w:sz w:val="16"/>
        <w:szCs w:val="16"/>
      </w:rPr>
    </w:pPr>
    <w:r w:rsidRPr="00C339C2">
      <w:rPr>
        <w:sz w:val="16"/>
        <w:szCs w:val="16"/>
      </w:rPr>
      <w:t>ab2725</w:t>
    </w:r>
    <w:r w:rsidR="00D7656E">
      <w:rPr>
        <w:sz w:val="16"/>
        <w:szCs w:val="16"/>
      </w:rPr>
      <w:t>21</w:t>
    </w:r>
    <w:r>
      <w:rPr>
        <w:sz w:val="16"/>
        <w:szCs w:val="16"/>
      </w:rPr>
      <w:t xml:space="preserve"> </w:t>
    </w:r>
    <w:r w:rsidR="00D7656E" w:rsidRPr="00D7656E">
      <w:rPr>
        <w:sz w:val="16"/>
        <w:szCs w:val="16"/>
      </w:rPr>
      <w:t>beta-Glucosidase </w:t>
    </w:r>
    <w:r w:rsidRPr="00C339C2">
      <w:rPr>
        <w:sz w:val="16"/>
        <w:szCs w:val="16"/>
      </w:rPr>
      <w:t>Assay Kit</w:t>
    </w:r>
    <w:r w:rsidR="00851307">
      <w:rPr>
        <w:sz w:val="16"/>
        <w:szCs w:val="16"/>
      </w:rPr>
      <w:tab/>
    </w:r>
    <w:r w:rsidR="00851307">
      <w:rPr>
        <w:sz w:val="16"/>
        <w:szCs w:val="16"/>
      </w:rPr>
      <w:tab/>
    </w:r>
    <w:r w:rsidR="00851307">
      <w:rPr>
        <w:sz w:val="16"/>
        <w:szCs w:val="16"/>
      </w:rPr>
      <w:tab/>
    </w:r>
    <w:r w:rsidR="00851307">
      <w:rPr>
        <w:sz w:val="16"/>
        <w:szCs w:val="16"/>
      </w:rPr>
      <w:tab/>
    </w:r>
    <w:r w:rsidR="00851307">
      <w:rPr>
        <w:sz w:val="16"/>
        <w:szCs w:val="16"/>
      </w:rPr>
      <w:tab/>
      <w:t xml:space="preserve">               </w:t>
    </w:r>
    <w:r w:rsidR="00851307" w:rsidRPr="00851307">
      <w:rPr>
        <w:sz w:val="16"/>
        <w:szCs w:val="16"/>
      </w:rPr>
      <w:fldChar w:fldCharType="begin"/>
    </w:r>
    <w:r w:rsidR="00851307" w:rsidRPr="00851307">
      <w:rPr>
        <w:sz w:val="16"/>
        <w:szCs w:val="16"/>
      </w:rPr>
      <w:instrText xml:space="preserve"> PAGE   \* MERGEFORMAT </w:instrText>
    </w:r>
    <w:r w:rsidR="00851307" w:rsidRPr="00851307">
      <w:rPr>
        <w:sz w:val="16"/>
        <w:szCs w:val="16"/>
      </w:rPr>
      <w:fldChar w:fldCharType="separate"/>
    </w:r>
    <w:r w:rsidR="00851307" w:rsidRPr="00851307">
      <w:rPr>
        <w:noProof/>
        <w:sz w:val="16"/>
        <w:szCs w:val="16"/>
      </w:rPr>
      <w:t>1</w:t>
    </w:r>
    <w:r w:rsidR="00851307" w:rsidRPr="00851307">
      <w:rPr>
        <w:noProof/>
        <w:sz w:val="16"/>
        <w:szCs w:val="16"/>
      </w:rPr>
      <w:fldChar w:fldCharType="end"/>
    </w:r>
    <w:r w:rsidR="00851307">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38B5" w14:textId="77777777" w:rsidR="008A0255" w:rsidRPr="00BD36DA" w:rsidRDefault="008A0255" w:rsidP="00BD36DA">
    <w:pPr>
      <w:pStyle w:val="Footer"/>
    </w:pPr>
    <w:proofErr w:type="spellStart"/>
    <w:r w:rsidRPr="006D4E00">
      <w:rPr>
        <w:sz w:val="16"/>
        <w:szCs w:val="16"/>
      </w:rPr>
      <w:t>a</w:t>
    </w:r>
    <w:r>
      <w:rPr>
        <w:sz w:val="16"/>
        <w:szCs w:val="16"/>
      </w:rPr>
      <w:t>bXXXXXX</w:t>
    </w:r>
    <w:proofErr w:type="spellEnd"/>
    <w:r>
      <w:rPr>
        <w:sz w:val="16"/>
        <w:szCs w:val="16"/>
      </w:rPr>
      <w:t xml:space="preserve">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4A4F660C" w14:textId="77777777" w:rsidR="008A0255" w:rsidRPr="00471BB0" w:rsidRDefault="008A0255"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C15F" w14:textId="77777777" w:rsidR="008A0255" w:rsidRPr="003B15FA" w:rsidRDefault="008A0255" w:rsidP="00E74DC4">
    <w:pPr>
      <w:pStyle w:val="Footer"/>
    </w:pPr>
    <w:r w:rsidRPr="006D4E00">
      <w:rPr>
        <w:sz w:val="16"/>
        <w:szCs w:val="16"/>
      </w:rPr>
      <w:t>C</w:t>
    </w:r>
    <w:r>
      <w:rPr>
        <w:sz w:val="16"/>
        <w:szCs w:val="16"/>
      </w:rPr>
      <w:t>opyright © 2020</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CCED5" w14:textId="77777777" w:rsidR="008A0255" w:rsidRDefault="008A0255" w:rsidP="00DC1372">
      <w:r>
        <w:separator/>
      </w:r>
    </w:p>
    <w:p w14:paraId="35C7A389" w14:textId="77777777" w:rsidR="008A0255" w:rsidRDefault="008A0255"/>
    <w:p w14:paraId="46D996A9" w14:textId="77777777" w:rsidR="008A0255" w:rsidRDefault="008A0255"/>
  </w:footnote>
  <w:footnote w:type="continuationSeparator" w:id="0">
    <w:p w14:paraId="5195CA33" w14:textId="77777777" w:rsidR="008A0255" w:rsidRDefault="008A0255" w:rsidP="00DC1372">
      <w:r>
        <w:continuationSeparator/>
      </w:r>
    </w:p>
    <w:p w14:paraId="7A7AF15F" w14:textId="77777777" w:rsidR="008A0255" w:rsidRDefault="008A0255"/>
    <w:p w14:paraId="598ACA76" w14:textId="77777777" w:rsidR="008A0255" w:rsidRDefault="008A0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C297" w14:textId="77777777" w:rsidR="008A0255" w:rsidRDefault="00851307">
    <w:pPr>
      <w:pStyle w:val="Header"/>
    </w:pPr>
    <w:r>
      <w:rPr>
        <w:noProof/>
      </w:rPr>
      <w:pict w14:anchorId="2B13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4F0FD2E7" w14:textId="77777777" w:rsidR="008A0255" w:rsidRDefault="008A02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89F1" w14:textId="77777777" w:rsidR="008A0255" w:rsidRDefault="008A025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53017"/>
    <w:multiLevelType w:val="hybridMultilevel"/>
    <w:tmpl w:val="3B1E42FA"/>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D659D3"/>
    <w:multiLevelType w:val="multilevel"/>
    <w:tmpl w:val="6B22700C"/>
    <w:lvl w:ilvl="0">
      <w:start w:val="1"/>
      <w:numFmt w:val="decimal"/>
      <w:lvlText w:val="%1."/>
      <w:lvlJc w:val="left"/>
      <w:pPr>
        <w:ind w:left="720" w:hanging="360"/>
      </w:pPr>
      <w:rPr>
        <w:rFonts w:hint="default"/>
        <w:b/>
        <w:sz w:val="24"/>
        <w:szCs w:val="24"/>
      </w:rPr>
    </w:lvl>
    <w:lvl w:ilvl="1">
      <w:start w:val="1"/>
      <w:numFmt w:val="bullet"/>
      <w:lvlText w:val=""/>
      <w:lvlJc w:val="left"/>
      <w:pPr>
        <w:ind w:left="735" w:hanging="37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35490"/>
    <w:multiLevelType w:val="multilevel"/>
    <w:tmpl w:val="DF30C2F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064C9"/>
    <w:multiLevelType w:val="hybridMultilevel"/>
    <w:tmpl w:val="51185C62"/>
    <w:lvl w:ilvl="0" w:tplc="5EF67A3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157BE"/>
    <w:multiLevelType w:val="hybridMultilevel"/>
    <w:tmpl w:val="07B8993C"/>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5D0197"/>
    <w:multiLevelType w:val="hybridMultilevel"/>
    <w:tmpl w:val="6294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A4C24"/>
    <w:multiLevelType w:val="multilevel"/>
    <w:tmpl w:val="D50CDE18"/>
    <w:lvl w:ilvl="0">
      <w:start w:val="11"/>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356316C"/>
    <w:multiLevelType w:val="multilevel"/>
    <w:tmpl w:val="0409001F"/>
    <w:styleLink w:val="Style3"/>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1152B1"/>
    <w:multiLevelType w:val="hybridMultilevel"/>
    <w:tmpl w:val="683C60C6"/>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7345AF"/>
    <w:multiLevelType w:val="multilevel"/>
    <w:tmpl w:val="DF30C2F8"/>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E87044F"/>
    <w:multiLevelType w:val="hybridMultilevel"/>
    <w:tmpl w:val="011C0F2E"/>
    <w:lvl w:ilvl="0" w:tplc="7ED646F2">
      <w:start w:val="1"/>
      <w:numFmt w:val="decimal"/>
      <w:lvlText w:val="10.%1"/>
      <w:lvlJc w:val="left"/>
      <w:pPr>
        <w:ind w:left="717" w:hanging="360"/>
      </w:pPr>
      <w:rPr>
        <w:rFonts w:hint="default"/>
        <w:b/>
      </w:rPr>
    </w:lvl>
    <w:lvl w:ilvl="1" w:tplc="08090019" w:tentative="1">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9"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20DE7"/>
    <w:multiLevelType w:val="multilevel"/>
    <w:tmpl w:val="0409001F"/>
    <w:numStyleLink w:val="Style3"/>
  </w:abstractNum>
  <w:abstractNum w:abstractNumId="21" w15:restartNumberingAfterBreak="0">
    <w:nsid w:val="4BB40002"/>
    <w:multiLevelType w:val="multilevel"/>
    <w:tmpl w:val="E158B2DC"/>
    <w:lvl w:ilvl="0">
      <w:start w:val="1"/>
      <w:numFmt w:val="decimal"/>
      <w:lvlText w:val="%1."/>
      <w:lvlJc w:val="left"/>
      <w:pPr>
        <w:ind w:left="720" w:hanging="360"/>
      </w:pPr>
      <w:rPr>
        <w:rFonts w:hint="default"/>
      </w:rPr>
    </w:lvl>
    <w:lvl w:ilvl="1">
      <w:start w:val="1"/>
      <w:numFmt w:val="decimal"/>
      <w:isLgl/>
      <w:lvlText w:val="%1.%2"/>
      <w:lvlJc w:val="left"/>
      <w:pPr>
        <w:ind w:left="592" w:hanging="450"/>
      </w:pPr>
      <w:rPr>
        <w:rFonts w:hint="default"/>
        <w:b/>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4E874D5A"/>
    <w:multiLevelType w:val="multilevel"/>
    <w:tmpl w:val="286C1BE2"/>
    <w:lvl w:ilvl="0">
      <w:start w:val="10"/>
      <w:numFmt w:val="none"/>
      <w:lvlText w:val="11"/>
      <w:lvlJc w:val="left"/>
      <w:pPr>
        <w:ind w:left="375" w:hanging="375"/>
      </w:pPr>
      <w:rPr>
        <w:rFonts w:hint="default"/>
      </w:rPr>
    </w:lvl>
    <w:lvl w:ilvl="1">
      <w:start w:val="1"/>
      <w:numFmt w:val="decimal"/>
      <w:lvlText w:val="%21.1"/>
      <w:lvlJc w:val="left"/>
      <w:pPr>
        <w:ind w:left="1275" w:hanging="375"/>
      </w:pPr>
      <w:rPr>
        <w:rFonts w:ascii="Arial" w:eastAsia="Cambria" w:hAnsi="Arial" w:cs="Arial" w:hint="default"/>
      </w:rPr>
    </w:lvl>
    <w:lvl w:ilvl="2">
      <w:start w:val="1"/>
      <w:numFmt w:val="decimal"/>
      <w:lvlText w:val="%111.%2.%3"/>
      <w:lvlJc w:val="left"/>
      <w:pPr>
        <w:ind w:left="1996"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51FC01EF"/>
    <w:multiLevelType w:val="hybridMultilevel"/>
    <w:tmpl w:val="BAFE2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9F146F"/>
    <w:multiLevelType w:val="hybridMultilevel"/>
    <w:tmpl w:val="295C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46CD9"/>
    <w:multiLevelType w:val="hybridMultilevel"/>
    <w:tmpl w:val="17BAB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BF22E85"/>
    <w:multiLevelType w:val="multilevel"/>
    <w:tmpl w:val="B63C90F8"/>
    <w:lvl w:ilvl="0">
      <w:start w:val="1"/>
      <w:numFmt w:val="decimal"/>
      <w:lvlText w:val="%1."/>
      <w:lvlJc w:val="left"/>
      <w:pPr>
        <w:ind w:left="4329" w:hanging="360"/>
      </w:pPr>
      <w:rPr>
        <w:rFonts w:ascii="Century Gothic" w:hAnsi="Century Gothic" w:hint="default"/>
      </w:rPr>
    </w:lvl>
    <w:lvl w:ilvl="1">
      <w:start w:val="1"/>
      <w:numFmt w:val="decimal"/>
      <w:lvlText w:val="%1.%2"/>
      <w:lvlJc w:val="left"/>
      <w:pPr>
        <w:tabs>
          <w:tab w:val="num" w:pos="142"/>
        </w:tabs>
        <w:ind w:left="709" w:hanging="567"/>
      </w:pPr>
      <w:rPr>
        <w:rFonts w:hint="default"/>
        <w:b/>
      </w:rPr>
    </w:lvl>
    <w:lvl w:ilvl="2">
      <w:start w:val="1"/>
      <w:numFmt w:val="decimal"/>
      <w:lvlText w:val="%1.%2.%3"/>
      <w:lvlJc w:val="left"/>
      <w:pPr>
        <w:tabs>
          <w:tab w:val="num" w:pos="284"/>
        </w:tabs>
        <w:ind w:left="680" w:hanging="680"/>
      </w:pPr>
      <w:rPr>
        <w:rFonts w:hint="default"/>
      </w:rPr>
    </w:lvl>
    <w:lvl w:ilvl="3">
      <w:start w:val="1"/>
      <w:numFmt w:val="decimal"/>
      <w:lvlRestart w:val="0"/>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C00070"/>
    <w:multiLevelType w:val="hybridMultilevel"/>
    <w:tmpl w:val="E8164C4A"/>
    <w:lvl w:ilvl="0" w:tplc="DAEAD58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749C0"/>
    <w:multiLevelType w:val="multilevel"/>
    <w:tmpl w:val="D4E0344A"/>
    <w:lvl w:ilvl="0">
      <w:start w:val="13"/>
      <w:numFmt w:val="decimal"/>
      <w:lvlText w:val="%1."/>
      <w:lvlJc w:val="left"/>
      <w:pPr>
        <w:ind w:left="720" w:hanging="360"/>
      </w:pPr>
      <w:rPr>
        <w:rFonts w:hint="default"/>
      </w:rPr>
    </w:lvl>
    <w:lvl w:ilvl="1">
      <w:start w:val="1"/>
      <w:numFmt w:val="decimal"/>
      <w:lvlText w:val="14.%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800FDC"/>
    <w:multiLevelType w:val="hybridMultilevel"/>
    <w:tmpl w:val="306C276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51560F"/>
    <w:multiLevelType w:val="multilevel"/>
    <w:tmpl w:val="8C0645DC"/>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b/>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892668A"/>
    <w:multiLevelType w:val="hybridMultilevel"/>
    <w:tmpl w:val="1EB204DA"/>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89684D"/>
    <w:multiLevelType w:val="multilevel"/>
    <w:tmpl w:val="21AC2DF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6" w15:restartNumberingAfterBreak="0">
    <w:nsid w:val="6F3E7F7E"/>
    <w:multiLevelType w:val="multilevel"/>
    <w:tmpl w:val="7E5ABB4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4DE3BA7"/>
    <w:multiLevelType w:val="multilevel"/>
    <w:tmpl w:val="638C8F0A"/>
    <w:lvl w:ilvl="0">
      <w:start w:val="1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9" w15:restartNumberingAfterBreak="0">
    <w:nsid w:val="799D527B"/>
    <w:multiLevelType w:val="hybridMultilevel"/>
    <w:tmpl w:val="1DFA7458"/>
    <w:lvl w:ilvl="0" w:tplc="E7C4EAD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num>
  <w:num w:numId="3">
    <w:abstractNumId w:val="13"/>
  </w:num>
  <w:num w:numId="4">
    <w:abstractNumId w:val="2"/>
  </w:num>
  <w:num w:numId="5">
    <w:abstractNumId w:val="8"/>
  </w:num>
  <w:num w:numId="6">
    <w:abstractNumId w:val="35"/>
  </w:num>
  <w:num w:numId="7">
    <w:abstractNumId w:val="22"/>
  </w:num>
  <w:num w:numId="8">
    <w:abstractNumId w:val="28"/>
  </w:num>
  <w:num w:numId="9">
    <w:abstractNumId w:val="6"/>
  </w:num>
  <w:num w:numId="10">
    <w:abstractNumId w:val="40"/>
  </w:num>
  <w:num w:numId="11">
    <w:abstractNumId w:val="5"/>
  </w:num>
  <w:num w:numId="12">
    <w:abstractNumId w:val="0"/>
  </w:num>
  <w:num w:numId="13">
    <w:abstractNumId w:val="37"/>
  </w:num>
  <w:num w:numId="14">
    <w:abstractNumId w:val="27"/>
  </w:num>
  <w:num w:numId="15">
    <w:abstractNumId w:val="17"/>
  </w:num>
  <w:num w:numId="16">
    <w:abstractNumId w:val="29"/>
  </w:num>
  <w:num w:numId="17">
    <w:abstractNumId w:val="3"/>
  </w:num>
  <w:num w:numId="18">
    <w:abstractNumId w:val="10"/>
  </w:num>
  <w:num w:numId="19">
    <w:abstractNumId w:val="31"/>
  </w:num>
  <w:num w:numId="20">
    <w:abstractNumId w:val="24"/>
  </w:num>
  <w:num w:numId="21">
    <w:abstractNumId w:val="38"/>
  </w:num>
  <w:num w:numId="22">
    <w:abstractNumId w:val="4"/>
  </w:num>
  <w:num w:numId="23">
    <w:abstractNumId w:val="23"/>
  </w:num>
  <w:num w:numId="24">
    <w:abstractNumId w:val="12"/>
  </w:num>
  <w:num w:numId="25">
    <w:abstractNumId w:val="34"/>
  </w:num>
  <w:num w:numId="26">
    <w:abstractNumId w:val="18"/>
  </w:num>
  <w:num w:numId="27">
    <w:abstractNumId w:val="26"/>
  </w:num>
  <w:num w:numId="28">
    <w:abstractNumId w:val="36"/>
  </w:num>
  <w:num w:numId="29">
    <w:abstractNumId w:val="39"/>
  </w:num>
  <w:num w:numId="30">
    <w:abstractNumId w:val="25"/>
  </w:num>
  <w:num w:numId="31">
    <w:abstractNumId w:val="20"/>
    <w:lvlOverride w:ilvl="0">
      <w:lvl w:ilvl="0">
        <w:numFmt w:val="decimal"/>
        <w:lvlText w:val=""/>
        <w:lvlJc w:val="left"/>
      </w:lvl>
    </w:lvlOverride>
    <w:lvlOverride w:ilvl="1">
      <w:lvl w:ilvl="1">
        <w:start w:val="1"/>
        <w:numFmt w:val="decimal"/>
        <w:lvlText w:val="%1.%2."/>
        <w:lvlJc w:val="left"/>
        <w:pPr>
          <w:ind w:left="792" w:hanging="432"/>
        </w:pPr>
        <w:rPr>
          <w:b w:val="0"/>
        </w:rPr>
      </w:lvl>
    </w:lvlOverride>
  </w:num>
  <w:num w:numId="32">
    <w:abstractNumId w:val="1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2"/>
  </w:num>
  <w:num w:numId="36">
    <w:abstractNumId w:val="33"/>
  </w:num>
  <w:num w:numId="37">
    <w:abstractNumId w:val="15"/>
  </w:num>
  <w:num w:numId="38">
    <w:abstractNumId w:val="16"/>
  </w:num>
  <w:num w:numId="39">
    <w:abstractNumId w:val="7"/>
  </w:num>
  <w:num w:numId="40">
    <w:abstractNumId w:val="21"/>
  </w:num>
  <w:num w:numId="41">
    <w:abstractNumId w:val="11"/>
  </w:num>
  <w:num w:numId="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ED"/>
    <w:rsid w:val="00000557"/>
    <w:rsid w:val="00003299"/>
    <w:rsid w:val="00003549"/>
    <w:rsid w:val="000040B0"/>
    <w:rsid w:val="00007205"/>
    <w:rsid w:val="0001293B"/>
    <w:rsid w:val="00013984"/>
    <w:rsid w:val="00013D0A"/>
    <w:rsid w:val="00014148"/>
    <w:rsid w:val="000150C2"/>
    <w:rsid w:val="00015300"/>
    <w:rsid w:val="00015BD6"/>
    <w:rsid w:val="000305A2"/>
    <w:rsid w:val="00030925"/>
    <w:rsid w:val="00031B56"/>
    <w:rsid w:val="00034A6B"/>
    <w:rsid w:val="000363D2"/>
    <w:rsid w:val="00037143"/>
    <w:rsid w:val="00041ECF"/>
    <w:rsid w:val="00041F2C"/>
    <w:rsid w:val="00043E6C"/>
    <w:rsid w:val="00050318"/>
    <w:rsid w:val="000519C2"/>
    <w:rsid w:val="00052D70"/>
    <w:rsid w:val="0005435E"/>
    <w:rsid w:val="00064B37"/>
    <w:rsid w:val="00066CA9"/>
    <w:rsid w:val="0007224D"/>
    <w:rsid w:val="00073CA1"/>
    <w:rsid w:val="00080B45"/>
    <w:rsid w:val="00083B79"/>
    <w:rsid w:val="000869FE"/>
    <w:rsid w:val="000929D0"/>
    <w:rsid w:val="000A0983"/>
    <w:rsid w:val="000A3CDC"/>
    <w:rsid w:val="000B1D8C"/>
    <w:rsid w:val="000B2BB0"/>
    <w:rsid w:val="000B7DFC"/>
    <w:rsid w:val="000C28F6"/>
    <w:rsid w:val="000C46A1"/>
    <w:rsid w:val="000C48CE"/>
    <w:rsid w:val="000C5EE0"/>
    <w:rsid w:val="000D1074"/>
    <w:rsid w:val="000D33CA"/>
    <w:rsid w:val="000D5072"/>
    <w:rsid w:val="000D5A13"/>
    <w:rsid w:val="000D6DF0"/>
    <w:rsid w:val="000E1413"/>
    <w:rsid w:val="000E1B75"/>
    <w:rsid w:val="000E2D52"/>
    <w:rsid w:val="000E4F1B"/>
    <w:rsid w:val="000E4FA8"/>
    <w:rsid w:val="000E5F7B"/>
    <w:rsid w:val="000F0173"/>
    <w:rsid w:val="000F0FF6"/>
    <w:rsid w:val="000F3B2F"/>
    <w:rsid w:val="00100399"/>
    <w:rsid w:val="00103D25"/>
    <w:rsid w:val="001127C5"/>
    <w:rsid w:val="00116E1E"/>
    <w:rsid w:val="00116EC6"/>
    <w:rsid w:val="0012157F"/>
    <w:rsid w:val="00121C74"/>
    <w:rsid w:val="001326E7"/>
    <w:rsid w:val="00134B2D"/>
    <w:rsid w:val="001352EB"/>
    <w:rsid w:val="00140F8B"/>
    <w:rsid w:val="00142AA0"/>
    <w:rsid w:val="00144EF2"/>
    <w:rsid w:val="0014558D"/>
    <w:rsid w:val="00146054"/>
    <w:rsid w:val="00147073"/>
    <w:rsid w:val="00147D4E"/>
    <w:rsid w:val="00147FFC"/>
    <w:rsid w:val="00150EA0"/>
    <w:rsid w:val="00153926"/>
    <w:rsid w:val="00154C9F"/>
    <w:rsid w:val="001557EB"/>
    <w:rsid w:val="00155FD5"/>
    <w:rsid w:val="001560CB"/>
    <w:rsid w:val="00167776"/>
    <w:rsid w:val="00174FD5"/>
    <w:rsid w:val="00176175"/>
    <w:rsid w:val="00176388"/>
    <w:rsid w:val="00184948"/>
    <w:rsid w:val="0018707A"/>
    <w:rsid w:val="00187415"/>
    <w:rsid w:val="001879A9"/>
    <w:rsid w:val="00190FB8"/>
    <w:rsid w:val="0019282F"/>
    <w:rsid w:val="00193E78"/>
    <w:rsid w:val="00196D9C"/>
    <w:rsid w:val="001A5C0C"/>
    <w:rsid w:val="001B19BA"/>
    <w:rsid w:val="001B63D0"/>
    <w:rsid w:val="001C66BB"/>
    <w:rsid w:val="001C6CF5"/>
    <w:rsid w:val="001C766D"/>
    <w:rsid w:val="001C766F"/>
    <w:rsid w:val="001D3F8E"/>
    <w:rsid w:val="001E2365"/>
    <w:rsid w:val="001E2DD7"/>
    <w:rsid w:val="001F1243"/>
    <w:rsid w:val="001F46D1"/>
    <w:rsid w:val="001F5CEA"/>
    <w:rsid w:val="001F5EB4"/>
    <w:rsid w:val="00200426"/>
    <w:rsid w:val="002036FC"/>
    <w:rsid w:val="002041CC"/>
    <w:rsid w:val="00210859"/>
    <w:rsid w:val="0021509B"/>
    <w:rsid w:val="00220404"/>
    <w:rsid w:val="00221D7C"/>
    <w:rsid w:val="00224EE7"/>
    <w:rsid w:val="0022706D"/>
    <w:rsid w:val="00227B6B"/>
    <w:rsid w:val="00232132"/>
    <w:rsid w:val="00235699"/>
    <w:rsid w:val="00235AF3"/>
    <w:rsid w:val="0024036F"/>
    <w:rsid w:val="00241445"/>
    <w:rsid w:val="002459DE"/>
    <w:rsid w:val="00245F93"/>
    <w:rsid w:val="0025100D"/>
    <w:rsid w:val="00251D50"/>
    <w:rsid w:val="00255E25"/>
    <w:rsid w:val="00255FCF"/>
    <w:rsid w:val="002613EB"/>
    <w:rsid w:val="00265581"/>
    <w:rsid w:val="002662B8"/>
    <w:rsid w:val="0027194F"/>
    <w:rsid w:val="00272BAE"/>
    <w:rsid w:val="00277074"/>
    <w:rsid w:val="00284893"/>
    <w:rsid w:val="002866CE"/>
    <w:rsid w:val="00291DE0"/>
    <w:rsid w:val="00296B08"/>
    <w:rsid w:val="002A066A"/>
    <w:rsid w:val="002A5519"/>
    <w:rsid w:val="002A68FC"/>
    <w:rsid w:val="002A6C5E"/>
    <w:rsid w:val="002B30A5"/>
    <w:rsid w:val="002B3B47"/>
    <w:rsid w:val="002B49BC"/>
    <w:rsid w:val="002C34F0"/>
    <w:rsid w:val="002C3B5C"/>
    <w:rsid w:val="002D148A"/>
    <w:rsid w:val="002D18B4"/>
    <w:rsid w:val="002D28E9"/>
    <w:rsid w:val="002D5053"/>
    <w:rsid w:val="002D60F4"/>
    <w:rsid w:val="002E180A"/>
    <w:rsid w:val="002E19B0"/>
    <w:rsid w:val="002E7A53"/>
    <w:rsid w:val="002E7FCA"/>
    <w:rsid w:val="002F25B2"/>
    <w:rsid w:val="002F3432"/>
    <w:rsid w:val="002F4456"/>
    <w:rsid w:val="002F5AEA"/>
    <w:rsid w:val="002F7FDF"/>
    <w:rsid w:val="00300FEC"/>
    <w:rsid w:val="00302BD8"/>
    <w:rsid w:val="003047ED"/>
    <w:rsid w:val="0030602E"/>
    <w:rsid w:val="00306683"/>
    <w:rsid w:val="00307B55"/>
    <w:rsid w:val="00314076"/>
    <w:rsid w:val="00323507"/>
    <w:rsid w:val="00324B3B"/>
    <w:rsid w:val="00326697"/>
    <w:rsid w:val="00326CA0"/>
    <w:rsid w:val="00326E64"/>
    <w:rsid w:val="0032714C"/>
    <w:rsid w:val="00327A37"/>
    <w:rsid w:val="00331744"/>
    <w:rsid w:val="00331AEA"/>
    <w:rsid w:val="00333D5B"/>
    <w:rsid w:val="0033557A"/>
    <w:rsid w:val="003357EB"/>
    <w:rsid w:val="00336CC8"/>
    <w:rsid w:val="00344600"/>
    <w:rsid w:val="003475EB"/>
    <w:rsid w:val="003523B1"/>
    <w:rsid w:val="0035330C"/>
    <w:rsid w:val="00354811"/>
    <w:rsid w:val="003668DA"/>
    <w:rsid w:val="00367CD1"/>
    <w:rsid w:val="00370D84"/>
    <w:rsid w:val="003722E2"/>
    <w:rsid w:val="00373A28"/>
    <w:rsid w:val="003746DD"/>
    <w:rsid w:val="003755ED"/>
    <w:rsid w:val="00377CA1"/>
    <w:rsid w:val="00380C25"/>
    <w:rsid w:val="003810BB"/>
    <w:rsid w:val="00381B5C"/>
    <w:rsid w:val="003841F8"/>
    <w:rsid w:val="0038655C"/>
    <w:rsid w:val="0039318A"/>
    <w:rsid w:val="003975F2"/>
    <w:rsid w:val="003A2583"/>
    <w:rsid w:val="003A32D6"/>
    <w:rsid w:val="003A45B0"/>
    <w:rsid w:val="003A484F"/>
    <w:rsid w:val="003B15FA"/>
    <w:rsid w:val="003B7359"/>
    <w:rsid w:val="003C1A5B"/>
    <w:rsid w:val="003C4AD7"/>
    <w:rsid w:val="003C4D4E"/>
    <w:rsid w:val="003C6628"/>
    <w:rsid w:val="003C7221"/>
    <w:rsid w:val="003C77D9"/>
    <w:rsid w:val="003D23C1"/>
    <w:rsid w:val="003D2D0A"/>
    <w:rsid w:val="003D5044"/>
    <w:rsid w:val="003D7FB7"/>
    <w:rsid w:val="003E04F2"/>
    <w:rsid w:val="003E158A"/>
    <w:rsid w:val="003E2AFE"/>
    <w:rsid w:val="003E40A5"/>
    <w:rsid w:val="003E4ABF"/>
    <w:rsid w:val="003E5EDF"/>
    <w:rsid w:val="00401E8F"/>
    <w:rsid w:val="00406842"/>
    <w:rsid w:val="00414435"/>
    <w:rsid w:val="004179D4"/>
    <w:rsid w:val="004268AC"/>
    <w:rsid w:val="00432CA5"/>
    <w:rsid w:val="00437E2A"/>
    <w:rsid w:val="00441AFC"/>
    <w:rsid w:val="00442F62"/>
    <w:rsid w:val="00444B49"/>
    <w:rsid w:val="00445BED"/>
    <w:rsid w:val="00445F54"/>
    <w:rsid w:val="0045027E"/>
    <w:rsid w:val="00453F85"/>
    <w:rsid w:val="00456CCA"/>
    <w:rsid w:val="00457768"/>
    <w:rsid w:val="00461020"/>
    <w:rsid w:val="004630DE"/>
    <w:rsid w:val="00465A0D"/>
    <w:rsid w:val="00465ED2"/>
    <w:rsid w:val="00471BB0"/>
    <w:rsid w:val="00474C0D"/>
    <w:rsid w:val="004807B5"/>
    <w:rsid w:val="00483DC5"/>
    <w:rsid w:val="004901EF"/>
    <w:rsid w:val="00490566"/>
    <w:rsid w:val="00491AA0"/>
    <w:rsid w:val="004A3C18"/>
    <w:rsid w:val="004A5253"/>
    <w:rsid w:val="004A73BA"/>
    <w:rsid w:val="004B0F09"/>
    <w:rsid w:val="004B1F91"/>
    <w:rsid w:val="004B524A"/>
    <w:rsid w:val="004B5BA3"/>
    <w:rsid w:val="004B5C57"/>
    <w:rsid w:val="004B6559"/>
    <w:rsid w:val="004C0853"/>
    <w:rsid w:val="004C22CE"/>
    <w:rsid w:val="004C5B0A"/>
    <w:rsid w:val="004D4761"/>
    <w:rsid w:val="004D51A1"/>
    <w:rsid w:val="004D59E1"/>
    <w:rsid w:val="004D7082"/>
    <w:rsid w:val="004F2E85"/>
    <w:rsid w:val="00504A2A"/>
    <w:rsid w:val="00504A8E"/>
    <w:rsid w:val="00506111"/>
    <w:rsid w:val="00506714"/>
    <w:rsid w:val="005118AD"/>
    <w:rsid w:val="005203D1"/>
    <w:rsid w:val="005279DC"/>
    <w:rsid w:val="00530EFF"/>
    <w:rsid w:val="00534DBD"/>
    <w:rsid w:val="005420A6"/>
    <w:rsid w:val="005446C8"/>
    <w:rsid w:val="00554656"/>
    <w:rsid w:val="00557DE0"/>
    <w:rsid w:val="00563AB5"/>
    <w:rsid w:val="00566F29"/>
    <w:rsid w:val="005735F7"/>
    <w:rsid w:val="005745DF"/>
    <w:rsid w:val="005766CD"/>
    <w:rsid w:val="00585B35"/>
    <w:rsid w:val="00586CD9"/>
    <w:rsid w:val="005A1D44"/>
    <w:rsid w:val="005A3646"/>
    <w:rsid w:val="005A5F15"/>
    <w:rsid w:val="005B1DAB"/>
    <w:rsid w:val="005B2FE0"/>
    <w:rsid w:val="005B3A39"/>
    <w:rsid w:val="005B4251"/>
    <w:rsid w:val="005B6D30"/>
    <w:rsid w:val="005C255F"/>
    <w:rsid w:val="005C32B2"/>
    <w:rsid w:val="005C62C5"/>
    <w:rsid w:val="005D0B27"/>
    <w:rsid w:val="005D12CA"/>
    <w:rsid w:val="005D2F2E"/>
    <w:rsid w:val="005D5667"/>
    <w:rsid w:val="005E07C9"/>
    <w:rsid w:val="005E2003"/>
    <w:rsid w:val="005E22D9"/>
    <w:rsid w:val="005E3801"/>
    <w:rsid w:val="005E702E"/>
    <w:rsid w:val="005F26A7"/>
    <w:rsid w:val="005F308A"/>
    <w:rsid w:val="005F4732"/>
    <w:rsid w:val="005F4771"/>
    <w:rsid w:val="005F5998"/>
    <w:rsid w:val="005F7621"/>
    <w:rsid w:val="00600D02"/>
    <w:rsid w:val="006119B8"/>
    <w:rsid w:val="00611A6B"/>
    <w:rsid w:val="00614307"/>
    <w:rsid w:val="00626F16"/>
    <w:rsid w:val="00630231"/>
    <w:rsid w:val="00634597"/>
    <w:rsid w:val="0063648D"/>
    <w:rsid w:val="00641CE3"/>
    <w:rsid w:val="0064244D"/>
    <w:rsid w:val="00644BFA"/>
    <w:rsid w:val="00645C98"/>
    <w:rsid w:val="0064794E"/>
    <w:rsid w:val="00647BD4"/>
    <w:rsid w:val="00651847"/>
    <w:rsid w:val="00651AD0"/>
    <w:rsid w:val="00661167"/>
    <w:rsid w:val="006621EC"/>
    <w:rsid w:val="00662C90"/>
    <w:rsid w:val="00665893"/>
    <w:rsid w:val="0066798D"/>
    <w:rsid w:val="0067267D"/>
    <w:rsid w:val="0068107B"/>
    <w:rsid w:val="006824CC"/>
    <w:rsid w:val="0068355C"/>
    <w:rsid w:val="006839F1"/>
    <w:rsid w:val="00692528"/>
    <w:rsid w:val="00694CBE"/>
    <w:rsid w:val="00694D41"/>
    <w:rsid w:val="00695D9F"/>
    <w:rsid w:val="006B10DF"/>
    <w:rsid w:val="006B2DAA"/>
    <w:rsid w:val="006B40AF"/>
    <w:rsid w:val="006B5023"/>
    <w:rsid w:val="006C04BD"/>
    <w:rsid w:val="006C1D16"/>
    <w:rsid w:val="006C3DE5"/>
    <w:rsid w:val="006C5087"/>
    <w:rsid w:val="006C694F"/>
    <w:rsid w:val="006C6EF7"/>
    <w:rsid w:val="006D3376"/>
    <w:rsid w:val="006D4E00"/>
    <w:rsid w:val="006D6EA4"/>
    <w:rsid w:val="006E0C3D"/>
    <w:rsid w:val="006E10C5"/>
    <w:rsid w:val="006E3F69"/>
    <w:rsid w:val="006E3FEE"/>
    <w:rsid w:val="006E40FB"/>
    <w:rsid w:val="006F1AD2"/>
    <w:rsid w:val="006F549A"/>
    <w:rsid w:val="006F7751"/>
    <w:rsid w:val="007061C1"/>
    <w:rsid w:val="00707FEA"/>
    <w:rsid w:val="00710C51"/>
    <w:rsid w:val="00715507"/>
    <w:rsid w:val="007246FA"/>
    <w:rsid w:val="0073217A"/>
    <w:rsid w:val="0073267B"/>
    <w:rsid w:val="0073420E"/>
    <w:rsid w:val="0073461A"/>
    <w:rsid w:val="00736055"/>
    <w:rsid w:val="00736488"/>
    <w:rsid w:val="007459F8"/>
    <w:rsid w:val="00746382"/>
    <w:rsid w:val="007539DD"/>
    <w:rsid w:val="007604F6"/>
    <w:rsid w:val="00761794"/>
    <w:rsid w:val="007619E2"/>
    <w:rsid w:val="00764E64"/>
    <w:rsid w:val="00765499"/>
    <w:rsid w:val="0077401E"/>
    <w:rsid w:val="0077574F"/>
    <w:rsid w:val="00776848"/>
    <w:rsid w:val="0078070D"/>
    <w:rsid w:val="00790AA0"/>
    <w:rsid w:val="0079206C"/>
    <w:rsid w:val="007947E6"/>
    <w:rsid w:val="00796757"/>
    <w:rsid w:val="007A3B27"/>
    <w:rsid w:val="007A44ED"/>
    <w:rsid w:val="007A60F2"/>
    <w:rsid w:val="007A6CC4"/>
    <w:rsid w:val="007B1E09"/>
    <w:rsid w:val="007B2E66"/>
    <w:rsid w:val="007D0B79"/>
    <w:rsid w:val="007D1F39"/>
    <w:rsid w:val="007D2CED"/>
    <w:rsid w:val="007D53BE"/>
    <w:rsid w:val="007E35C7"/>
    <w:rsid w:val="007E7BFE"/>
    <w:rsid w:val="007E7F4A"/>
    <w:rsid w:val="007F072E"/>
    <w:rsid w:val="007F205D"/>
    <w:rsid w:val="007F3D85"/>
    <w:rsid w:val="007F6A82"/>
    <w:rsid w:val="00800999"/>
    <w:rsid w:val="00801FBD"/>
    <w:rsid w:val="00802100"/>
    <w:rsid w:val="008038F5"/>
    <w:rsid w:val="00814337"/>
    <w:rsid w:val="00822363"/>
    <w:rsid w:val="008321FF"/>
    <w:rsid w:val="00833E4C"/>
    <w:rsid w:val="00833EC4"/>
    <w:rsid w:val="008404AD"/>
    <w:rsid w:val="008410EB"/>
    <w:rsid w:val="00841FE8"/>
    <w:rsid w:val="00851307"/>
    <w:rsid w:val="0085261B"/>
    <w:rsid w:val="00852B8A"/>
    <w:rsid w:val="00854515"/>
    <w:rsid w:val="00855612"/>
    <w:rsid w:val="00867595"/>
    <w:rsid w:val="00873D8C"/>
    <w:rsid w:val="00876267"/>
    <w:rsid w:val="008776EF"/>
    <w:rsid w:val="0088153B"/>
    <w:rsid w:val="00884D73"/>
    <w:rsid w:val="008910DC"/>
    <w:rsid w:val="00891765"/>
    <w:rsid w:val="0089434A"/>
    <w:rsid w:val="0089613F"/>
    <w:rsid w:val="008A0255"/>
    <w:rsid w:val="008A2CF9"/>
    <w:rsid w:val="008A3118"/>
    <w:rsid w:val="008A3B72"/>
    <w:rsid w:val="008A4024"/>
    <w:rsid w:val="008A49D1"/>
    <w:rsid w:val="008B0EAF"/>
    <w:rsid w:val="008B2920"/>
    <w:rsid w:val="008B3A27"/>
    <w:rsid w:val="008C31C2"/>
    <w:rsid w:val="008C717A"/>
    <w:rsid w:val="008D11D8"/>
    <w:rsid w:val="008D155B"/>
    <w:rsid w:val="008D18D5"/>
    <w:rsid w:val="008D3BB0"/>
    <w:rsid w:val="008E0945"/>
    <w:rsid w:val="008E6843"/>
    <w:rsid w:val="008F0944"/>
    <w:rsid w:val="008F2D3C"/>
    <w:rsid w:val="00901E8F"/>
    <w:rsid w:val="00906C5B"/>
    <w:rsid w:val="00907199"/>
    <w:rsid w:val="00907AD5"/>
    <w:rsid w:val="00912C41"/>
    <w:rsid w:val="009149DC"/>
    <w:rsid w:val="00920CA4"/>
    <w:rsid w:val="00923BBB"/>
    <w:rsid w:val="00925043"/>
    <w:rsid w:val="009251DA"/>
    <w:rsid w:val="009256B6"/>
    <w:rsid w:val="009257A3"/>
    <w:rsid w:val="00927AD1"/>
    <w:rsid w:val="009353DC"/>
    <w:rsid w:val="009443C2"/>
    <w:rsid w:val="00946FA4"/>
    <w:rsid w:val="009474C2"/>
    <w:rsid w:val="00954E9A"/>
    <w:rsid w:val="009554BD"/>
    <w:rsid w:val="009567DC"/>
    <w:rsid w:val="009606E5"/>
    <w:rsid w:val="0096742B"/>
    <w:rsid w:val="00967CE2"/>
    <w:rsid w:val="00971D31"/>
    <w:rsid w:val="009731BA"/>
    <w:rsid w:val="00985489"/>
    <w:rsid w:val="00986E8C"/>
    <w:rsid w:val="00993C34"/>
    <w:rsid w:val="00996F32"/>
    <w:rsid w:val="009A3F6E"/>
    <w:rsid w:val="009B0695"/>
    <w:rsid w:val="009B07B4"/>
    <w:rsid w:val="009B788D"/>
    <w:rsid w:val="009D3134"/>
    <w:rsid w:val="009E03AA"/>
    <w:rsid w:val="009E0CA1"/>
    <w:rsid w:val="009E5F8F"/>
    <w:rsid w:val="009F0124"/>
    <w:rsid w:val="009F761A"/>
    <w:rsid w:val="00A06CBB"/>
    <w:rsid w:val="00A217EC"/>
    <w:rsid w:val="00A21CFB"/>
    <w:rsid w:val="00A23BC2"/>
    <w:rsid w:val="00A3388E"/>
    <w:rsid w:val="00A40486"/>
    <w:rsid w:val="00A40EA9"/>
    <w:rsid w:val="00A4487B"/>
    <w:rsid w:val="00A46BA0"/>
    <w:rsid w:val="00A47BA8"/>
    <w:rsid w:val="00A51680"/>
    <w:rsid w:val="00A52E14"/>
    <w:rsid w:val="00A5659C"/>
    <w:rsid w:val="00A57B1B"/>
    <w:rsid w:val="00A61EE0"/>
    <w:rsid w:val="00A63DDF"/>
    <w:rsid w:val="00A64DA7"/>
    <w:rsid w:val="00A64FDB"/>
    <w:rsid w:val="00A80F62"/>
    <w:rsid w:val="00A81E25"/>
    <w:rsid w:val="00A82987"/>
    <w:rsid w:val="00A82DF0"/>
    <w:rsid w:val="00A835F2"/>
    <w:rsid w:val="00A8701F"/>
    <w:rsid w:val="00A90FBD"/>
    <w:rsid w:val="00A93535"/>
    <w:rsid w:val="00A93842"/>
    <w:rsid w:val="00A94101"/>
    <w:rsid w:val="00A9666D"/>
    <w:rsid w:val="00A97EEB"/>
    <w:rsid w:val="00AA1F72"/>
    <w:rsid w:val="00AA2058"/>
    <w:rsid w:val="00AA2EB3"/>
    <w:rsid w:val="00AB132A"/>
    <w:rsid w:val="00AB2864"/>
    <w:rsid w:val="00AB31F2"/>
    <w:rsid w:val="00AB3B45"/>
    <w:rsid w:val="00AB4596"/>
    <w:rsid w:val="00AC3CEB"/>
    <w:rsid w:val="00AD020A"/>
    <w:rsid w:val="00AD3EA8"/>
    <w:rsid w:val="00AD5CFD"/>
    <w:rsid w:val="00AE018F"/>
    <w:rsid w:val="00AE09A7"/>
    <w:rsid w:val="00AE1697"/>
    <w:rsid w:val="00AE3B29"/>
    <w:rsid w:val="00AF050C"/>
    <w:rsid w:val="00AF0A48"/>
    <w:rsid w:val="00B014FD"/>
    <w:rsid w:val="00B01AD1"/>
    <w:rsid w:val="00B129DA"/>
    <w:rsid w:val="00B163BC"/>
    <w:rsid w:val="00B17480"/>
    <w:rsid w:val="00B21575"/>
    <w:rsid w:val="00B23310"/>
    <w:rsid w:val="00B3277F"/>
    <w:rsid w:val="00B3648C"/>
    <w:rsid w:val="00B37A8D"/>
    <w:rsid w:val="00B44F2B"/>
    <w:rsid w:val="00B46140"/>
    <w:rsid w:val="00B46171"/>
    <w:rsid w:val="00B52157"/>
    <w:rsid w:val="00B53E11"/>
    <w:rsid w:val="00B57099"/>
    <w:rsid w:val="00B635BF"/>
    <w:rsid w:val="00B65B1D"/>
    <w:rsid w:val="00B66C87"/>
    <w:rsid w:val="00B74805"/>
    <w:rsid w:val="00B75B02"/>
    <w:rsid w:val="00B80872"/>
    <w:rsid w:val="00B8255E"/>
    <w:rsid w:val="00B832C9"/>
    <w:rsid w:val="00B86D77"/>
    <w:rsid w:val="00B9305B"/>
    <w:rsid w:val="00B934AC"/>
    <w:rsid w:val="00B975E3"/>
    <w:rsid w:val="00BA46AE"/>
    <w:rsid w:val="00BA4F42"/>
    <w:rsid w:val="00BA57A6"/>
    <w:rsid w:val="00BB488D"/>
    <w:rsid w:val="00BC2BAE"/>
    <w:rsid w:val="00BD36DA"/>
    <w:rsid w:val="00BD62CA"/>
    <w:rsid w:val="00BE629C"/>
    <w:rsid w:val="00BF44CF"/>
    <w:rsid w:val="00BF5975"/>
    <w:rsid w:val="00BF65CB"/>
    <w:rsid w:val="00C013A7"/>
    <w:rsid w:val="00C12998"/>
    <w:rsid w:val="00C12EBE"/>
    <w:rsid w:val="00C15E1A"/>
    <w:rsid w:val="00C27169"/>
    <w:rsid w:val="00C339C2"/>
    <w:rsid w:val="00C354E0"/>
    <w:rsid w:val="00C35E97"/>
    <w:rsid w:val="00C42BF2"/>
    <w:rsid w:val="00C50DC9"/>
    <w:rsid w:val="00C52603"/>
    <w:rsid w:val="00C54955"/>
    <w:rsid w:val="00C56977"/>
    <w:rsid w:val="00C708D5"/>
    <w:rsid w:val="00C721EA"/>
    <w:rsid w:val="00C745F1"/>
    <w:rsid w:val="00C749E2"/>
    <w:rsid w:val="00C76D97"/>
    <w:rsid w:val="00C81938"/>
    <w:rsid w:val="00C83336"/>
    <w:rsid w:val="00C856A8"/>
    <w:rsid w:val="00C8635E"/>
    <w:rsid w:val="00C867B5"/>
    <w:rsid w:val="00C95F79"/>
    <w:rsid w:val="00CA1141"/>
    <w:rsid w:val="00CA633F"/>
    <w:rsid w:val="00CB0419"/>
    <w:rsid w:val="00CB1408"/>
    <w:rsid w:val="00CB23ED"/>
    <w:rsid w:val="00CB4F04"/>
    <w:rsid w:val="00CB526C"/>
    <w:rsid w:val="00CC7E31"/>
    <w:rsid w:val="00CD1357"/>
    <w:rsid w:val="00CD4AB4"/>
    <w:rsid w:val="00CE2C5E"/>
    <w:rsid w:val="00CE3D3F"/>
    <w:rsid w:val="00CF00A9"/>
    <w:rsid w:val="00CF6941"/>
    <w:rsid w:val="00CF7EA2"/>
    <w:rsid w:val="00D02A1C"/>
    <w:rsid w:val="00D05797"/>
    <w:rsid w:val="00D11EB4"/>
    <w:rsid w:val="00D124DC"/>
    <w:rsid w:val="00D13440"/>
    <w:rsid w:val="00D222DB"/>
    <w:rsid w:val="00D24CC5"/>
    <w:rsid w:val="00D265D2"/>
    <w:rsid w:val="00D332B4"/>
    <w:rsid w:val="00D36450"/>
    <w:rsid w:val="00D36AEE"/>
    <w:rsid w:val="00D404AC"/>
    <w:rsid w:val="00D40C01"/>
    <w:rsid w:val="00D44522"/>
    <w:rsid w:val="00D46B13"/>
    <w:rsid w:val="00D50132"/>
    <w:rsid w:val="00D5181F"/>
    <w:rsid w:val="00D530F3"/>
    <w:rsid w:val="00D53A55"/>
    <w:rsid w:val="00D53BF5"/>
    <w:rsid w:val="00D6099C"/>
    <w:rsid w:val="00D60A62"/>
    <w:rsid w:val="00D615D3"/>
    <w:rsid w:val="00D63C1B"/>
    <w:rsid w:val="00D6414F"/>
    <w:rsid w:val="00D645A6"/>
    <w:rsid w:val="00D66ACC"/>
    <w:rsid w:val="00D703FC"/>
    <w:rsid w:val="00D723CE"/>
    <w:rsid w:val="00D748B3"/>
    <w:rsid w:val="00D75937"/>
    <w:rsid w:val="00D7656E"/>
    <w:rsid w:val="00D76621"/>
    <w:rsid w:val="00D82397"/>
    <w:rsid w:val="00D87D7F"/>
    <w:rsid w:val="00D94682"/>
    <w:rsid w:val="00D96678"/>
    <w:rsid w:val="00DB39E6"/>
    <w:rsid w:val="00DB5AF9"/>
    <w:rsid w:val="00DB67CF"/>
    <w:rsid w:val="00DB6A17"/>
    <w:rsid w:val="00DB72B1"/>
    <w:rsid w:val="00DC1372"/>
    <w:rsid w:val="00DC1CC2"/>
    <w:rsid w:val="00DD0D79"/>
    <w:rsid w:val="00DE2F28"/>
    <w:rsid w:val="00DE3374"/>
    <w:rsid w:val="00DF0C98"/>
    <w:rsid w:val="00DF297D"/>
    <w:rsid w:val="00DF3BE7"/>
    <w:rsid w:val="00DF42A5"/>
    <w:rsid w:val="00DF5155"/>
    <w:rsid w:val="00DF66E3"/>
    <w:rsid w:val="00E057DE"/>
    <w:rsid w:val="00E07ADE"/>
    <w:rsid w:val="00E212C7"/>
    <w:rsid w:val="00E2291F"/>
    <w:rsid w:val="00E3169C"/>
    <w:rsid w:val="00E3178C"/>
    <w:rsid w:val="00E328B4"/>
    <w:rsid w:val="00E32E88"/>
    <w:rsid w:val="00E332B1"/>
    <w:rsid w:val="00E351A1"/>
    <w:rsid w:val="00E37443"/>
    <w:rsid w:val="00E4405E"/>
    <w:rsid w:val="00E44FA4"/>
    <w:rsid w:val="00E4613E"/>
    <w:rsid w:val="00E50D6C"/>
    <w:rsid w:val="00E515E2"/>
    <w:rsid w:val="00E54DEB"/>
    <w:rsid w:val="00E57B7C"/>
    <w:rsid w:val="00E625BC"/>
    <w:rsid w:val="00E6542D"/>
    <w:rsid w:val="00E6610C"/>
    <w:rsid w:val="00E665F9"/>
    <w:rsid w:val="00E7113C"/>
    <w:rsid w:val="00E72778"/>
    <w:rsid w:val="00E7402E"/>
    <w:rsid w:val="00E74DC4"/>
    <w:rsid w:val="00E75771"/>
    <w:rsid w:val="00E75F73"/>
    <w:rsid w:val="00E75FF5"/>
    <w:rsid w:val="00E80001"/>
    <w:rsid w:val="00E8117D"/>
    <w:rsid w:val="00E835FA"/>
    <w:rsid w:val="00E90BE0"/>
    <w:rsid w:val="00E91940"/>
    <w:rsid w:val="00E93F99"/>
    <w:rsid w:val="00E94675"/>
    <w:rsid w:val="00E94E0F"/>
    <w:rsid w:val="00E964E6"/>
    <w:rsid w:val="00E97B3E"/>
    <w:rsid w:val="00EA2102"/>
    <w:rsid w:val="00EA2F98"/>
    <w:rsid w:val="00EB1F2B"/>
    <w:rsid w:val="00EB29BD"/>
    <w:rsid w:val="00EC6A39"/>
    <w:rsid w:val="00ED1D04"/>
    <w:rsid w:val="00ED21B9"/>
    <w:rsid w:val="00ED2598"/>
    <w:rsid w:val="00ED25E9"/>
    <w:rsid w:val="00ED3286"/>
    <w:rsid w:val="00ED60A9"/>
    <w:rsid w:val="00ED78ED"/>
    <w:rsid w:val="00EE3AF6"/>
    <w:rsid w:val="00EE3D9C"/>
    <w:rsid w:val="00EE3FCD"/>
    <w:rsid w:val="00EF2DE9"/>
    <w:rsid w:val="00EF69A9"/>
    <w:rsid w:val="00F02113"/>
    <w:rsid w:val="00F05445"/>
    <w:rsid w:val="00F107B1"/>
    <w:rsid w:val="00F12EF0"/>
    <w:rsid w:val="00F132CD"/>
    <w:rsid w:val="00F13AD2"/>
    <w:rsid w:val="00F23F25"/>
    <w:rsid w:val="00F423F8"/>
    <w:rsid w:val="00F425EC"/>
    <w:rsid w:val="00F6044E"/>
    <w:rsid w:val="00F61C80"/>
    <w:rsid w:val="00F62783"/>
    <w:rsid w:val="00F64D70"/>
    <w:rsid w:val="00F7312E"/>
    <w:rsid w:val="00F766D1"/>
    <w:rsid w:val="00F85869"/>
    <w:rsid w:val="00F86E5D"/>
    <w:rsid w:val="00F963B9"/>
    <w:rsid w:val="00FA2149"/>
    <w:rsid w:val="00FA3B79"/>
    <w:rsid w:val="00FA676F"/>
    <w:rsid w:val="00FC17ED"/>
    <w:rsid w:val="00FC3AC9"/>
    <w:rsid w:val="00FC57DE"/>
    <w:rsid w:val="00FC64AA"/>
    <w:rsid w:val="00FD0574"/>
    <w:rsid w:val="00FD0ED8"/>
    <w:rsid w:val="00FD22CD"/>
    <w:rsid w:val="00FD382B"/>
    <w:rsid w:val="00FD7BED"/>
    <w:rsid w:val="00FE060F"/>
    <w:rsid w:val="00FE4E16"/>
    <w:rsid w:val="00FF0E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2FF73F20"/>
  <w15:docId w15:val="{DBE0BD55-AC58-4A75-AE08-64B22AB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6798D"/>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numbering" w:customStyle="1" w:styleId="Style3">
    <w:name w:val="Style3"/>
    <w:uiPriority w:val="99"/>
    <w:rsid w:val="00DF3BE7"/>
    <w:pPr>
      <w:numPr>
        <w:numId w:val="32"/>
      </w:numPr>
    </w:pPr>
  </w:style>
  <w:style w:type="character" w:styleId="UnresolvedMention">
    <w:name w:val="Unresolved Mention"/>
    <w:basedOn w:val="DefaultParagraphFont"/>
    <w:uiPriority w:val="99"/>
    <w:semiHidden/>
    <w:unhideWhenUsed/>
    <w:rsid w:val="00441AFC"/>
    <w:rPr>
      <w:color w:val="605E5C"/>
      <w:shd w:val="clear" w:color="auto" w:fill="E1DFDD"/>
    </w:rPr>
  </w:style>
  <w:style w:type="character" w:styleId="FollowedHyperlink">
    <w:name w:val="FollowedHyperlink"/>
    <w:basedOn w:val="DefaultParagraphFont"/>
    <w:semiHidden/>
    <w:unhideWhenUsed/>
    <w:rsid w:val="006B10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09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am.com/ab272518"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abcam.co.jp/contactu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abcam.cn/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abcam.co.jp/ab272518"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abcam.cn/ab272518" TargetMode="Externa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1A0F-9B92-4EB9-BC89-8087B6B4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Ahmadi</dc:creator>
  <cp:keywords/>
  <dc:description/>
  <cp:lastModifiedBy>Neil Broadway</cp:lastModifiedBy>
  <cp:revision>21</cp:revision>
  <cp:lastPrinted>2016-03-17T15:36:00Z</cp:lastPrinted>
  <dcterms:created xsi:type="dcterms:W3CDTF">2020-04-08T14:44:00Z</dcterms:created>
  <dcterms:modified xsi:type="dcterms:W3CDTF">2020-05-12T17:21:00Z</dcterms:modified>
</cp:coreProperties>
</file>