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D23E5" w14:textId="74F5D742" w:rsidR="00DC1372" w:rsidRPr="006E17B3" w:rsidRDefault="00014148" w:rsidP="00014148">
      <w:pPr>
        <w:rPr>
          <w:lang w:val="en-GB"/>
        </w:rPr>
      </w:pPr>
      <w:r>
        <w:t xml:space="preserve">Version </w:t>
      </w:r>
      <w:r w:rsidR="00173058">
        <w:t>1</w:t>
      </w:r>
      <w:r>
        <w:t xml:space="preserve"> Last updated </w:t>
      </w:r>
      <w:r>
        <w:fldChar w:fldCharType="begin"/>
      </w:r>
      <w:r>
        <w:instrText xml:space="preserve"> DATE  \@ "d MMMM yyyy"  \* MERGEFORMAT </w:instrText>
      </w:r>
      <w:r>
        <w:fldChar w:fldCharType="separate"/>
      </w:r>
      <w:r w:rsidR="001718A5">
        <w:rPr>
          <w:noProof/>
        </w:rPr>
        <w:t>1 June 2020</w:t>
      </w:r>
      <w:r>
        <w:fldChar w:fldCharType="end"/>
      </w:r>
    </w:p>
    <w:p w14:paraId="3326D658" w14:textId="77777777" w:rsidR="00D332B4" w:rsidRDefault="00D332B4" w:rsidP="00DC1372">
      <w:pPr>
        <w:rPr>
          <w:rFonts w:cs="Arial"/>
          <w:lang w:val="en-GB"/>
        </w:rPr>
      </w:pPr>
    </w:p>
    <w:p w14:paraId="73F9B2C0"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801148" w:rsidRPr="00801148" w14:paraId="1E4D56E0" w14:textId="77777777" w:rsidTr="009A5574">
        <w:trPr>
          <w:trHeight w:hRule="exact" w:val="4027"/>
        </w:trPr>
        <w:tc>
          <w:tcPr>
            <w:tcW w:w="6096" w:type="dxa"/>
            <w:vAlign w:val="center"/>
          </w:tcPr>
          <w:p w14:paraId="7BC00A31" w14:textId="7A8E1409" w:rsidR="006A60C9" w:rsidRDefault="00927B65" w:rsidP="00801148">
            <w:pPr>
              <w:spacing w:before="0" w:after="300"/>
              <w:contextualSpacing/>
              <w:rPr>
                <w:rFonts w:eastAsiaTheme="majorEastAsia" w:cs="Lao UI"/>
                <w:b/>
                <w:color w:val="000000" w:themeColor="text1"/>
                <w:spacing w:val="5"/>
                <w:kern w:val="28"/>
                <w:sz w:val="52"/>
                <w:szCs w:val="52"/>
              </w:rPr>
            </w:pPr>
            <w:bookmarkStart w:id="0" w:name="_Hlk39561136"/>
            <w:bookmarkStart w:id="1" w:name="_Hlk511400159"/>
            <w:r>
              <w:rPr>
                <w:rFonts w:eastAsiaTheme="majorEastAsia" w:cs="Lao UI"/>
                <w:b/>
                <w:color w:val="000000" w:themeColor="text1"/>
                <w:spacing w:val="5"/>
                <w:kern w:val="28"/>
                <w:sz w:val="52"/>
                <w:szCs w:val="52"/>
              </w:rPr>
              <w:t>ab273292</w:t>
            </w:r>
          </w:p>
          <w:p w14:paraId="567D41AC" w14:textId="3EF9E4BD" w:rsidR="00801148" w:rsidRPr="00801148" w:rsidRDefault="00511A95" w:rsidP="00801148">
            <w:pPr>
              <w:spacing w:before="0" w:after="300"/>
              <w:contextualSpacing/>
              <w:rPr>
                <w:rFonts w:eastAsiaTheme="majorEastAsia" w:cstheme="majorBidi"/>
                <w:color w:val="000000" w:themeColor="text1"/>
                <w:spacing w:val="5"/>
                <w:kern w:val="28"/>
                <w:sz w:val="52"/>
                <w:szCs w:val="52"/>
              </w:rPr>
            </w:pPr>
            <w:r w:rsidRPr="00511A95">
              <w:rPr>
                <w:rFonts w:eastAsiaTheme="majorEastAsia" w:cs="Lao UI"/>
                <w:b/>
                <w:color w:val="000000" w:themeColor="text1"/>
                <w:spacing w:val="5"/>
                <w:kern w:val="28"/>
                <w:sz w:val="52"/>
                <w:szCs w:val="52"/>
              </w:rPr>
              <w:t>Aminopeptidase N (APN/CD13) Activity Assay Kit (Fluorometric)</w:t>
            </w:r>
            <w:bookmarkEnd w:id="0"/>
          </w:p>
        </w:tc>
      </w:tr>
    </w:tbl>
    <w:bookmarkEnd w:id="1"/>
    <w:p w14:paraId="180A9EBA" w14:textId="6520CDB2" w:rsidR="00801148" w:rsidRPr="00801148" w:rsidRDefault="00801148" w:rsidP="00801148">
      <w:pPr>
        <w:spacing w:before="60" w:after="60"/>
        <w:rPr>
          <w:rFonts w:eastAsiaTheme="minorHAnsi" w:cstheme="minorBidi"/>
          <w:color w:val="000000"/>
          <w:sz w:val="24"/>
          <w:szCs w:val="20"/>
        </w:rPr>
      </w:pPr>
      <w:r w:rsidRPr="00801148">
        <w:rPr>
          <w:rFonts w:eastAsiaTheme="minorHAnsi" w:cstheme="minorBidi"/>
          <w:color w:val="000000"/>
          <w:szCs w:val="20"/>
        </w:rPr>
        <w:t xml:space="preserve">View Kit datasheet: </w:t>
      </w:r>
      <w:hyperlink r:id="rId8" w:history="1">
        <w:r w:rsidR="00277F10" w:rsidRPr="00A42683">
          <w:rPr>
            <w:rStyle w:val="Hyperlink"/>
            <w:rFonts w:eastAsiaTheme="minorHAnsi" w:cstheme="minorBidi"/>
            <w:sz w:val="24"/>
            <w:szCs w:val="20"/>
          </w:rPr>
          <w:t>https://www.abcam.com/</w:t>
        </w:r>
        <w:r w:rsidR="00927B65">
          <w:rPr>
            <w:rStyle w:val="Hyperlink"/>
            <w:rFonts w:eastAsiaTheme="minorHAnsi" w:cstheme="minorBidi"/>
            <w:sz w:val="24"/>
            <w:szCs w:val="20"/>
          </w:rPr>
          <w:t>ab273292</w:t>
        </w:r>
      </w:hyperlink>
      <w:r w:rsidRPr="00801148">
        <w:rPr>
          <w:rFonts w:eastAsiaTheme="minorHAnsi" w:cstheme="minorBidi"/>
          <w:color w:val="000000"/>
          <w:sz w:val="24"/>
          <w:szCs w:val="20"/>
        </w:rPr>
        <w:t xml:space="preserve">  </w:t>
      </w:r>
      <w:r w:rsidRPr="00801148">
        <w:rPr>
          <w:rFonts w:eastAsiaTheme="minorHAnsi" w:cstheme="minorBidi"/>
          <w:color w:val="000000"/>
          <w:sz w:val="24"/>
          <w:szCs w:val="20"/>
        </w:rPr>
        <w:br/>
      </w:r>
      <w:r w:rsidRPr="00801148">
        <w:rPr>
          <w:rFonts w:eastAsiaTheme="minorHAnsi" w:cstheme="minorBidi"/>
          <w:color w:val="000000"/>
          <w:sz w:val="16"/>
          <w:szCs w:val="16"/>
        </w:rPr>
        <w:t xml:space="preserve">(use </w:t>
      </w:r>
      <w:hyperlink r:id="rId9" w:history="1">
        <w:r w:rsidR="00277F10" w:rsidRPr="00A42683">
          <w:rPr>
            <w:rStyle w:val="Hyperlink"/>
            <w:rFonts w:eastAsiaTheme="minorHAnsi" w:cstheme="minorBidi"/>
            <w:sz w:val="16"/>
            <w:szCs w:val="16"/>
          </w:rPr>
          <w:t>https://www.abcam.cn/</w:t>
        </w:r>
        <w:r w:rsidR="00927B65">
          <w:rPr>
            <w:rStyle w:val="Hyperlink"/>
            <w:rFonts w:eastAsiaTheme="minorHAnsi" w:cstheme="minorBidi"/>
            <w:sz w:val="16"/>
            <w:szCs w:val="16"/>
          </w:rPr>
          <w:t>ab273292</w:t>
        </w:r>
      </w:hyperlink>
      <w:r w:rsidRPr="00801148">
        <w:rPr>
          <w:rFonts w:eastAsiaTheme="minorHAnsi" w:cstheme="minorBidi"/>
          <w:color w:val="000000"/>
          <w:sz w:val="16"/>
          <w:szCs w:val="16"/>
        </w:rPr>
        <w:t xml:space="preserve"> for china, or </w:t>
      </w:r>
      <w:hyperlink r:id="rId10" w:history="1">
        <w:r w:rsidR="00277F10" w:rsidRPr="00A42683">
          <w:rPr>
            <w:rStyle w:val="Hyperlink"/>
            <w:rFonts w:eastAsiaTheme="minorHAnsi" w:cstheme="minorBidi"/>
            <w:sz w:val="16"/>
            <w:szCs w:val="16"/>
          </w:rPr>
          <w:t>https://www.abcam.co.jp/</w:t>
        </w:r>
        <w:r w:rsidR="00927B65">
          <w:rPr>
            <w:rStyle w:val="Hyperlink"/>
            <w:rFonts w:eastAsiaTheme="minorHAnsi" w:cstheme="minorBidi"/>
            <w:sz w:val="16"/>
            <w:szCs w:val="16"/>
          </w:rPr>
          <w:t>ab273292</w:t>
        </w:r>
      </w:hyperlink>
      <w:r w:rsidRPr="00801148">
        <w:rPr>
          <w:rFonts w:eastAsiaTheme="minorHAnsi" w:cstheme="minorBidi"/>
          <w:color w:val="000000"/>
          <w:sz w:val="16"/>
          <w:szCs w:val="16"/>
        </w:rPr>
        <w:t xml:space="preserve"> for Japan)</w:t>
      </w:r>
      <w:r w:rsidRPr="00801148">
        <w:rPr>
          <w:rFonts w:eastAsiaTheme="minorHAnsi" w:cstheme="minorBidi"/>
          <w:color w:val="000000"/>
          <w:sz w:val="24"/>
          <w:szCs w:val="20"/>
        </w:rPr>
        <w:br/>
      </w:r>
    </w:p>
    <w:p w14:paraId="6A7806C1" w14:textId="77777777" w:rsidR="00801148" w:rsidRPr="00801148" w:rsidRDefault="00801148" w:rsidP="00801148">
      <w:pPr>
        <w:spacing w:before="60" w:after="60"/>
      </w:pPr>
    </w:p>
    <w:p w14:paraId="19A81B5E" w14:textId="612EE34A" w:rsidR="00801148" w:rsidRPr="00801148" w:rsidRDefault="00801148" w:rsidP="00801148">
      <w:pPr>
        <w:spacing w:before="60" w:after="60"/>
      </w:pPr>
      <w:r w:rsidRPr="00801148">
        <w:t xml:space="preserve">For the </w:t>
      </w:r>
      <w:r w:rsidR="008D0271">
        <w:t xml:space="preserve">determination of </w:t>
      </w:r>
      <w:r w:rsidR="00927B65">
        <w:t>APN</w:t>
      </w:r>
      <w:r w:rsidR="008D0271">
        <w:t xml:space="preserve"> activity in cell and tissue lysates and </w:t>
      </w:r>
      <w:r w:rsidR="001718A5">
        <w:t>biological fluids</w:t>
      </w:r>
      <w:r w:rsidRPr="00801148">
        <w:t>.</w:t>
      </w:r>
    </w:p>
    <w:p w14:paraId="20F4BE6F" w14:textId="77777777" w:rsidR="00BF65CB" w:rsidRPr="001B583F" w:rsidRDefault="00BF65CB" w:rsidP="001B583F">
      <w:pPr>
        <w:pStyle w:val="1AbcamStandardtext"/>
      </w:pPr>
    </w:p>
    <w:p w14:paraId="683A5E32" w14:textId="77777777" w:rsidR="00BF65CB" w:rsidRPr="001B583F" w:rsidRDefault="00BF65CB" w:rsidP="001B583F">
      <w:pPr>
        <w:pStyle w:val="1AbcamStandardtext"/>
      </w:pPr>
    </w:p>
    <w:p w14:paraId="223C9502" w14:textId="77777777" w:rsidR="00BF65CB" w:rsidRPr="001B583F" w:rsidRDefault="00BF65CB" w:rsidP="001B583F">
      <w:pPr>
        <w:pStyle w:val="1AbcamStandardtext"/>
      </w:pPr>
    </w:p>
    <w:p w14:paraId="092D3656"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1F23A7DF" w14:textId="77777777" w:rsidR="008B2920" w:rsidRPr="001B583F" w:rsidRDefault="008B2920" w:rsidP="001B583F">
      <w:pPr>
        <w:pStyle w:val="1AbcamStandardtext"/>
      </w:pPr>
      <w:r w:rsidRPr="001B583F">
        <w:br w:type="page"/>
      </w: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77DB0F5E" w14:textId="64716D8D" w:rsidR="00174F24"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174F24">
        <w:rPr>
          <w:noProof/>
        </w:rPr>
        <w:t>1.</w:t>
      </w:r>
      <w:r w:rsidR="00174F24">
        <w:rPr>
          <w:rFonts w:asciiTheme="minorHAnsi" w:eastAsiaTheme="minorEastAsia" w:hAnsiTheme="minorHAnsi" w:cstheme="minorBidi"/>
          <w:noProof/>
          <w:sz w:val="22"/>
          <w:szCs w:val="22"/>
          <w:lang w:val="en-GB" w:eastAsia="en-GB"/>
        </w:rPr>
        <w:tab/>
      </w:r>
      <w:r w:rsidR="00174F24">
        <w:rPr>
          <w:noProof/>
        </w:rPr>
        <w:t>Overview</w:t>
      </w:r>
      <w:r w:rsidR="00174F24">
        <w:rPr>
          <w:noProof/>
        </w:rPr>
        <w:tab/>
      </w:r>
      <w:r w:rsidR="00174F24">
        <w:rPr>
          <w:noProof/>
        </w:rPr>
        <w:fldChar w:fldCharType="begin"/>
      </w:r>
      <w:r w:rsidR="00174F24">
        <w:rPr>
          <w:noProof/>
        </w:rPr>
        <w:instrText xml:space="preserve"> PAGEREF _Toc39750360 \h </w:instrText>
      </w:r>
      <w:r w:rsidR="00174F24">
        <w:rPr>
          <w:noProof/>
        </w:rPr>
      </w:r>
      <w:r w:rsidR="00174F24">
        <w:rPr>
          <w:noProof/>
        </w:rPr>
        <w:fldChar w:fldCharType="separate"/>
      </w:r>
      <w:r w:rsidR="00C16F3A">
        <w:rPr>
          <w:noProof/>
        </w:rPr>
        <w:t>1</w:t>
      </w:r>
      <w:r w:rsidR="00174F24">
        <w:rPr>
          <w:noProof/>
        </w:rPr>
        <w:fldChar w:fldCharType="end"/>
      </w:r>
    </w:p>
    <w:p w14:paraId="29E98CE0" w14:textId="6FB81567" w:rsidR="00174F24" w:rsidRDefault="00174F24">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_Toc39750361 \h </w:instrText>
      </w:r>
      <w:r>
        <w:rPr>
          <w:noProof/>
        </w:rPr>
      </w:r>
      <w:r>
        <w:rPr>
          <w:noProof/>
        </w:rPr>
        <w:fldChar w:fldCharType="separate"/>
      </w:r>
      <w:r w:rsidR="00C16F3A">
        <w:rPr>
          <w:noProof/>
        </w:rPr>
        <w:t>2</w:t>
      </w:r>
      <w:r>
        <w:rPr>
          <w:noProof/>
        </w:rPr>
        <w:fldChar w:fldCharType="end"/>
      </w:r>
    </w:p>
    <w:p w14:paraId="7FCE2D6F" w14:textId="76A63963" w:rsidR="00174F24" w:rsidRDefault="00174F24">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_Toc39750362 \h </w:instrText>
      </w:r>
      <w:r>
        <w:rPr>
          <w:noProof/>
        </w:rPr>
      </w:r>
      <w:r>
        <w:rPr>
          <w:noProof/>
        </w:rPr>
        <w:fldChar w:fldCharType="separate"/>
      </w:r>
      <w:r w:rsidR="00C16F3A">
        <w:rPr>
          <w:noProof/>
        </w:rPr>
        <w:t>3</w:t>
      </w:r>
      <w:r>
        <w:rPr>
          <w:noProof/>
        </w:rPr>
        <w:fldChar w:fldCharType="end"/>
      </w:r>
    </w:p>
    <w:p w14:paraId="23B20724" w14:textId="7A0DCA83" w:rsidR="00174F24" w:rsidRDefault="00174F24">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_Toc39750363 \h </w:instrText>
      </w:r>
      <w:r>
        <w:rPr>
          <w:noProof/>
        </w:rPr>
      </w:r>
      <w:r>
        <w:rPr>
          <w:noProof/>
        </w:rPr>
        <w:fldChar w:fldCharType="separate"/>
      </w:r>
      <w:r w:rsidR="00C16F3A">
        <w:rPr>
          <w:noProof/>
        </w:rPr>
        <w:t>3</w:t>
      </w:r>
      <w:r>
        <w:rPr>
          <w:noProof/>
        </w:rPr>
        <w:fldChar w:fldCharType="end"/>
      </w:r>
    </w:p>
    <w:p w14:paraId="7FC8C7D1" w14:textId="03691C89" w:rsidR="00174F24" w:rsidRDefault="00174F24">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_Toc39750364 \h </w:instrText>
      </w:r>
      <w:r>
        <w:rPr>
          <w:noProof/>
        </w:rPr>
      </w:r>
      <w:r>
        <w:rPr>
          <w:noProof/>
        </w:rPr>
        <w:fldChar w:fldCharType="separate"/>
      </w:r>
      <w:r w:rsidR="00C16F3A">
        <w:rPr>
          <w:noProof/>
        </w:rPr>
        <w:t>4</w:t>
      </w:r>
      <w:r>
        <w:rPr>
          <w:noProof/>
        </w:rPr>
        <w:fldChar w:fldCharType="end"/>
      </w:r>
    </w:p>
    <w:p w14:paraId="54A691AA" w14:textId="0D82CB91" w:rsidR="00174F24" w:rsidRDefault="00174F24">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_Toc39750365 \h </w:instrText>
      </w:r>
      <w:r>
        <w:rPr>
          <w:noProof/>
        </w:rPr>
      </w:r>
      <w:r>
        <w:rPr>
          <w:noProof/>
        </w:rPr>
        <w:fldChar w:fldCharType="separate"/>
      </w:r>
      <w:r w:rsidR="00C16F3A">
        <w:rPr>
          <w:noProof/>
        </w:rPr>
        <w:t>4</w:t>
      </w:r>
      <w:r>
        <w:rPr>
          <w:noProof/>
        </w:rPr>
        <w:fldChar w:fldCharType="end"/>
      </w:r>
    </w:p>
    <w:p w14:paraId="152F009A" w14:textId="32FA8888" w:rsidR="00174F24" w:rsidRDefault="00174F24">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_Toc39750366 \h </w:instrText>
      </w:r>
      <w:r>
        <w:rPr>
          <w:noProof/>
        </w:rPr>
      </w:r>
      <w:r>
        <w:rPr>
          <w:noProof/>
        </w:rPr>
        <w:fldChar w:fldCharType="separate"/>
      </w:r>
      <w:r w:rsidR="00C16F3A">
        <w:rPr>
          <w:noProof/>
        </w:rPr>
        <w:t>5</w:t>
      </w:r>
      <w:r>
        <w:rPr>
          <w:noProof/>
        </w:rPr>
        <w:fldChar w:fldCharType="end"/>
      </w:r>
    </w:p>
    <w:p w14:paraId="4736BF41" w14:textId="58698C2E" w:rsidR="00174F24" w:rsidRDefault="00174F24">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_Toc39750367 \h </w:instrText>
      </w:r>
      <w:r>
        <w:rPr>
          <w:noProof/>
        </w:rPr>
      </w:r>
      <w:r>
        <w:rPr>
          <w:noProof/>
        </w:rPr>
        <w:fldChar w:fldCharType="separate"/>
      </w:r>
      <w:r w:rsidR="00C16F3A">
        <w:rPr>
          <w:noProof/>
        </w:rPr>
        <w:t>6</w:t>
      </w:r>
      <w:r>
        <w:rPr>
          <w:noProof/>
        </w:rPr>
        <w:fldChar w:fldCharType="end"/>
      </w:r>
    </w:p>
    <w:p w14:paraId="1A53FA01" w14:textId="2D5D86A2" w:rsidR="00174F24" w:rsidRDefault="00174F24">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_Toc39750368 \h </w:instrText>
      </w:r>
      <w:r>
        <w:rPr>
          <w:noProof/>
        </w:rPr>
      </w:r>
      <w:r>
        <w:rPr>
          <w:noProof/>
        </w:rPr>
        <w:fldChar w:fldCharType="separate"/>
      </w:r>
      <w:r w:rsidR="00C16F3A">
        <w:rPr>
          <w:noProof/>
        </w:rPr>
        <w:t>7</w:t>
      </w:r>
      <w:r>
        <w:rPr>
          <w:noProof/>
        </w:rPr>
        <w:fldChar w:fldCharType="end"/>
      </w:r>
    </w:p>
    <w:p w14:paraId="22AAC697" w14:textId="1DE5B7CE" w:rsidR="00174F24" w:rsidRDefault="00174F24">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_Toc39750369 \h </w:instrText>
      </w:r>
      <w:r>
        <w:rPr>
          <w:noProof/>
        </w:rPr>
      </w:r>
      <w:r>
        <w:rPr>
          <w:noProof/>
        </w:rPr>
        <w:fldChar w:fldCharType="separate"/>
      </w:r>
      <w:r w:rsidR="00C16F3A">
        <w:rPr>
          <w:noProof/>
        </w:rPr>
        <w:t>8</w:t>
      </w:r>
      <w:r>
        <w:rPr>
          <w:noProof/>
        </w:rPr>
        <w:fldChar w:fldCharType="end"/>
      </w:r>
    </w:p>
    <w:p w14:paraId="0C915A9D" w14:textId="0CF67D64" w:rsidR="00174F24" w:rsidRDefault="00174F24">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_Toc39750370 \h </w:instrText>
      </w:r>
      <w:r>
        <w:rPr>
          <w:noProof/>
        </w:rPr>
      </w:r>
      <w:r>
        <w:rPr>
          <w:noProof/>
        </w:rPr>
        <w:fldChar w:fldCharType="separate"/>
      </w:r>
      <w:r w:rsidR="00C16F3A">
        <w:rPr>
          <w:noProof/>
        </w:rPr>
        <w:t>9</w:t>
      </w:r>
      <w:r>
        <w:rPr>
          <w:noProof/>
        </w:rPr>
        <w:fldChar w:fldCharType="end"/>
      </w:r>
    </w:p>
    <w:p w14:paraId="3F4DDEA6" w14:textId="7D4A0E61" w:rsidR="00174F24" w:rsidRDefault="00174F24">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_Toc39750371 \h </w:instrText>
      </w:r>
      <w:r>
        <w:rPr>
          <w:noProof/>
        </w:rPr>
      </w:r>
      <w:r>
        <w:rPr>
          <w:noProof/>
        </w:rPr>
        <w:fldChar w:fldCharType="separate"/>
      </w:r>
      <w:r w:rsidR="00C16F3A">
        <w:rPr>
          <w:noProof/>
        </w:rPr>
        <w:t>10</w:t>
      </w:r>
      <w:r>
        <w:rPr>
          <w:noProof/>
        </w:rPr>
        <w:fldChar w:fldCharType="end"/>
      </w:r>
    </w:p>
    <w:p w14:paraId="29636730" w14:textId="0998F0A9" w:rsidR="00174F24" w:rsidRDefault="00174F24">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_Toc39750372 \h </w:instrText>
      </w:r>
      <w:r>
        <w:rPr>
          <w:noProof/>
        </w:rPr>
      </w:r>
      <w:r>
        <w:rPr>
          <w:noProof/>
        </w:rPr>
        <w:fldChar w:fldCharType="separate"/>
      </w:r>
      <w:r w:rsidR="00C16F3A">
        <w:rPr>
          <w:noProof/>
        </w:rPr>
        <w:t>11</w:t>
      </w:r>
      <w:r>
        <w:rPr>
          <w:noProof/>
        </w:rPr>
        <w:fldChar w:fldCharType="end"/>
      </w:r>
    </w:p>
    <w:p w14:paraId="657A70F4" w14:textId="20B668B6" w:rsidR="00174F24" w:rsidRDefault="00174F24">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_Toc39750373 \h </w:instrText>
      </w:r>
      <w:r>
        <w:rPr>
          <w:noProof/>
        </w:rPr>
      </w:r>
      <w:r>
        <w:rPr>
          <w:noProof/>
        </w:rPr>
        <w:fldChar w:fldCharType="separate"/>
      </w:r>
      <w:r w:rsidR="00C16F3A">
        <w:rPr>
          <w:noProof/>
        </w:rPr>
        <w:t>12</w:t>
      </w:r>
      <w:r>
        <w:rPr>
          <w:noProof/>
        </w:rPr>
        <w:fldChar w:fldCharType="end"/>
      </w:r>
    </w:p>
    <w:p w14:paraId="254C3CA6" w14:textId="59F21224" w:rsidR="00174F24" w:rsidRDefault="00174F24">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 / Troubleshooting</w:t>
      </w:r>
      <w:r>
        <w:rPr>
          <w:noProof/>
        </w:rPr>
        <w:tab/>
      </w:r>
      <w:r>
        <w:rPr>
          <w:noProof/>
        </w:rPr>
        <w:fldChar w:fldCharType="begin"/>
      </w:r>
      <w:r>
        <w:rPr>
          <w:noProof/>
        </w:rPr>
        <w:instrText xml:space="preserve"> PAGEREF _Toc39750374 \h </w:instrText>
      </w:r>
      <w:r>
        <w:rPr>
          <w:noProof/>
        </w:rPr>
      </w:r>
      <w:r>
        <w:rPr>
          <w:noProof/>
        </w:rPr>
        <w:fldChar w:fldCharType="separate"/>
      </w:r>
      <w:r w:rsidR="00C16F3A">
        <w:rPr>
          <w:noProof/>
        </w:rPr>
        <w:t>15</w:t>
      </w:r>
      <w:r>
        <w:rPr>
          <w:noProof/>
        </w:rPr>
        <w:fldChar w:fldCharType="end"/>
      </w:r>
    </w:p>
    <w:p w14:paraId="78BF7761" w14:textId="69A3D972" w:rsidR="00174F24" w:rsidRDefault="00174F24">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_Toc39750375 \h </w:instrText>
      </w:r>
      <w:r>
        <w:rPr>
          <w:noProof/>
        </w:rPr>
      </w:r>
      <w:r>
        <w:rPr>
          <w:noProof/>
        </w:rPr>
        <w:fldChar w:fldCharType="separate"/>
      </w:r>
      <w:r w:rsidR="00C16F3A">
        <w:rPr>
          <w:noProof/>
        </w:rPr>
        <w:t>16</w:t>
      </w:r>
      <w:r>
        <w:rPr>
          <w:noProof/>
        </w:rPr>
        <w:fldChar w:fldCharType="end"/>
      </w:r>
    </w:p>
    <w:p w14:paraId="3DE3115C" w14:textId="67A674C8"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5" w:name="_Toc39750360"/>
      <w:r w:rsidRPr="002A066A">
        <w:lastRenderedPageBreak/>
        <w:t>Overview</w:t>
      </w:r>
      <w:bookmarkEnd w:id="3"/>
      <w:bookmarkEnd w:id="5"/>
    </w:p>
    <w:p w14:paraId="2CD0D28B" w14:textId="760910C3" w:rsidR="00927B65" w:rsidRDefault="00927B65" w:rsidP="00927B65">
      <w:pPr>
        <w:pStyle w:val="1AbcamStandardtext"/>
      </w:pPr>
      <w:r w:rsidRPr="00927B65">
        <w:t xml:space="preserve">Aminopeptidase N (APN/CD13) </w:t>
      </w:r>
      <w:r w:rsidR="008D0271" w:rsidRPr="008D0271">
        <w:t xml:space="preserve">Activity Assay Kit (Fluorometric) </w:t>
      </w:r>
      <w:r w:rsidR="008D0271">
        <w:t>(</w:t>
      </w:r>
      <w:r>
        <w:t>ab273292</w:t>
      </w:r>
      <w:r w:rsidR="008D0271">
        <w:t xml:space="preserve">) </w:t>
      </w:r>
      <w:r>
        <w:t>enables rapid measurement of APN activity, utilizing a fluorogenic substrate that is converted into a highly fluorescent product (Ex/Em = 384/502 nm). A selective APN inhibitor is provided for verification of specific activity.</w:t>
      </w:r>
    </w:p>
    <w:p w14:paraId="341CF622" w14:textId="7EE6AFE3" w:rsidR="000E4FA8" w:rsidRPr="001B583F" w:rsidRDefault="00927B65" w:rsidP="00927B65">
      <w:pPr>
        <w:pStyle w:val="1AbcamStandardtext"/>
      </w:pPr>
      <w:r>
        <w:t>The assay is simple, high-throughput adaptable and can detect a minimum of 100 μU APN activity in a variety of biological samples.</w:t>
      </w:r>
      <w:r>
        <w:cr/>
        <w:t xml:space="preserve"> </w:t>
      </w:r>
      <w:r w:rsidR="000E4FA8" w:rsidRPr="001B583F">
        <w:br w:type="page"/>
      </w:r>
    </w:p>
    <w:p w14:paraId="561B3CDC" w14:textId="77777777" w:rsidR="000E4FA8" w:rsidRPr="002A066A" w:rsidRDefault="000E4FA8" w:rsidP="001E2DD7">
      <w:pPr>
        <w:pStyle w:val="1Abcamheading"/>
      </w:pPr>
      <w:bookmarkStart w:id="6" w:name="_Toc446403812"/>
      <w:bookmarkStart w:id="7" w:name="_Toc39750361"/>
      <w:r w:rsidRPr="002A066A">
        <w:lastRenderedPageBreak/>
        <w:t>Protocol Summary</w:t>
      </w:r>
      <w:bookmarkEnd w:id="6"/>
      <w:bookmarkEnd w:id="7"/>
    </w:p>
    <w:p w14:paraId="6DFA9AD6" w14:textId="77777777" w:rsidR="000F5CFA" w:rsidRDefault="000F5CFA" w:rsidP="001B583F">
      <w:pPr>
        <w:pStyle w:val="1AbcamStandardtext"/>
        <w:jc w:val="center"/>
        <w:rPr>
          <w:highlight w:val="yellow"/>
        </w:rPr>
      </w:pPr>
    </w:p>
    <w:p w14:paraId="23ACB73C" w14:textId="77777777" w:rsidR="002C7D03" w:rsidRDefault="002C7D03" w:rsidP="001B583F">
      <w:pPr>
        <w:pStyle w:val="1AbcamStandardtext"/>
        <w:jc w:val="center"/>
      </w:pPr>
    </w:p>
    <w:p w14:paraId="4212F88E" w14:textId="3C36E428" w:rsidR="000E4FA8" w:rsidRPr="00DF2BC9" w:rsidRDefault="00333458" w:rsidP="001B583F">
      <w:pPr>
        <w:pStyle w:val="1AbcamStandardtext"/>
        <w:jc w:val="center"/>
      </w:pPr>
      <w:r w:rsidRPr="00DF2BC9">
        <w:t xml:space="preserve">Prepare </w:t>
      </w:r>
      <w:r w:rsidR="00927B65" w:rsidRPr="00DF2BC9">
        <w:t>samples</w:t>
      </w:r>
      <w:r w:rsidRPr="00DF2BC9">
        <w:t xml:space="preserve"> as directed </w:t>
      </w:r>
    </w:p>
    <w:p w14:paraId="6CD64051" w14:textId="77777777" w:rsidR="001B583F" w:rsidRPr="00DF2BC9" w:rsidRDefault="001B583F" w:rsidP="001B583F">
      <w:pPr>
        <w:pStyle w:val="1AbcamStandardtext"/>
        <w:jc w:val="center"/>
      </w:pPr>
      <w:r w:rsidRPr="00DF2BC9">
        <w:rPr>
          <w:noProof/>
          <w:lang w:val="en-GB" w:eastAsia="en-GB"/>
        </w:rPr>
        <mc:AlternateContent>
          <mc:Choice Requires="wps">
            <w:drawing>
              <wp:anchor distT="0" distB="0" distL="114300" distR="114300" simplePos="0" relativeHeight="251664896" behindDoc="0" locked="0" layoutInCell="1" allowOverlap="1" wp14:anchorId="12F364B0" wp14:editId="1E6A6A43">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726E505E" w14:textId="77777777" w:rsidR="000E4FA8" w:rsidRPr="00DF2BC9" w:rsidRDefault="000E4FA8" w:rsidP="001B583F">
      <w:pPr>
        <w:pStyle w:val="1AbcamStandardtext"/>
        <w:jc w:val="center"/>
      </w:pPr>
    </w:p>
    <w:p w14:paraId="0D0E2A8D" w14:textId="056A290E" w:rsidR="000E4FA8" w:rsidRPr="00DF2BC9" w:rsidRDefault="00333458" w:rsidP="001B583F">
      <w:pPr>
        <w:pStyle w:val="1AbcamStandardtext"/>
        <w:jc w:val="center"/>
      </w:pPr>
      <w:r w:rsidRPr="00DF2BC9">
        <w:t>Prepare all reagents as directed</w:t>
      </w:r>
    </w:p>
    <w:p w14:paraId="73831532" w14:textId="77777777" w:rsidR="001B583F" w:rsidRPr="00DF2BC9" w:rsidRDefault="001B583F" w:rsidP="001B583F">
      <w:pPr>
        <w:pStyle w:val="1AbcamStandardtext"/>
        <w:jc w:val="center"/>
      </w:pPr>
      <w:r w:rsidRPr="00DF2BC9">
        <w:rPr>
          <w:noProof/>
          <w:lang w:val="en-GB" w:eastAsia="en-GB"/>
        </w:rPr>
        <mc:AlternateContent>
          <mc:Choice Requires="wps">
            <w:drawing>
              <wp:anchor distT="0" distB="0" distL="114300" distR="114300" simplePos="0" relativeHeight="251665920" behindDoc="0" locked="0" layoutInCell="1" allowOverlap="1" wp14:anchorId="737B5A43" wp14:editId="5E42B8F2">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45E19"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6D1254A" w14:textId="77777777" w:rsidR="000E4FA8" w:rsidRPr="00DF2BC9" w:rsidRDefault="000E4FA8" w:rsidP="001B583F">
      <w:pPr>
        <w:pStyle w:val="1AbcamStandardtext"/>
        <w:jc w:val="center"/>
      </w:pPr>
    </w:p>
    <w:p w14:paraId="209040C1" w14:textId="75AFBAE8" w:rsidR="000E4FA8" w:rsidRPr="00DF2BC9" w:rsidRDefault="00E00AFA" w:rsidP="001B583F">
      <w:pPr>
        <w:pStyle w:val="1AbcamStandardtext"/>
        <w:jc w:val="center"/>
      </w:pPr>
      <w:r w:rsidRPr="00DF2BC9">
        <w:rPr>
          <w:noProof/>
        </w:rPr>
        <w:t>Prepare standard curve and measure fluorescence at Ex/Em = 3</w:t>
      </w:r>
      <w:r w:rsidR="00EF569C" w:rsidRPr="00DF2BC9">
        <w:rPr>
          <w:noProof/>
        </w:rPr>
        <w:t>84</w:t>
      </w:r>
      <w:r w:rsidRPr="00DF2BC9">
        <w:rPr>
          <w:noProof/>
        </w:rPr>
        <w:t>/</w:t>
      </w:r>
      <w:r w:rsidR="00EF569C" w:rsidRPr="00DF2BC9">
        <w:rPr>
          <w:noProof/>
        </w:rPr>
        <w:t>502</w:t>
      </w:r>
      <w:r w:rsidRPr="00DF2BC9">
        <w:rPr>
          <w:noProof/>
        </w:rPr>
        <w:t xml:space="preserve"> nm. Calculate slope</w:t>
      </w:r>
    </w:p>
    <w:p w14:paraId="591100C8" w14:textId="77777777" w:rsidR="00000557" w:rsidRPr="00DF2BC9" w:rsidRDefault="001B583F" w:rsidP="001B583F">
      <w:pPr>
        <w:pStyle w:val="1AbcamStandardtext"/>
        <w:jc w:val="center"/>
        <w:rPr>
          <w:lang w:val="en-GB"/>
        </w:rPr>
      </w:pPr>
      <w:r w:rsidRPr="00DF2BC9">
        <w:rPr>
          <w:noProof/>
          <w:lang w:val="en-GB" w:eastAsia="en-GB"/>
        </w:rPr>
        <mc:AlternateContent>
          <mc:Choice Requires="wps">
            <w:drawing>
              <wp:anchor distT="0" distB="0" distL="114300" distR="114300" simplePos="0" relativeHeight="251666944" behindDoc="0" locked="0" layoutInCell="1" allowOverlap="1" wp14:anchorId="40BDF873" wp14:editId="52F13A21">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296ED8"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C57DC3C" w14:textId="77777777" w:rsidR="001B583F" w:rsidRPr="00DF2BC9" w:rsidRDefault="001B583F" w:rsidP="001B583F">
      <w:pPr>
        <w:pStyle w:val="1AbcamStandardtext"/>
        <w:jc w:val="center"/>
        <w:rPr>
          <w:lang w:val="en-GB"/>
        </w:rPr>
      </w:pPr>
    </w:p>
    <w:p w14:paraId="51A8D2FF" w14:textId="752A924B" w:rsidR="00664FA8" w:rsidRDefault="00863684" w:rsidP="00664FA8">
      <w:pPr>
        <w:pStyle w:val="1AbcamStandardtext"/>
        <w:jc w:val="center"/>
        <w:rPr>
          <w:noProof/>
        </w:rPr>
      </w:pPr>
      <w:r w:rsidRPr="00DF2BC9">
        <w:rPr>
          <w:noProof/>
        </w:rPr>
        <w:t>Add Positive Control, Samples, Negative Control, Background Control to appropriate wells</w:t>
      </w:r>
      <w:r w:rsidR="002C7D03" w:rsidRPr="00DF2BC9">
        <w:rPr>
          <w:noProof/>
        </w:rPr>
        <w:t xml:space="preserve"> and adjust volume to </w:t>
      </w:r>
      <w:r w:rsidR="00DF2BC9">
        <w:rPr>
          <w:noProof/>
        </w:rPr>
        <w:t>80</w:t>
      </w:r>
      <w:r w:rsidR="002C7D03" w:rsidRPr="00DF2BC9">
        <w:rPr>
          <w:noProof/>
        </w:rPr>
        <w:t xml:space="preserve"> µL</w:t>
      </w:r>
    </w:p>
    <w:p w14:paraId="7D3B3CA8" w14:textId="4ED65274" w:rsidR="00DF2BC9" w:rsidRDefault="00DF2BC9" w:rsidP="00664FA8">
      <w:pPr>
        <w:pStyle w:val="1AbcamStandardtext"/>
        <w:jc w:val="center"/>
        <w:rPr>
          <w:noProof/>
        </w:rPr>
      </w:pPr>
      <w:r w:rsidRPr="00DF2BC9">
        <w:rPr>
          <w:noProof/>
          <w:lang w:val="en-GB" w:eastAsia="en-GB"/>
        </w:rPr>
        <mc:AlternateContent>
          <mc:Choice Requires="wps">
            <w:drawing>
              <wp:anchor distT="0" distB="0" distL="114300" distR="114300" simplePos="0" relativeHeight="251676160" behindDoc="0" locked="0" layoutInCell="1" allowOverlap="1" wp14:anchorId="0F2612F2" wp14:editId="72E1B84B">
                <wp:simplePos x="0" y="0"/>
                <wp:positionH relativeFrom="margin">
                  <wp:align>center</wp:align>
                </wp:positionH>
                <wp:positionV relativeFrom="paragraph">
                  <wp:posOffset>60385</wp:posOffset>
                </wp:positionV>
                <wp:extent cx="180975" cy="231140"/>
                <wp:effectExtent l="38100" t="0" r="28575" b="355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B8F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0;margin-top:4.75pt;width:14.25pt;height:18.2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vt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">
                <w10:wrap anchorx="margin"/>
              </v:shape>
            </w:pict>
          </mc:Fallback>
        </mc:AlternateContent>
      </w:r>
    </w:p>
    <w:p w14:paraId="7353DCDB" w14:textId="734CA568" w:rsidR="00DF2BC9" w:rsidRDefault="00DF2BC9" w:rsidP="00664FA8">
      <w:pPr>
        <w:pStyle w:val="1AbcamStandardtext"/>
        <w:jc w:val="center"/>
        <w:rPr>
          <w:noProof/>
        </w:rPr>
      </w:pPr>
    </w:p>
    <w:p w14:paraId="5E727DB1" w14:textId="2A728F1E" w:rsidR="00DF2BC9" w:rsidRPr="00DF2BC9" w:rsidRDefault="00DF2BC9" w:rsidP="00664FA8">
      <w:pPr>
        <w:pStyle w:val="1AbcamStandardtext"/>
        <w:jc w:val="center"/>
      </w:pPr>
      <w:r>
        <w:rPr>
          <w:noProof/>
        </w:rPr>
        <w:t xml:space="preserve">Preincubate plate for 10 minutes at </w:t>
      </w:r>
      <w:r>
        <w:t>37°C.</w:t>
      </w:r>
    </w:p>
    <w:p w14:paraId="54B35B60" w14:textId="77777777" w:rsidR="00664FA8" w:rsidRPr="00DF2BC9" w:rsidRDefault="00664FA8" w:rsidP="00664FA8">
      <w:pPr>
        <w:pStyle w:val="1AbcamStandardtext"/>
        <w:jc w:val="center"/>
        <w:rPr>
          <w:lang w:val="en-GB"/>
        </w:rPr>
      </w:pPr>
      <w:r w:rsidRPr="00DF2BC9">
        <w:rPr>
          <w:noProof/>
          <w:lang w:val="en-GB" w:eastAsia="en-GB"/>
        </w:rPr>
        <mc:AlternateContent>
          <mc:Choice Requires="wps">
            <w:drawing>
              <wp:anchor distT="0" distB="0" distL="114300" distR="114300" simplePos="0" relativeHeight="251673088" behindDoc="0" locked="0" layoutInCell="1" allowOverlap="1" wp14:anchorId="0B4FE27A" wp14:editId="12B017AC">
                <wp:simplePos x="0" y="0"/>
                <wp:positionH relativeFrom="margin">
                  <wp:posOffset>2015490</wp:posOffset>
                </wp:positionH>
                <wp:positionV relativeFrom="paragraph">
                  <wp:posOffset>90170</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15E9F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7.1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">
                <w10:wrap anchorx="margin"/>
              </v:shape>
            </w:pict>
          </mc:Fallback>
        </mc:AlternateContent>
      </w:r>
    </w:p>
    <w:p w14:paraId="7FC54A70" w14:textId="77777777" w:rsidR="00664FA8" w:rsidRPr="00DF2BC9" w:rsidRDefault="00664FA8" w:rsidP="00664FA8">
      <w:pPr>
        <w:pStyle w:val="1AbcamStandardtext"/>
        <w:jc w:val="center"/>
        <w:rPr>
          <w:lang w:val="en-GB"/>
        </w:rPr>
      </w:pPr>
    </w:p>
    <w:p w14:paraId="0E7F127F" w14:textId="78F2A0BA" w:rsidR="00CE2C7B" w:rsidRPr="00DF2BC9" w:rsidRDefault="002C7D03" w:rsidP="00CE2C7B">
      <w:pPr>
        <w:pStyle w:val="1AbcamStandardtext"/>
        <w:jc w:val="center"/>
        <w:rPr>
          <w:lang w:val="en-GB"/>
        </w:rPr>
      </w:pPr>
      <w:r w:rsidRPr="00DF2BC9">
        <w:rPr>
          <w:noProof/>
        </w:rPr>
        <w:t>Add Substrate Mix (</w:t>
      </w:r>
      <w:r w:rsidR="00EF569C" w:rsidRPr="00DF2BC9">
        <w:rPr>
          <w:noProof/>
        </w:rPr>
        <w:t>2</w:t>
      </w:r>
      <w:r w:rsidRPr="00DF2BC9">
        <w:rPr>
          <w:noProof/>
        </w:rPr>
        <w:t>0 µL)</w:t>
      </w:r>
    </w:p>
    <w:p w14:paraId="3BF53A99" w14:textId="5EB4EE20" w:rsidR="00CE2C7B" w:rsidRPr="00DF2BC9" w:rsidRDefault="00D7356E" w:rsidP="00CE2C7B">
      <w:pPr>
        <w:pStyle w:val="1AbcamStandardtext"/>
        <w:jc w:val="center"/>
        <w:rPr>
          <w:lang w:val="en-GB"/>
        </w:rPr>
      </w:pPr>
      <w:r w:rsidRPr="00DF2BC9">
        <w:rPr>
          <w:noProof/>
          <w:lang w:val="en-GB" w:eastAsia="en-GB"/>
        </w:rPr>
        <mc:AlternateContent>
          <mc:Choice Requires="wps">
            <w:drawing>
              <wp:anchor distT="0" distB="0" distL="114300" distR="114300" simplePos="0" relativeHeight="251671040" behindDoc="0" locked="0" layoutInCell="1" allowOverlap="1" wp14:anchorId="0888E18D" wp14:editId="6CE2110C">
                <wp:simplePos x="0" y="0"/>
                <wp:positionH relativeFrom="margin">
                  <wp:posOffset>2015490</wp:posOffset>
                </wp:positionH>
                <wp:positionV relativeFrom="paragraph">
                  <wp:posOffset>66411</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396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5.2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">
                <w10:wrap anchorx="margin"/>
              </v:shape>
            </w:pict>
          </mc:Fallback>
        </mc:AlternateContent>
      </w:r>
    </w:p>
    <w:p w14:paraId="528BB9C3" w14:textId="77777777" w:rsidR="00D7356E" w:rsidRPr="00DF2BC9" w:rsidRDefault="00D7356E" w:rsidP="001B583F">
      <w:pPr>
        <w:pStyle w:val="1AbcamStandardtext"/>
        <w:jc w:val="center"/>
        <w:rPr>
          <w:lang w:val="en-GB"/>
        </w:rPr>
      </w:pPr>
    </w:p>
    <w:p w14:paraId="2C905050" w14:textId="4CC61D49" w:rsidR="00D7356E" w:rsidRPr="002C7D03" w:rsidRDefault="002C7D03" w:rsidP="001B583F">
      <w:pPr>
        <w:pStyle w:val="1AbcamStandardtext"/>
        <w:jc w:val="center"/>
        <w:rPr>
          <w:noProof/>
        </w:rPr>
      </w:pPr>
      <w:r w:rsidRPr="00DF2BC9">
        <w:t>Measure fluorescence (Ex/Em = 320/4</w:t>
      </w:r>
      <w:r w:rsidR="00D16F18" w:rsidRPr="00DF2BC9">
        <w:t>45</w:t>
      </w:r>
      <w:r w:rsidRPr="00DF2BC9">
        <w:t xml:space="preserve"> nm) in kinetic mode for </w:t>
      </w:r>
      <w:r w:rsidR="00EF569C" w:rsidRPr="00DF2BC9">
        <w:t xml:space="preserve">45 </w:t>
      </w:r>
      <w:r w:rsidRPr="00DF2BC9">
        <w:t xml:space="preserve">to </w:t>
      </w:r>
      <w:r w:rsidR="00EF569C" w:rsidRPr="00DF2BC9">
        <w:t>60</w:t>
      </w:r>
      <w:r w:rsidRPr="00DF2BC9">
        <w:t xml:space="preserve"> </w:t>
      </w:r>
      <w:r w:rsidR="00EF569C" w:rsidRPr="00DF2BC9">
        <w:t>minutes</w:t>
      </w:r>
      <w:r w:rsidRPr="00DF2BC9">
        <w:t xml:space="preserve"> at </w:t>
      </w:r>
      <w:r w:rsidR="00DF2BC9" w:rsidRPr="00DF2BC9">
        <w:t>37°C.</w:t>
      </w:r>
    </w:p>
    <w:p w14:paraId="59751ED1" w14:textId="7D2C21B9" w:rsidR="00D7356E" w:rsidRPr="00550EC4" w:rsidRDefault="00D7356E" w:rsidP="001B583F">
      <w:pPr>
        <w:pStyle w:val="1AbcamStandardtext"/>
        <w:jc w:val="center"/>
        <w:rPr>
          <w:noProof/>
          <w:highlight w:val="yellow"/>
        </w:rPr>
      </w:pPr>
    </w:p>
    <w:p w14:paraId="47050FB7" w14:textId="658E6BD6" w:rsidR="00D7356E" w:rsidRPr="00550EC4" w:rsidRDefault="00D7356E" w:rsidP="001B583F">
      <w:pPr>
        <w:pStyle w:val="1AbcamStandardtext"/>
        <w:jc w:val="center"/>
        <w:rPr>
          <w:rFonts w:cs="Arial"/>
          <w:color w:val="000000"/>
          <w:szCs w:val="20"/>
          <w:highlight w:val="yellow"/>
          <w:lang w:val="en-GB"/>
        </w:rPr>
      </w:pPr>
    </w:p>
    <w:p w14:paraId="198A481C" w14:textId="77777777" w:rsidR="000E4FA8" w:rsidRPr="002A066A" w:rsidRDefault="000E4FA8" w:rsidP="001B583F">
      <w:pPr>
        <w:pStyle w:val="1AbcamStandardtext"/>
        <w:rPr>
          <w:lang w:val="en-GB"/>
        </w:rPr>
      </w:pPr>
    </w:p>
    <w:p w14:paraId="68FD0DDF" w14:textId="77777777" w:rsidR="000E4FA8"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8" w:name="_Toc446403813"/>
      <w:bookmarkStart w:id="9" w:name="_Toc39750362"/>
      <w:r w:rsidRPr="002A066A">
        <w:lastRenderedPageBreak/>
        <w:t>Precautions</w:t>
      </w:r>
      <w:bookmarkEnd w:id="8"/>
      <w:bookmarkEnd w:id="9"/>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drink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10" w:name="_Toc446403814"/>
      <w:bookmarkStart w:id="11" w:name="_Toc39750363"/>
      <w:r w:rsidRPr="002A066A">
        <w:t xml:space="preserve">Storage and </w:t>
      </w:r>
      <w:r w:rsidR="00174FD5" w:rsidRPr="002A066A">
        <w:t>S</w:t>
      </w:r>
      <w:r w:rsidRPr="002A066A">
        <w:t>tability</w:t>
      </w:r>
      <w:bookmarkEnd w:id="10"/>
      <w:bookmarkEnd w:id="11"/>
    </w:p>
    <w:p w14:paraId="65FDF428" w14:textId="03DC2354" w:rsidR="000E4FA8" w:rsidRPr="001B583F" w:rsidRDefault="000E4FA8" w:rsidP="001B583F">
      <w:pPr>
        <w:pStyle w:val="1AbcamStandardtext"/>
        <w:rPr>
          <w:b/>
        </w:rPr>
      </w:pPr>
      <w:r w:rsidRPr="001B583F">
        <w:rPr>
          <w:b/>
        </w:rPr>
        <w:t>Store kit at</w:t>
      </w:r>
      <w:r w:rsidR="000F5CFA">
        <w:rPr>
          <w:b/>
        </w:rPr>
        <w:t xml:space="preserve"> </w:t>
      </w:r>
      <w:r w:rsidR="006346B2">
        <w:rPr>
          <w:b/>
        </w:rPr>
        <w:t>-20</w:t>
      </w:r>
      <w:r w:rsidRPr="001B583F">
        <w:rPr>
          <w:b/>
        </w:rPr>
        <w:t xml:space="preserve">°C in the dark immediately upon receipt. </w:t>
      </w:r>
    </w:p>
    <w:p w14:paraId="5A8C80F1"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2" w:name="_Toc446403815"/>
      <w:bookmarkStart w:id="13" w:name="_Toc39750364"/>
      <w:r w:rsidRPr="002A066A">
        <w:lastRenderedPageBreak/>
        <w:t>Limitations</w:t>
      </w:r>
      <w:bookmarkEnd w:id="12"/>
      <w:bookmarkEnd w:id="13"/>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57617E1E"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r w:rsidR="00C034C6">
        <w:t xml:space="preserve"> </w:t>
      </w:r>
      <w:bookmarkStart w:id="14" w:name="_GoBack"/>
      <w:bookmarkEnd w:id="14"/>
    </w:p>
    <w:p w14:paraId="56B2CA9C" w14:textId="44FF0536" w:rsidR="000E4FA8" w:rsidRPr="002A066A" w:rsidRDefault="000E4FA8" w:rsidP="001B583F">
      <w:pPr>
        <w:pStyle w:val="1Abcamheading"/>
      </w:pPr>
      <w:bookmarkStart w:id="15" w:name="_Toc446403816"/>
      <w:bookmarkStart w:id="16" w:name="_Toc39750365"/>
      <w:r w:rsidRPr="002A066A">
        <w:t xml:space="preserve">Materials </w:t>
      </w:r>
      <w:r w:rsidR="00174FD5" w:rsidRPr="002A066A">
        <w:t>S</w:t>
      </w:r>
      <w:r w:rsidRPr="002A066A">
        <w:t>upplied</w:t>
      </w:r>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5"/>
        <w:gridCol w:w="1537"/>
        <w:gridCol w:w="2100"/>
      </w:tblGrid>
      <w:tr w:rsidR="00550EC4" w:rsidRPr="00801148" w14:paraId="1057869A" w14:textId="77777777" w:rsidTr="00550EC4">
        <w:trPr>
          <w:trHeight w:val="306"/>
          <w:jc w:val="center"/>
        </w:trPr>
        <w:tc>
          <w:tcPr>
            <w:tcW w:w="2258" w:type="pct"/>
            <w:vAlign w:val="center"/>
          </w:tcPr>
          <w:p w14:paraId="366BDBF6"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Item</w:t>
            </w:r>
          </w:p>
        </w:tc>
        <w:tc>
          <w:tcPr>
            <w:tcW w:w="1159" w:type="pct"/>
            <w:vAlign w:val="center"/>
          </w:tcPr>
          <w:p w14:paraId="62E22A1B"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Quantity</w:t>
            </w:r>
          </w:p>
        </w:tc>
        <w:tc>
          <w:tcPr>
            <w:tcW w:w="1583" w:type="pct"/>
            <w:vAlign w:val="center"/>
          </w:tcPr>
          <w:p w14:paraId="1976416D"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Storage temperature (before prep)</w:t>
            </w:r>
          </w:p>
        </w:tc>
      </w:tr>
      <w:tr w:rsidR="00550EC4" w:rsidRPr="00801148" w14:paraId="2CEE0592" w14:textId="77777777" w:rsidTr="00550EC4">
        <w:trPr>
          <w:trHeight w:val="306"/>
          <w:jc w:val="center"/>
        </w:trPr>
        <w:tc>
          <w:tcPr>
            <w:tcW w:w="2258" w:type="pct"/>
            <w:vAlign w:val="center"/>
          </w:tcPr>
          <w:p w14:paraId="08D37799" w14:textId="72F9F1E3" w:rsidR="00550EC4" w:rsidRPr="00801148" w:rsidRDefault="00EF569C" w:rsidP="00801148">
            <w:pPr>
              <w:autoSpaceDE w:val="0"/>
              <w:autoSpaceDN w:val="0"/>
              <w:adjustRightInd w:val="0"/>
              <w:spacing w:before="60" w:after="60"/>
              <w:rPr>
                <w:rFonts w:cs="Arial"/>
                <w:color w:val="000000"/>
                <w:sz w:val="18"/>
                <w:szCs w:val="18"/>
                <w:lang w:val="en-GB"/>
              </w:rPr>
            </w:pPr>
            <w:r w:rsidRPr="00EF569C">
              <w:rPr>
                <w:rFonts w:cs="Arial"/>
                <w:color w:val="000000"/>
                <w:sz w:val="18"/>
                <w:szCs w:val="18"/>
                <w:lang w:val="en-GB"/>
              </w:rPr>
              <w:t>Aminopeptidase</w:t>
            </w:r>
            <w:r>
              <w:rPr>
                <w:rFonts w:cs="Arial"/>
                <w:color w:val="000000"/>
                <w:sz w:val="18"/>
                <w:szCs w:val="18"/>
                <w:lang w:val="en-GB"/>
              </w:rPr>
              <w:t xml:space="preserve"> </w:t>
            </w:r>
            <w:r w:rsidR="00550EC4">
              <w:rPr>
                <w:rFonts w:cs="Arial"/>
                <w:color w:val="000000"/>
                <w:sz w:val="18"/>
                <w:szCs w:val="18"/>
                <w:lang w:val="en-GB"/>
              </w:rPr>
              <w:t>Assay Buffer</w:t>
            </w:r>
          </w:p>
        </w:tc>
        <w:tc>
          <w:tcPr>
            <w:tcW w:w="1159" w:type="pct"/>
            <w:vAlign w:val="center"/>
          </w:tcPr>
          <w:p w14:paraId="339FDE28" w14:textId="189CCE97" w:rsidR="00550EC4" w:rsidRPr="00801148" w:rsidRDefault="00EF569C"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50</w:t>
            </w:r>
            <w:r w:rsidR="00550EC4" w:rsidRPr="00801148">
              <w:rPr>
                <w:rFonts w:cs="Arial"/>
                <w:color w:val="000000"/>
                <w:sz w:val="18"/>
                <w:szCs w:val="18"/>
                <w:lang w:val="en-GB"/>
              </w:rPr>
              <w:t xml:space="preserve"> mL</w:t>
            </w:r>
          </w:p>
        </w:tc>
        <w:tc>
          <w:tcPr>
            <w:tcW w:w="1583" w:type="pct"/>
            <w:vAlign w:val="center"/>
          </w:tcPr>
          <w:p w14:paraId="171A7981" w14:textId="75DF01CC"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r w:rsidR="00D01CED">
              <w:rPr>
                <w:rFonts w:cs="Arial"/>
                <w:color w:val="000000"/>
                <w:sz w:val="18"/>
                <w:szCs w:val="18"/>
                <w:lang w:val="en-GB"/>
              </w:rPr>
              <w:t xml:space="preserve"> or +4</w:t>
            </w:r>
            <w:r w:rsidR="00D01CED" w:rsidRPr="00801148">
              <w:rPr>
                <w:rFonts w:cs="Arial"/>
                <w:color w:val="000000"/>
                <w:sz w:val="18"/>
                <w:szCs w:val="18"/>
                <w:lang w:val="en-GB"/>
              </w:rPr>
              <w:t>°C</w:t>
            </w:r>
          </w:p>
        </w:tc>
      </w:tr>
      <w:tr w:rsidR="00550EC4" w:rsidRPr="00801148" w14:paraId="264CC8D4" w14:textId="77777777" w:rsidTr="00550EC4">
        <w:trPr>
          <w:trHeight w:val="306"/>
          <w:jc w:val="center"/>
        </w:trPr>
        <w:tc>
          <w:tcPr>
            <w:tcW w:w="2258" w:type="pct"/>
            <w:vAlign w:val="center"/>
          </w:tcPr>
          <w:p w14:paraId="10C50D51" w14:textId="75CF94B6" w:rsidR="00550EC4" w:rsidRPr="00801148" w:rsidRDefault="00EF569C" w:rsidP="00801148">
            <w:pPr>
              <w:autoSpaceDE w:val="0"/>
              <w:autoSpaceDN w:val="0"/>
              <w:adjustRightInd w:val="0"/>
              <w:spacing w:before="60" w:after="60"/>
              <w:rPr>
                <w:rFonts w:cs="Arial"/>
                <w:bCs/>
                <w:color w:val="000000"/>
                <w:sz w:val="18"/>
                <w:szCs w:val="18"/>
              </w:rPr>
            </w:pPr>
            <w:r>
              <w:rPr>
                <w:rFonts w:cs="Arial"/>
                <w:bCs/>
                <w:color w:val="000000"/>
                <w:sz w:val="18"/>
                <w:szCs w:val="18"/>
              </w:rPr>
              <w:t>AFC standard</w:t>
            </w:r>
            <w:r w:rsidR="00C16F3A">
              <w:rPr>
                <w:rFonts w:cs="Arial"/>
                <w:bCs/>
                <w:color w:val="000000"/>
                <w:sz w:val="18"/>
                <w:szCs w:val="18"/>
              </w:rPr>
              <w:t xml:space="preserve"> (1 mM)</w:t>
            </w:r>
          </w:p>
        </w:tc>
        <w:tc>
          <w:tcPr>
            <w:tcW w:w="1159" w:type="pct"/>
            <w:vAlign w:val="center"/>
          </w:tcPr>
          <w:p w14:paraId="729C8628" w14:textId="0990A43E" w:rsidR="00550EC4" w:rsidRPr="00801148" w:rsidRDefault="00EF569C"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100 </w:t>
            </w:r>
            <w:r w:rsidRPr="00EF569C">
              <w:rPr>
                <w:rFonts w:cs="Arial"/>
                <w:color w:val="000000"/>
                <w:sz w:val="18"/>
                <w:szCs w:val="18"/>
                <w:lang w:val="en-GB"/>
              </w:rPr>
              <w:t>μL</w:t>
            </w:r>
          </w:p>
        </w:tc>
        <w:tc>
          <w:tcPr>
            <w:tcW w:w="1583" w:type="pct"/>
            <w:vAlign w:val="center"/>
          </w:tcPr>
          <w:p w14:paraId="79D3B366" w14:textId="5D63E629"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r w:rsidR="00D01CED">
              <w:rPr>
                <w:rFonts w:cs="Arial"/>
                <w:color w:val="000000"/>
                <w:sz w:val="18"/>
                <w:szCs w:val="18"/>
                <w:lang w:val="en-GB"/>
              </w:rPr>
              <w:t xml:space="preserve"> or +4</w:t>
            </w:r>
            <w:r w:rsidR="00D01CED" w:rsidRPr="00801148">
              <w:rPr>
                <w:rFonts w:cs="Arial"/>
                <w:color w:val="000000"/>
                <w:sz w:val="18"/>
                <w:szCs w:val="18"/>
                <w:lang w:val="en-GB"/>
              </w:rPr>
              <w:t>°C</w:t>
            </w:r>
          </w:p>
        </w:tc>
      </w:tr>
      <w:tr w:rsidR="00EF569C" w:rsidRPr="00801148" w14:paraId="407E068F" w14:textId="77777777" w:rsidTr="00E312B3">
        <w:trPr>
          <w:trHeight w:val="306"/>
          <w:jc w:val="center"/>
        </w:trPr>
        <w:tc>
          <w:tcPr>
            <w:tcW w:w="2258" w:type="pct"/>
            <w:vAlign w:val="center"/>
          </w:tcPr>
          <w:p w14:paraId="6AA88AC3" w14:textId="330983A4" w:rsidR="00EF569C" w:rsidRPr="00801148" w:rsidRDefault="00EF569C" w:rsidP="00EF569C">
            <w:pPr>
              <w:autoSpaceDE w:val="0"/>
              <w:autoSpaceDN w:val="0"/>
              <w:adjustRightInd w:val="0"/>
              <w:spacing w:before="60" w:after="60"/>
              <w:rPr>
                <w:rFonts w:cs="Arial"/>
                <w:bCs/>
                <w:color w:val="000000"/>
                <w:sz w:val="18"/>
                <w:szCs w:val="18"/>
              </w:rPr>
            </w:pPr>
            <w:r w:rsidRPr="00EF569C">
              <w:rPr>
                <w:rFonts w:cs="Arial"/>
                <w:bCs/>
                <w:color w:val="000000"/>
                <w:sz w:val="18"/>
                <w:szCs w:val="18"/>
              </w:rPr>
              <w:t>Aminopeptidase N Inhibitor</w:t>
            </w:r>
            <w:r w:rsidR="00B26CC9">
              <w:rPr>
                <w:rFonts w:cs="Arial"/>
                <w:bCs/>
                <w:color w:val="000000"/>
                <w:sz w:val="18"/>
                <w:szCs w:val="18"/>
              </w:rPr>
              <w:t xml:space="preserve"> (Lyophilized)</w:t>
            </w:r>
          </w:p>
        </w:tc>
        <w:tc>
          <w:tcPr>
            <w:tcW w:w="1159" w:type="pct"/>
          </w:tcPr>
          <w:p w14:paraId="5EE05978" w14:textId="35D71DC7" w:rsidR="00EF569C" w:rsidRPr="00801148" w:rsidRDefault="00EF569C" w:rsidP="00EF569C">
            <w:pPr>
              <w:autoSpaceDE w:val="0"/>
              <w:autoSpaceDN w:val="0"/>
              <w:adjustRightInd w:val="0"/>
              <w:spacing w:before="60" w:after="60"/>
              <w:jc w:val="center"/>
              <w:rPr>
                <w:rFonts w:cs="Arial"/>
                <w:color w:val="000000"/>
                <w:sz w:val="18"/>
                <w:szCs w:val="18"/>
                <w:lang w:val="en-GB"/>
              </w:rPr>
            </w:pPr>
            <w:r w:rsidRPr="004A1249">
              <w:rPr>
                <w:rFonts w:cs="Arial"/>
                <w:color w:val="000000"/>
                <w:sz w:val="18"/>
                <w:szCs w:val="18"/>
                <w:lang w:val="en-GB"/>
              </w:rPr>
              <w:t>1 vial</w:t>
            </w:r>
          </w:p>
        </w:tc>
        <w:tc>
          <w:tcPr>
            <w:tcW w:w="1583" w:type="pct"/>
            <w:vAlign w:val="center"/>
          </w:tcPr>
          <w:p w14:paraId="5FD52962" w14:textId="77777777" w:rsidR="00EF569C" w:rsidRPr="00801148" w:rsidRDefault="00EF569C" w:rsidP="00EF569C">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EF569C" w:rsidRPr="00801148" w14:paraId="202E895E" w14:textId="77777777" w:rsidTr="00E312B3">
        <w:trPr>
          <w:trHeight w:val="306"/>
          <w:jc w:val="center"/>
        </w:trPr>
        <w:tc>
          <w:tcPr>
            <w:tcW w:w="2258" w:type="pct"/>
            <w:vAlign w:val="center"/>
          </w:tcPr>
          <w:p w14:paraId="3E64842C" w14:textId="0C973551" w:rsidR="00EF569C" w:rsidRPr="00801148" w:rsidRDefault="00EF569C" w:rsidP="00EF569C">
            <w:pPr>
              <w:autoSpaceDE w:val="0"/>
              <w:autoSpaceDN w:val="0"/>
              <w:adjustRightInd w:val="0"/>
              <w:spacing w:before="60" w:after="60"/>
              <w:rPr>
                <w:rFonts w:cs="Arial"/>
                <w:bCs/>
                <w:color w:val="000000"/>
                <w:sz w:val="18"/>
                <w:szCs w:val="18"/>
              </w:rPr>
            </w:pPr>
            <w:r w:rsidRPr="00EF569C">
              <w:rPr>
                <w:rFonts w:cs="Arial"/>
                <w:bCs/>
                <w:color w:val="000000"/>
                <w:sz w:val="18"/>
                <w:szCs w:val="18"/>
              </w:rPr>
              <w:t>Aminopeptidase N Substrate</w:t>
            </w:r>
            <w:r w:rsidR="00B26CC9">
              <w:rPr>
                <w:rFonts w:cs="Arial"/>
                <w:bCs/>
                <w:color w:val="000000"/>
                <w:sz w:val="18"/>
                <w:szCs w:val="18"/>
              </w:rPr>
              <w:t xml:space="preserve"> (Lyophilized)</w:t>
            </w:r>
          </w:p>
        </w:tc>
        <w:tc>
          <w:tcPr>
            <w:tcW w:w="1159" w:type="pct"/>
          </w:tcPr>
          <w:p w14:paraId="312F515F" w14:textId="059D6B3B" w:rsidR="00EF569C" w:rsidRPr="00801148" w:rsidRDefault="00EF569C" w:rsidP="00EF569C">
            <w:pPr>
              <w:autoSpaceDE w:val="0"/>
              <w:autoSpaceDN w:val="0"/>
              <w:adjustRightInd w:val="0"/>
              <w:spacing w:before="60" w:after="60"/>
              <w:jc w:val="center"/>
              <w:rPr>
                <w:rFonts w:cs="Arial"/>
                <w:color w:val="000000"/>
                <w:sz w:val="18"/>
                <w:szCs w:val="18"/>
                <w:lang w:val="en-GB"/>
              </w:rPr>
            </w:pPr>
            <w:r w:rsidRPr="004A1249">
              <w:rPr>
                <w:rFonts w:cs="Arial"/>
                <w:color w:val="000000"/>
                <w:sz w:val="18"/>
                <w:szCs w:val="18"/>
                <w:lang w:val="en-GB"/>
              </w:rPr>
              <w:t>1 vial</w:t>
            </w:r>
          </w:p>
        </w:tc>
        <w:tc>
          <w:tcPr>
            <w:tcW w:w="1583" w:type="pct"/>
            <w:vAlign w:val="center"/>
          </w:tcPr>
          <w:p w14:paraId="7F5164A0" w14:textId="24028A7C" w:rsidR="00EF569C" w:rsidRPr="00801148" w:rsidRDefault="00EF569C" w:rsidP="00EF569C">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EF569C" w:rsidRPr="00801148" w14:paraId="68E30713" w14:textId="77777777" w:rsidTr="00E312B3">
        <w:trPr>
          <w:trHeight w:val="306"/>
          <w:jc w:val="center"/>
        </w:trPr>
        <w:tc>
          <w:tcPr>
            <w:tcW w:w="2258" w:type="pct"/>
            <w:vAlign w:val="center"/>
          </w:tcPr>
          <w:p w14:paraId="59AE9EAF" w14:textId="0B028D04" w:rsidR="00EF569C" w:rsidRPr="00801148" w:rsidRDefault="00EF569C" w:rsidP="00EF569C">
            <w:pPr>
              <w:autoSpaceDE w:val="0"/>
              <w:autoSpaceDN w:val="0"/>
              <w:adjustRightInd w:val="0"/>
              <w:spacing w:before="60" w:after="60"/>
              <w:rPr>
                <w:rFonts w:cs="Arial"/>
                <w:bCs/>
                <w:color w:val="000000"/>
                <w:sz w:val="18"/>
                <w:szCs w:val="18"/>
              </w:rPr>
            </w:pPr>
            <w:r w:rsidRPr="00EF569C">
              <w:rPr>
                <w:rFonts w:cs="Arial"/>
                <w:bCs/>
                <w:color w:val="000000"/>
                <w:sz w:val="18"/>
                <w:szCs w:val="18"/>
              </w:rPr>
              <w:t>Aminopeptidase N Positive Control</w:t>
            </w:r>
            <w:r w:rsidR="00B26CC9">
              <w:rPr>
                <w:rFonts w:cs="Arial"/>
                <w:bCs/>
                <w:color w:val="000000"/>
                <w:sz w:val="18"/>
                <w:szCs w:val="18"/>
              </w:rPr>
              <w:t xml:space="preserve"> (Lyophilized)</w:t>
            </w:r>
          </w:p>
        </w:tc>
        <w:tc>
          <w:tcPr>
            <w:tcW w:w="1159" w:type="pct"/>
          </w:tcPr>
          <w:p w14:paraId="1B0A89D3" w14:textId="1892D2C7" w:rsidR="00EF569C" w:rsidRPr="00801148" w:rsidRDefault="00EF569C" w:rsidP="00EF569C">
            <w:pPr>
              <w:autoSpaceDE w:val="0"/>
              <w:autoSpaceDN w:val="0"/>
              <w:adjustRightInd w:val="0"/>
              <w:spacing w:before="60" w:after="60"/>
              <w:jc w:val="center"/>
              <w:rPr>
                <w:rFonts w:cs="Arial"/>
                <w:color w:val="000000"/>
                <w:sz w:val="18"/>
                <w:szCs w:val="18"/>
                <w:lang w:val="en-GB"/>
              </w:rPr>
            </w:pPr>
            <w:r w:rsidRPr="004A1249">
              <w:rPr>
                <w:rFonts w:cs="Arial"/>
                <w:color w:val="000000"/>
                <w:sz w:val="18"/>
                <w:szCs w:val="18"/>
                <w:lang w:val="en-GB"/>
              </w:rPr>
              <w:t>1 vial</w:t>
            </w:r>
          </w:p>
        </w:tc>
        <w:tc>
          <w:tcPr>
            <w:tcW w:w="1583" w:type="pct"/>
            <w:vAlign w:val="center"/>
          </w:tcPr>
          <w:p w14:paraId="7E562CDB" w14:textId="10878979" w:rsidR="00EF569C" w:rsidRPr="00801148" w:rsidRDefault="00EF569C" w:rsidP="00EF569C">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bl>
    <w:p w14:paraId="2413A8A7" w14:textId="77777777"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7" w:name="_Toc446403817"/>
      <w:bookmarkStart w:id="18" w:name="_Toc3975036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7"/>
      <w:bookmarkEnd w:id="18"/>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50EBD563" w14:textId="77777777" w:rsidR="00DB6893" w:rsidRDefault="00DB6893" w:rsidP="008A2F6E">
      <w:pPr>
        <w:pStyle w:val="1AbcamStandardtext"/>
        <w:numPr>
          <w:ilvl w:val="0"/>
          <w:numId w:val="9"/>
        </w:numPr>
        <w:rPr>
          <w:rFonts w:eastAsiaTheme="minorHAnsi" w:cstheme="minorBidi"/>
          <w:szCs w:val="20"/>
        </w:rPr>
      </w:pPr>
      <w:r w:rsidRPr="00DB6893">
        <w:rPr>
          <w:rFonts w:eastAsiaTheme="minorHAnsi" w:cstheme="minorBidi"/>
          <w:szCs w:val="20"/>
        </w:rPr>
        <w:t xml:space="preserve">Multiwell fluorescence microplate reader </w:t>
      </w:r>
    </w:p>
    <w:p w14:paraId="535ABA3D" w14:textId="77777777" w:rsidR="00DB6893" w:rsidRDefault="00DB6893" w:rsidP="008A2F6E">
      <w:pPr>
        <w:pStyle w:val="1AbcamStandardtext"/>
        <w:numPr>
          <w:ilvl w:val="0"/>
          <w:numId w:val="9"/>
        </w:numPr>
        <w:rPr>
          <w:rFonts w:eastAsiaTheme="minorHAnsi" w:cstheme="minorBidi"/>
          <w:szCs w:val="20"/>
        </w:rPr>
      </w:pPr>
      <w:r w:rsidRPr="00DB6893">
        <w:rPr>
          <w:rFonts w:eastAsiaTheme="minorHAnsi" w:cstheme="minorBidi"/>
          <w:szCs w:val="20"/>
        </w:rPr>
        <w:t xml:space="preserve">Precision multi-channel pipette and reagent reservoir </w:t>
      </w:r>
    </w:p>
    <w:p w14:paraId="402B3148" w14:textId="538FEBED" w:rsidR="000E4FA8" w:rsidRPr="00FF16D6" w:rsidRDefault="00DB6893" w:rsidP="008A2F6E">
      <w:pPr>
        <w:pStyle w:val="1AbcamStandardtext"/>
        <w:numPr>
          <w:ilvl w:val="0"/>
          <w:numId w:val="9"/>
        </w:numPr>
        <w:rPr>
          <w:rFonts w:eastAsiaTheme="minorHAnsi" w:cstheme="minorBidi"/>
          <w:szCs w:val="20"/>
        </w:rPr>
      </w:pPr>
      <w:r w:rsidRPr="00DB6893">
        <w:rPr>
          <w:rFonts w:eastAsiaTheme="minorHAnsi" w:cstheme="minorBidi"/>
          <w:szCs w:val="20"/>
        </w:rPr>
        <w:t xml:space="preserve">96-well plates with flat bottom (either a clear or a black plate is preferred) </w:t>
      </w:r>
      <w:r w:rsidR="000E4FA8" w:rsidRPr="002A066A">
        <w:br w:type="page"/>
      </w:r>
    </w:p>
    <w:p w14:paraId="540E6A7A" w14:textId="77777777" w:rsidR="000E4FA8" w:rsidRPr="002A066A" w:rsidRDefault="000E4FA8" w:rsidP="001E2DD7">
      <w:pPr>
        <w:pStyle w:val="1Abcamheading"/>
      </w:pPr>
      <w:bookmarkStart w:id="19" w:name="_Toc446403818"/>
      <w:bookmarkStart w:id="20" w:name="_Toc39750367"/>
      <w:r w:rsidRPr="002A066A">
        <w:lastRenderedPageBreak/>
        <w:t>Technical Hints</w:t>
      </w:r>
      <w:bookmarkEnd w:id="19"/>
      <w:bookmarkEnd w:id="20"/>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5C8BE462"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7DC56BD3" w14:textId="77777777" w:rsidR="000E4FA8" w:rsidRPr="002A066A" w:rsidRDefault="000E4FA8" w:rsidP="001E2DD7">
      <w:pPr>
        <w:pStyle w:val="1Abcamheading"/>
      </w:pPr>
      <w:bookmarkStart w:id="21" w:name="_Toc446403819"/>
      <w:bookmarkStart w:id="22" w:name="_Toc39750368"/>
      <w:r w:rsidRPr="002A066A">
        <w:lastRenderedPageBreak/>
        <w:t>R</w:t>
      </w:r>
      <w:r w:rsidR="00174FD5" w:rsidRPr="002A066A">
        <w:t>eagent P</w:t>
      </w:r>
      <w:r w:rsidRPr="002A066A">
        <w:t>reparation</w:t>
      </w:r>
      <w:bookmarkEnd w:id="21"/>
      <w:bookmarkEnd w:id="22"/>
    </w:p>
    <w:p w14:paraId="6FEEB61C" w14:textId="75B108FC" w:rsidR="00801148" w:rsidRPr="00B86524" w:rsidRDefault="00801148" w:rsidP="00D01CED">
      <w:pPr>
        <w:pStyle w:val="1AbcamStandardtext"/>
      </w:pPr>
      <w:r w:rsidRPr="00B86524">
        <w:t>Briefly centrifuge small vials at low speed prior to opening.</w:t>
      </w:r>
      <w:r>
        <w:t xml:space="preserve"> </w:t>
      </w:r>
    </w:p>
    <w:p w14:paraId="25E6BBA1" w14:textId="608AFC24" w:rsidR="00BA75F8" w:rsidRDefault="00BA75F8" w:rsidP="008A2F6E">
      <w:pPr>
        <w:pStyle w:val="1AbcamStandardtext"/>
      </w:pPr>
    </w:p>
    <w:p w14:paraId="5BABB883" w14:textId="1E29C942" w:rsidR="00D01CED" w:rsidRPr="00D01CED" w:rsidRDefault="00EF569C" w:rsidP="00D01CED">
      <w:pPr>
        <w:numPr>
          <w:ilvl w:val="1"/>
          <w:numId w:val="19"/>
        </w:numPr>
        <w:tabs>
          <w:tab w:val="clear" w:pos="0"/>
          <w:tab w:val="num" w:pos="142"/>
        </w:tabs>
        <w:spacing w:before="60" w:after="60"/>
        <w:ind w:left="709"/>
        <w:rPr>
          <w:rFonts w:eastAsiaTheme="minorHAnsi" w:cstheme="minorBidi"/>
          <w:b/>
          <w:bCs/>
        </w:rPr>
      </w:pPr>
      <w:r>
        <w:rPr>
          <w:rFonts w:eastAsiaTheme="minorHAnsi" w:cstheme="minorBidi"/>
          <w:b/>
          <w:bCs/>
        </w:rPr>
        <w:t>AFC</w:t>
      </w:r>
      <w:r w:rsidR="00D01CED" w:rsidRPr="00D01CED">
        <w:rPr>
          <w:rFonts w:eastAsiaTheme="minorHAnsi" w:cstheme="minorBidi"/>
          <w:b/>
          <w:bCs/>
        </w:rPr>
        <w:t xml:space="preserve"> </w:t>
      </w:r>
      <w:r>
        <w:rPr>
          <w:rFonts w:eastAsiaTheme="minorHAnsi" w:cstheme="minorBidi"/>
          <w:b/>
          <w:bCs/>
        </w:rPr>
        <w:t>Standard</w:t>
      </w:r>
      <w:r w:rsidR="00D01CED" w:rsidRPr="00D01CED">
        <w:rPr>
          <w:rFonts w:eastAsiaTheme="minorHAnsi" w:cstheme="minorBidi"/>
          <w:b/>
          <w:bCs/>
        </w:rPr>
        <w:t>:</w:t>
      </w:r>
    </w:p>
    <w:p w14:paraId="65D26B41" w14:textId="761D71B4" w:rsidR="00D01CED" w:rsidRPr="00D01CED" w:rsidRDefault="00D35624" w:rsidP="00D35624">
      <w:pPr>
        <w:spacing w:before="60" w:after="60"/>
        <w:ind w:left="709"/>
        <w:rPr>
          <w:rFonts w:eastAsiaTheme="minorHAnsi" w:cstheme="minorBidi"/>
          <w:b/>
          <w:bCs/>
        </w:rPr>
      </w:pPr>
      <w:r w:rsidRPr="00D35624">
        <w:rPr>
          <w:rFonts w:eastAsiaTheme="minorHAnsi" w:cstheme="minorBidi"/>
        </w:rPr>
        <w:t>Provided as a 1 mM stock solution in DMSO. Store at -20°C,</w:t>
      </w:r>
      <w:r>
        <w:rPr>
          <w:rFonts w:eastAsiaTheme="minorHAnsi" w:cstheme="minorBidi"/>
        </w:rPr>
        <w:t xml:space="preserve">       </w:t>
      </w:r>
      <w:r w:rsidRPr="00D35624">
        <w:rPr>
          <w:rFonts w:eastAsiaTheme="minorHAnsi" w:cstheme="minorBidi"/>
        </w:rPr>
        <w:t>protected from light. Stable for 5 freeze/thaw cycles.</w:t>
      </w:r>
    </w:p>
    <w:p w14:paraId="28EC6D3B" w14:textId="369AA70D" w:rsidR="00D01CED" w:rsidRPr="00D01CED" w:rsidRDefault="00D35624" w:rsidP="00D01CED">
      <w:pPr>
        <w:numPr>
          <w:ilvl w:val="1"/>
          <w:numId w:val="19"/>
        </w:numPr>
        <w:tabs>
          <w:tab w:val="clear" w:pos="0"/>
          <w:tab w:val="num" w:pos="142"/>
        </w:tabs>
        <w:spacing w:before="60" w:after="60"/>
        <w:ind w:left="709"/>
        <w:rPr>
          <w:rFonts w:eastAsiaTheme="minorHAnsi" w:cstheme="minorBidi"/>
          <w:b/>
          <w:bCs/>
        </w:rPr>
      </w:pPr>
      <w:r w:rsidRPr="00D35624">
        <w:rPr>
          <w:rFonts w:eastAsiaTheme="minorHAnsi" w:cstheme="minorBidi"/>
          <w:b/>
          <w:bCs/>
        </w:rPr>
        <w:t>Aminopeptidase N Inhibitor (t-BPAPP)</w:t>
      </w:r>
      <w:r w:rsidR="00D01CED" w:rsidRPr="00D01CED">
        <w:rPr>
          <w:rFonts w:eastAsiaTheme="minorHAnsi" w:cstheme="minorBidi"/>
          <w:b/>
          <w:bCs/>
        </w:rPr>
        <w:t>:</w:t>
      </w:r>
    </w:p>
    <w:p w14:paraId="358D2F50" w14:textId="22F77620" w:rsidR="00D01CED" w:rsidRPr="00D01CED" w:rsidRDefault="00D35624" w:rsidP="00D35624">
      <w:pPr>
        <w:spacing w:before="60" w:after="60"/>
        <w:ind w:left="709"/>
        <w:rPr>
          <w:rFonts w:eastAsiaTheme="minorHAnsi" w:cstheme="minorBidi"/>
        </w:rPr>
      </w:pPr>
      <w:r w:rsidRPr="00D35624">
        <w:rPr>
          <w:rFonts w:eastAsiaTheme="minorHAnsi" w:cstheme="minorBidi"/>
        </w:rPr>
        <w:t>Reconstitute with 155 µ</w:t>
      </w:r>
      <w:r w:rsidR="00DB6893">
        <w:rPr>
          <w:rFonts w:eastAsiaTheme="minorHAnsi" w:cstheme="minorBidi"/>
        </w:rPr>
        <w:t>L</w:t>
      </w:r>
      <w:r w:rsidRPr="00D35624">
        <w:rPr>
          <w:rFonts w:eastAsiaTheme="minorHAnsi" w:cstheme="minorBidi"/>
        </w:rPr>
        <w:t xml:space="preserve"> of dH</w:t>
      </w:r>
      <w:r w:rsidRPr="00DB6893">
        <w:rPr>
          <w:rFonts w:eastAsiaTheme="minorHAnsi" w:cstheme="minorBidi"/>
          <w:vertAlign w:val="subscript"/>
        </w:rPr>
        <w:t>2</w:t>
      </w:r>
      <w:r w:rsidRPr="00D35624">
        <w:rPr>
          <w:rFonts w:eastAsiaTheme="minorHAnsi" w:cstheme="minorBidi"/>
        </w:rPr>
        <w:t>O and vortex to yield a 14 mM stock solution. To prepare a</w:t>
      </w:r>
      <w:r>
        <w:rPr>
          <w:rFonts w:eastAsiaTheme="minorHAnsi" w:cstheme="minorBidi"/>
        </w:rPr>
        <w:t xml:space="preserve"> </w:t>
      </w:r>
      <w:r w:rsidRPr="00D35624">
        <w:rPr>
          <w:rFonts w:eastAsiaTheme="minorHAnsi" w:cstheme="minorBidi"/>
        </w:rPr>
        <w:t>3.5 mM working solution (10X final concentration), add 125 µ</w:t>
      </w:r>
      <w:r w:rsidR="00DB6893">
        <w:rPr>
          <w:rFonts w:eastAsiaTheme="minorHAnsi" w:cstheme="minorBidi"/>
        </w:rPr>
        <w:t>L</w:t>
      </w:r>
      <w:r w:rsidRPr="00D35624">
        <w:rPr>
          <w:rFonts w:eastAsiaTheme="minorHAnsi" w:cstheme="minorBidi"/>
        </w:rPr>
        <w:t xml:space="preserve"> of the 14 mM stock solution to 375 µ</w:t>
      </w:r>
      <w:r w:rsidR="00DB6893">
        <w:rPr>
          <w:rFonts w:eastAsiaTheme="minorHAnsi" w:cstheme="minorBidi"/>
        </w:rPr>
        <w:t>L</w:t>
      </w:r>
      <w:r w:rsidRPr="00D35624">
        <w:rPr>
          <w:rFonts w:eastAsiaTheme="minorHAnsi" w:cstheme="minorBidi"/>
        </w:rPr>
        <w:t xml:space="preserve"> of dH</w:t>
      </w:r>
      <w:r w:rsidRPr="00DB6893">
        <w:rPr>
          <w:rFonts w:eastAsiaTheme="minorHAnsi" w:cstheme="minorBidi"/>
          <w:vertAlign w:val="subscript"/>
        </w:rPr>
        <w:t>2</w:t>
      </w:r>
      <w:r w:rsidRPr="00D35624">
        <w:rPr>
          <w:rFonts w:eastAsiaTheme="minorHAnsi" w:cstheme="minorBidi"/>
        </w:rPr>
        <w:t>O. The 3.5 mM working</w:t>
      </w:r>
      <w:r>
        <w:rPr>
          <w:rFonts w:eastAsiaTheme="minorHAnsi" w:cstheme="minorBidi"/>
        </w:rPr>
        <w:t xml:space="preserve"> </w:t>
      </w:r>
      <w:r w:rsidRPr="00D35624">
        <w:rPr>
          <w:rFonts w:eastAsiaTheme="minorHAnsi" w:cstheme="minorBidi"/>
        </w:rPr>
        <w:t>solution should be stored at -20°C and is stable for at least 3 freeze/thaw cycles</w:t>
      </w:r>
    </w:p>
    <w:p w14:paraId="54962AB2" w14:textId="23288392" w:rsidR="00D01CED" w:rsidRDefault="00D35624" w:rsidP="00D01CED">
      <w:pPr>
        <w:numPr>
          <w:ilvl w:val="1"/>
          <w:numId w:val="19"/>
        </w:numPr>
        <w:tabs>
          <w:tab w:val="clear" w:pos="0"/>
          <w:tab w:val="num" w:pos="142"/>
        </w:tabs>
        <w:spacing w:before="60" w:after="60"/>
        <w:ind w:left="709"/>
        <w:rPr>
          <w:rFonts w:eastAsiaTheme="minorHAnsi" w:cstheme="minorBidi"/>
          <w:b/>
          <w:bCs/>
        </w:rPr>
      </w:pPr>
      <w:r w:rsidRPr="00D35624">
        <w:rPr>
          <w:rFonts w:eastAsiaTheme="minorHAnsi" w:cstheme="minorBidi"/>
          <w:b/>
          <w:bCs/>
        </w:rPr>
        <w:t>Aminopeptidase N Substrate</w:t>
      </w:r>
      <w:r w:rsidR="00D01CED">
        <w:rPr>
          <w:rFonts w:eastAsiaTheme="minorHAnsi" w:cstheme="minorBidi"/>
          <w:b/>
          <w:bCs/>
        </w:rPr>
        <w:t>:</w:t>
      </w:r>
    </w:p>
    <w:p w14:paraId="422FD92D" w14:textId="3BE5C6A4" w:rsidR="00D01CED" w:rsidRPr="00D01CED" w:rsidRDefault="00D35624" w:rsidP="00D35624">
      <w:pPr>
        <w:spacing w:before="60" w:after="60"/>
        <w:ind w:left="709" w:hanging="142"/>
        <w:rPr>
          <w:rFonts w:eastAsiaTheme="minorHAnsi" w:cstheme="minorBidi"/>
        </w:rPr>
      </w:pPr>
      <w:r>
        <w:rPr>
          <w:rFonts w:eastAsiaTheme="minorHAnsi" w:cstheme="minorBidi"/>
        </w:rPr>
        <w:t xml:space="preserve">  </w:t>
      </w:r>
      <w:r w:rsidRPr="00D35624">
        <w:rPr>
          <w:rFonts w:eastAsiaTheme="minorHAnsi" w:cstheme="minorBidi"/>
        </w:rPr>
        <w:t>Reconstitute with 110 µ</w:t>
      </w:r>
      <w:r w:rsidR="00DB6893">
        <w:rPr>
          <w:rFonts w:eastAsiaTheme="minorHAnsi" w:cstheme="minorBidi"/>
        </w:rPr>
        <w:t>L</w:t>
      </w:r>
      <w:r w:rsidRPr="00D35624">
        <w:rPr>
          <w:rFonts w:eastAsiaTheme="minorHAnsi" w:cstheme="minorBidi"/>
        </w:rPr>
        <w:t xml:space="preserve"> of dH</w:t>
      </w:r>
      <w:r w:rsidRPr="00DB6893">
        <w:rPr>
          <w:rFonts w:eastAsiaTheme="minorHAnsi" w:cstheme="minorBidi"/>
          <w:vertAlign w:val="subscript"/>
        </w:rPr>
        <w:t>2</w:t>
      </w:r>
      <w:r w:rsidRPr="00D35624">
        <w:rPr>
          <w:rFonts w:eastAsiaTheme="minorHAnsi" w:cstheme="minorBidi"/>
        </w:rPr>
        <w:t>O to obtain a 100X stock</w:t>
      </w:r>
      <w:r>
        <w:rPr>
          <w:rFonts w:eastAsiaTheme="minorHAnsi" w:cstheme="minorBidi"/>
        </w:rPr>
        <w:t xml:space="preserve"> </w:t>
      </w:r>
      <w:r w:rsidRPr="00D35624">
        <w:rPr>
          <w:rFonts w:eastAsiaTheme="minorHAnsi" w:cstheme="minorBidi"/>
        </w:rPr>
        <w:t>solution. Store at -20°C, protected from light.</w:t>
      </w:r>
      <w:r>
        <w:rPr>
          <w:rFonts w:eastAsiaTheme="minorHAnsi" w:cstheme="minorBidi"/>
        </w:rPr>
        <w:t xml:space="preserve"> </w:t>
      </w:r>
      <w:r w:rsidRPr="00D35624">
        <w:rPr>
          <w:rFonts w:eastAsiaTheme="minorHAnsi" w:cstheme="minorBidi"/>
        </w:rPr>
        <w:t>Stable for at least 3 freeze/thaw cycles</w:t>
      </w:r>
      <w:r w:rsidR="00D01CED" w:rsidRPr="00D01CED">
        <w:rPr>
          <w:rFonts w:eastAsiaTheme="minorHAnsi" w:cstheme="minorBidi"/>
        </w:rPr>
        <w:t>.</w:t>
      </w:r>
    </w:p>
    <w:p w14:paraId="6672049A" w14:textId="6938BC48" w:rsidR="00D01CED" w:rsidRDefault="00D35624" w:rsidP="00D01CED">
      <w:pPr>
        <w:numPr>
          <w:ilvl w:val="1"/>
          <w:numId w:val="19"/>
        </w:numPr>
        <w:tabs>
          <w:tab w:val="clear" w:pos="0"/>
          <w:tab w:val="num" w:pos="142"/>
        </w:tabs>
        <w:spacing w:before="60" w:after="60"/>
        <w:ind w:left="709"/>
        <w:rPr>
          <w:rFonts w:eastAsiaTheme="minorHAnsi" w:cstheme="minorBidi"/>
          <w:b/>
          <w:bCs/>
        </w:rPr>
      </w:pPr>
      <w:r w:rsidRPr="00D35624">
        <w:rPr>
          <w:rFonts w:eastAsiaTheme="minorHAnsi" w:cstheme="minorBidi"/>
          <w:b/>
          <w:bCs/>
        </w:rPr>
        <w:t>Aminopeptidase N Positive Control:</w:t>
      </w:r>
    </w:p>
    <w:p w14:paraId="1ACE793C" w14:textId="697A150D" w:rsidR="00D01CED" w:rsidRPr="00D01CED" w:rsidRDefault="00BD684F" w:rsidP="00D35624">
      <w:pPr>
        <w:spacing w:before="60" w:after="60"/>
        <w:ind w:left="709"/>
        <w:rPr>
          <w:rFonts w:eastAsiaTheme="minorHAnsi" w:cstheme="minorBidi"/>
        </w:rPr>
      </w:pPr>
      <w:r w:rsidRPr="00BD684F">
        <w:rPr>
          <w:rFonts w:eastAsiaTheme="minorHAnsi" w:cstheme="minorBidi"/>
        </w:rPr>
        <w:t xml:space="preserve">Reconstitute </w:t>
      </w:r>
      <w:r w:rsidR="00D35624" w:rsidRPr="00D35624">
        <w:rPr>
          <w:rFonts w:eastAsiaTheme="minorHAnsi" w:cstheme="minorBidi"/>
        </w:rPr>
        <w:t>with 110 µ</w:t>
      </w:r>
      <w:r w:rsidR="00DB6893">
        <w:rPr>
          <w:rFonts w:eastAsiaTheme="minorHAnsi" w:cstheme="minorBidi"/>
        </w:rPr>
        <w:t>L</w:t>
      </w:r>
      <w:r w:rsidR="00D35624" w:rsidRPr="00D35624">
        <w:rPr>
          <w:rFonts w:eastAsiaTheme="minorHAnsi" w:cstheme="minorBidi"/>
        </w:rPr>
        <w:t xml:space="preserve"> Aminopeptidase Assay Buffer and mix contents thoroughly. Aliquot and</w:t>
      </w:r>
      <w:r w:rsidR="00D35624">
        <w:rPr>
          <w:rFonts w:eastAsiaTheme="minorHAnsi" w:cstheme="minorBidi"/>
        </w:rPr>
        <w:t xml:space="preserve"> </w:t>
      </w:r>
      <w:r w:rsidR="00D35624" w:rsidRPr="00D35624">
        <w:rPr>
          <w:rFonts w:eastAsiaTheme="minorHAnsi" w:cstheme="minorBidi"/>
        </w:rPr>
        <w:t>store at -20°C, avoid repeated freeze/thaw cycles</w:t>
      </w:r>
    </w:p>
    <w:p w14:paraId="4EF7E42B" w14:textId="3F2F57CD" w:rsidR="00D01CED" w:rsidRDefault="00D01CED" w:rsidP="00D35624">
      <w:pPr>
        <w:spacing w:before="60" w:after="60"/>
        <w:ind w:left="709"/>
      </w:pPr>
    </w:p>
    <w:p w14:paraId="6E38C389" w14:textId="12B25E86" w:rsidR="00D01CED" w:rsidRDefault="00D01CED" w:rsidP="008A2F6E">
      <w:pPr>
        <w:pStyle w:val="1AbcamStandardtext"/>
      </w:pPr>
    </w:p>
    <w:p w14:paraId="5FE108FA" w14:textId="572257E7" w:rsidR="00D01CED" w:rsidRDefault="00D01CED" w:rsidP="008A2F6E">
      <w:pPr>
        <w:pStyle w:val="1AbcamStandardtext"/>
      </w:pPr>
    </w:p>
    <w:p w14:paraId="5B932723" w14:textId="37514AF9" w:rsidR="00D01CED" w:rsidRDefault="00D01CED" w:rsidP="008A2F6E">
      <w:pPr>
        <w:pStyle w:val="1AbcamStandardtext"/>
      </w:pPr>
    </w:p>
    <w:p w14:paraId="44B60374" w14:textId="15AF608B" w:rsidR="00D01CED" w:rsidRDefault="00D01CED" w:rsidP="008A2F6E">
      <w:pPr>
        <w:pStyle w:val="1AbcamStandardtext"/>
      </w:pPr>
    </w:p>
    <w:p w14:paraId="04178174" w14:textId="14CDE129" w:rsidR="00D01CED" w:rsidRDefault="00D01CED" w:rsidP="008A2F6E">
      <w:pPr>
        <w:pStyle w:val="1AbcamStandardtext"/>
      </w:pPr>
    </w:p>
    <w:p w14:paraId="3943A734" w14:textId="73725067" w:rsidR="00D01CED" w:rsidRDefault="00D01CED" w:rsidP="008A2F6E">
      <w:pPr>
        <w:pStyle w:val="1AbcamStandardtext"/>
      </w:pPr>
    </w:p>
    <w:p w14:paraId="03836972" w14:textId="6370EEC9" w:rsidR="00D01CED" w:rsidRDefault="00D01CED" w:rsidP="008A2F6E">
      <w:pPr>
        <w:pStyle w:val="1AbcamStandardtext"/>
      </w:pPr>
    </w:p>
    <w:p w14:paraId="7E8593F2" w14:textId="65899F93" w:rsidR="00D01CED" w:rsidRDefault="00D01CED" w:rsidP="008A2F6E">
      <w:pPr>
        <w:pStyle w:val="1AbcamStandardtext"/>
      </w:pPr>
    </w:p>
    <w:p w14:paraId="6BBBC38F" w14:textId="1D4A3A24" w:rsidR="00D01CED" w:rsidRDefault="00D01CED" w:rsidP="008A2F6E">
      <w:pPr>
        <w:pStyle w:val="1AbcamStandardtext"/>
      </w:pPr>
    </w:p>
    <w:p w14:paraId="43A52DDA" w14:textId="32DCD592" w:rsidR="00D01CED" w:rsidRDefault="00D01CED" w:rsidP="008A2F6E">
      <w:pPr>
        <w:pStyle w:val="1AbcamStandardtext"/>
      </w:pPr>
    </w:p>
    <w:p w14:paraId="5CF9FF8E" w14:textId="591E4186" w:rsidR="00D01CED" w:rsidRDefault="00D01CED" w:rsidP="008A2F6E">
      <w:pPr>
        <w:pStyle w:val="1AbcamStandardtext"/>
      </w:pPr>
    </w:p>
    <w:p w14:paraId="78C494F5" w14:textId="28936EB2" w:rsidR="00BD684F" w:rsidRDefault="00BD684F" w:rsidP="008A2F6E">
      <w:pPr>
        <w:pStyle w:val="1AbcamStandardtext"/>
      </w:pPr>
    </w:p>
    <w:p w14:paraId="3B0A6786" w14:textId="77777777" w:rsidR="00BD684F" w:rsidRDefault="00BD684F" w:rsidP="008A2F6E">
      <w:pPr>
        <w:pStyle w:val="1AbcamStandardtext"/>
      </w:pPr>
    </w:p>
    <w:p w14:paraId="0FA05DF2" w14:textId="77777777" w:rsidR="00BA75F8" w:rsidRDefault="00BA75F8" w:rsidP="008A2F6E">
      <w:pPr>
        <w:pStyle w:val="1AbcamStandardtext"/>
      </w:pPr>
    </w:p>
    <w:p w14:paraId="7AEA7FE7" w14:textId="77777777" w:rsidR="00BA75F8" w:rsidRPr="002A066A" w:rsidRDefault="00BA75F8" w:rsidP="00BA75F8">
      <w:pPr>
        <w:pStyle w:val="1Abcamheading"/>
      </w:pPr>
      <w:bookmarkStart w:id="23" w:name="_Toc39750369"/>
      <w:r>
        <w:lastRenderedPageBreak/>
        <w:t xml:space="preserve">Sample </w:t>
      </w:r>
      <w:r w:rsidRPr="002A066A">
        <w:t>Preparation</w:t>
      </w:r>
      <w:bookmarkEnd w:id="23"/>
    </w:p>
    <w:p w14:paraId="7C560EEC" w14:textId="0B34651C" w:rsidR="00527F9D" w:rsidRPr="00527F9D" w:rsidRDefault="00527F9D" w:rsidP="00527F9D">
      <w:pPr>
        <w:pStyle w:val="11Abcam"/>
        <w:rPr>
          <w:b/>
          <w:bCs/>
        </w:rPr>
      </w:pPr>
      <w:r w:rsidRPr="00527F9D">
        <w:rPr>
          <w:b/>
          <w:bCs/>
        </w:rPr>
        <w:t>Tissue/cell lysate preparation:</w:t>
      </w:r>
    </w:p>
    <w:p w14:paraId="21977477" w14:textId="0634D57C" w:rsidR="00256655" w:rsidRDefault="00527F9D" w:rsidP="00527F9D">
      <w:pPr>
        <w:pStyle w:val="111Abcam"/>
      </w:pPr>
      <w:r w:rsidRPr="00527F9D">
        <w:t>Homogenize tissue (</w:t>
      </w:r>
      <w:r w:rsidR="002D6E97">
        <w:t xml:space="preserve">25 </w:t>
      </w:r>
      <w:r w:rsidRPr="00527F9D">
        <w:t>mg) or pelleted</w:t>
      </w:r>
      <w:r w:rsidR="00256655">
        <w:t>, pre-washed</w:t>
      </w:r>
      <w:r w:rsidRPr="00527F9D">
        <w:t xml:space="preserve"> cells (</w:t>
      </w:r>
      <w:r w:rsidR="002D6E97">
        <w:t xml:space="preserve">2.5 </w:t>
      </w:r>
      <w:r w:rsidRPr="00527F9D">
        <w:t>x 10</w:t>
      </w:r>
      <w:r w:rsidRPr="00527F9D">
        <w:rPr>
          <w:vertAlign w:val="superscript"/>
        </w:rPr>
        <w:t>6</w:t>
      </w:r>
      <w:r w:rsidRPr="00527F9D">
        <w:t xml:space="preserve"> ) with </w:t>
      </w:r>
      <w:r w:rsidR="002D6E97">
        <w:t>2</w:t>
      </w:r>
      <w:r w:rsidR="00BD684F">
        <w:t>50</w:t>
      </w:r>
      <w:r w:rsidRPr="00527F9D">
        <w:t xml:space="preserve"> µ</w:t>
      </w:r>
      <w:r>
        <w:t>L</w:t>
      </w:r>
      <w:r w:rsidRPr="00527F9D">
        <w:t xml:space="preserve"> </w:t>
      </w:r>
      <w:r w:rsidR="002D6E97">
        <w:t xml:space="preserve">ice-cold </w:t>
      </w:r>
      <w:r w:rsidR="00927B65">
        <w:t>A</w:t>
      </w:r>
      <w:r w:rsidR="00256655">
        <w:t>minopeptidase</w:t>
      </w:r>
      <w:r w:rsidRPr="00527F9D">
        <w:t xml:space="preserve"> </w:t>
      </w:r>
      <w:r w:rsidR="002D6E97">
        <w:t>Assay</w:t>
      </w:r>
      <w:r w:rsidRPr="00527F9D">
        <w:t xml:space="preserve"> Buffer</w:t>
      </w:r>
      <w:r w:rsidR="00256655">
        <w:t>.</w:t>
      </w:r>
    </w:p>
    <w:p w14:paraId="4C1B79C9" w14:textId="77777777" w:rsidR="00256655" w:rsidRDefault="00256655" w:rsidP="00527F9D">
      <w:pPr>
        <w:pStyle w:val="111Abcam"/>
      </w:pPr>
      <w:r w:rsidRPr="00256655">
        <w:t xml:space="preserve">Centrifuge the homogenate (10,000 x </w:t>
      </w:r>
      <w:r w:rsidRPr="00256655">
        <w:rPr>
          <w:i/>
          <w:iCs/>
        </w:rPr>
        <w:t>g</w:t>
      </w:r>
      <w:r w:rsidRPr="00256655">
        <w:t xml:space="preserve">) at 4°C for 15 min and transfer the supernatant to a new microfuge tube. </w:t>
      </w:r>
    </w:p>
    <w:p w14:paraId="1C40CC58" w14:textId="2C7257BB" w:rsidR="00391435" w:rsidRPr="00391435" w:rsidRDefault="00391435" w:rsidP="00391435"/>
    <w:p w14:paraId="7F3FBE8F" w14:textId="4C7D3446" w:rsidR="00BA75F8" w:rsidRPr="007B5BCD" w:rsidRDefault="00BA75F8" w:rsidP="00BA75F8">
      <w:pPr>
        <w:pStyle w:val="1AbcamBulletpoints"/>
        <w:numPr>
          <w:ilvl w:val="0"/>
          <w:numId w:val="0"/>
        </w:numPr>
      </w:pPr>
    </w:p>
    <w:p w14:paraId="4FED4DCC" w14:textId="77777777" w:rsidR="00BA75F8" w:rsidRDefault="00BA75F8" w:rsidP="008A2F6E">
      <w:pPr>
        <w:pStyle w:val="1AbcamStandardtext"/>
      </w:pPr>
    </w:p>
    <w:p w14:paraId="5365200B" w14:textId="77777777" w:rsidR="00BA75F8" w:rsidRDefault="00BA75F8" w:rsidP="008A2F6E">
      <w:pPr>
        <w:pStyle w:val="1AbcamStandardtext"/>
      </w:pPr>
    </w:p>
    <w:p w14:paraId="1806954A" w14:textId="77777777" w:rsidR="00BA75F8" w:rsidRDefault="00BA75F8" w:rsidP="008A2F6E">
      <w:pPr>
        <w:pStyle w:val="1AbcamStandardtext"/>
      </w:pPr>
    </w:p>
    <w:p w14:paraId="312E6284" w14:textId="1ABBCAC0" w:rsidR="003B15FA" w:rsidRPr="008A2F6E" w:rsidRDefault="003B15FA" w:rsidP="00BA75F8">
      <w:pPr>
        <w:pStyle w:val="1AbcamStandardtext"/>
      </w:pPr>
      <w:bookmarkStart w:id="24" w:name="_Toc446403821"/>
      <w:bookmarkEnd w:id="24"/>
      <w:r w:rsidRPr="008A2F6E">
        <w:br w:type="page"/>
      </w:r>
    </w:p>
    <w:p w14:paraId="54CD7F11" w14:textId="0FA985B9" w:rsidR="004F0FDC" w:rsidRDefault="004F0FDC" w:rsidP="000D1DF3">
      <w:pPr>
        <w:pStyle w:val="1Abcamheading"/>
      </w:pPr>
      <w:bookmarkStart w:id="25" w:name="_Toc39750370"/>
      <w:r>
        <w:lastRenderedPageBreak/>
        <w:t>Standard Curve</w:t>
      </w:r>
      <w:bookmarkEnd w:id="25"/>
    </w:p>
    <w:p w14:paraId="3575A0B4" w14:textId="031F5565" w:rsidR="004F0FDC" w:rsidRDefault="004F0FDC" w:rsidP="004F0FDC">
      <w:pPr>
        <w:pStyle w:val="11Abcam"/>
      </w:pPr>
      <w:r>
        <w:t xml:space="preserve">Prepare a </w:t>
      </w:r>
      <w:r w:rsidR="002D6E97">
        <w:t>2</w:t>
      </w:r>
      <w:r w:rsidR="00BD684F">
        <w:t>00</w:t>
      </w:r>
      <w:r>
        <w:t xml:space="preserve"> µM solution of </w:t>
      </w:r>
      <w:r w:rsidR="002D6E97">
        <w:t>AFC</w:t>
      </w:r>
      <w:r>
        <w:t xml:space="preserve">-Standard by diluting </w:t>
      </w:r>
      <w:r w:rsidR="002D6E97">
        <w:t>40</w:t>
      </w:r>
      <w:r>
        <w:t xml:space="preserve"> µL of </w:t>
      </w:r>
      <w:r w:rsidR="002D6E97">
        <w:t>1</w:t>
      </w:r>
      <w:r>
        <w:t xml:space="preserve"> mM </w:t>
      </w:r>
      <w:r w:rsidR="002D6E97">
        <w:t>AFC</w:t>
      </w:r>
      <w:r>
        <w:t xml:space="preserve">-Standard with </w:t>
      </w:r>
      <w:r w:rsidR="002D6E97">
        <w:t>160</w:t>
      </w:r>
      <w:r>
        <w:t xml:space="preserve"> µL of </w:t>
      </w:r>
      <w:r w:rsidR="00927B65">
        <w:t>A</w:t>
      </w:r>
      <w:r w:rsidR="00256655">
        <w:t>minopeptidase</w:t>
      </w:r>
      <w:r>
        <w:t xml:space="preserve"> Assay Buffer. </w:t>
      </w:r>
    </w:p>
    <w:p w14:paraId="7B1F057A" w14:textId="15744821" w:rsidR="004F0FDC" w:rsidRDefault="004F0FDC" w:rsidP="004F0FDC">
      <w:pPr>
        <w:pStyle w:val="11Abcam"/>
      </w:pPr>
      <w:r>
        <w:t xml:space="preserve">Add 0, </w:t>
      </w:r>
      <w:r w:rsidR="002D6E97">
        <w:t>2</w:t>
      </w:r>
      <w:r>
        <w:t xml:space="preserve">, </w:t>
      </w:r>
      <w:r w:rsidR="002D6E97">
        <w:t>4</w:t>
      </w:r>
      <w:r>
        <w:t xml:space="preserve">, </w:t>
      </w:r>
      <w:r w:rsidR="002D6E97">
        <w:t>6, 8</w:t>
      </w:r>
      <w:r w:rsidR="00BD684F">
        <w:t xml:space="preserve"> and </w:t>
      </w:r>
      <w:r w:rsidR="002D6E97">
        <w:t>10 µL</w:t>
      </w:r>
      <w:r>
        <w:t xml:space="preserve"> of </w:t>
      </w:r>
      <w:r w:rsidR="002D6E97">
        <w:t>200</w:t>
      </w:r>
      <w:r>
        <w:t xml:space="preserve"> µM </w:t>
      </w:r>
      <w:r w:rsidR="002D6E97">
        <w:t>AFC</w:t>
      </w:r>
      <w:r w:rsidR="00256655">
        <w:t xml:space="preserve"> </w:t>
      </w:r>
      <w:r>
        <w:t xml:space="preserve">Standard into a series of wells in a 96-well plate and adjust the final volume to 100 µL/well with </w:t>
      </w:r>
      <w:r w:rsidR="00927B65">
        <w:t>APN</w:t>
      </w:r>
      <w:r>
        <w:t xml:space="preserve"> Assay Buffer. This will generate 0, </w:t>
      </w:r>
      <w:r w:rsidR="002D6E97">
        <w:t>0.4</w:t>
      </w:r>
      <w:r>
        <w:t xml:space="preserve">, </w:t>
      </w:r>
      <w:r w:rsidR="002D6E97">
        <w:t>0.8</w:t>
      </w:r>
      <w:r>
        <w:t xml:space="preserve">, </w:t>
      </w:r>
      <w:r w:rsidR="002D6E97">
        <w:t>1.2</w:t>
      </w:r>
      <w:r>
        <w:t>,</w:t>
      </w:r>
      <w:r w:rsidR="002D6E97">
        <w:t xml:space="preserve"> 1.6 and</w:t>
      </w:r>
      <w:r>
        <w:t xml:space="preserve"> </w:t>
      </w:r>
      <w:r w:rsidR="002D6E97">
        <w:t>2</w:t>
      </w:r>
      <w:r w:rsidR="00BD684F">
        <w:t xml:space="preserve"> </w:t>
      </w:r>
      <w:r w:rsidR="002D6E97">
        <w:t>n</w:t>
      </w:r>
      <w:r>
        <w:t xml:space="preserve">mol/well of </w:t>
      </w:r>
      <w:r w:rsidR="002D6E97">
        <w:t>AFC</w:t>
      </w:r>
      <w:r>
        <w:t xml:space="preserve"> Standard respectively. </w:t>
      </w:r>
    </w:p>
    <w:p w14:paraId="5B2DB3B7" w14:textId="77777777" w:rsidR="004F0FDC" w:rsidRDefault="004F0FDC" w:rsidP="004F0FDC">
      <w:pPr>
        <w:pStyle w:val="11Abcam"/>
        <w:numPr>
          <w:ilvl w:val="0"/>
          <w:numId w:val="0"/>
        </w:numPr>
        <w:ind w:left="567"/>
      </w:pPr>
    </w:p>
    <w:tbl>
      <w:tblPr>
        <w:tblStyle w:val="TableGrid"/>
        <w:tblW w:w="5000" w:type="pct"/>
        <w:tblLook w:val="04A0" w:firstRow="1" w:lastRow="0" w:firstColumn="1" w:lastColumn="0" w:noHBand="0" w:noVBand="1"/>
      </w:tblPr>
      <w:tblGrid>
        <w:gridCol w:w="1674"/>
        <w:gridCol w:w="1674"/>
        <w:gridCol w:w="1642"/>
        <w:gridCol w:w="1642"/>
      </w:tblGrid>
      <w:tr w:rsidR="004F0FDC" w14:paraId="3CE424A0" w14:textId="759B8ECE" w:rsidTr="004F0FDC">
        <w:tc>
          <w:tcPr>
            <w:tcW w:w="1262" w:type="pct"/>
            <w:vAlign w:val="center"/>
          </w:tcPr>
          <w:p w14:paraId="07104CCF" w14:textId="228FBE72" w:rsidR="004F0FDC" w:rsidRPr="004F0FDC" w:rsidRDefault="004F0FDC" w:rsidP="004F0FDC">
            <w:pPr>
              <w:pStyle w:val="11Abcam"/>
              <w:numPr>
                <w:ilvl w:val="0"/>
                <w:numId w:val="0"/>
              </w:numPr>
              <w:jc w:val="center"/>
              <w:rPr>
                <w:b/>
                <w:bCs/>
                <w:sz w:val="18"/>
                <w:szCs w:val="18"/>
              </w:rPr>
            </w:pPr>
            <w:r w:rsidRPr="004F0FDC">
              <w:rPr>
                <w:b/>
                <w:bCs/>
                <w:sz w:val="18"/>
                <w:szCs w:val="18"/>
              </w:rPr>
              <w:t>Standard #</w:t>
            </w:r>
          </w:p>
        </w:tc>
        <w:tc>
          <w:tcPr>
            <w:tcW w:w="1262" w:type="pct"/>
            <w:vAlign w:val="center"/>
          </w:tcPr>
          <w:p w14:paraId="175F514E" w14:textId="6470A0AD" w:rsidR="004F0FDC" w:rsidRPr="004F0FDC" w:rsidRDefault="002D6E97" w:rsidP="004F0FDC">
            <w:pPr>
              <w:pStyle w:val="11Abcam"/>
              <w:numPr>
                <w:ilvl w:val="0"/>
                <w:numId w:val="0"/>
              </w:numPr>
              <w:jc w:val="center"/>
              <w:rPr>
                <w:b/>
                <w:bCs/>
                <w:sz w:val="18"/>
                <w:szCs w:val="18"/>
              </w:rPr>
            </w:pPr>
            <w:r>
              <w:rPr>
                <w:b/>
                <w:bCs/>
                <w:sz w:val="18"/>
                <w:szCs w:val="18"/>
              </w:rPr>
              <w:t>200</w:t>
            </w:r>
            <w:r w:rsidR="004F0FDC" w:rsidRPr="004F0FDC">
              <w:rPr>
                <w:b/>
                <w:bCs/>
                <w:sz w:val="18"/>
                <w:szCs w:val="18"/>
              </w:rPr>
              <w:t xml:space="preserve"> µM </w:t>
            </w:r>
            <w:r>
              <w:rPr>
                <w:b/>
                <w:bCs/>
                <w:sz w:val="18"/>
                <w:szCs w:val="18"/>
              </w:rPr>
              <w:t>AFC</w:t>
            </w:r>
            <w:r w:rsidR="004F0FDC" w:rsidRPr="004F0FDC">
              <w:rPr>
                <w:b/>
                <w:bCs/>
                <w:sz w:val="18"/>
                <w:szCs w:val="18"/>
              </w:rPr>
              <w:t>-Standard (µL)</w:t>
            </w:r>
          </w:p>
        </w:tc>
        <w:tc>
          <w:tcPr>
            <w:tcW w:w="1238" w:type="pct"/>
            <w:vAlign w:val="center"/>
          </w:tcPr>
          <w:p w14:paraId="3EBEE857" w14:textId="0399F7F5" w:rsidR="004F0FDC" w:rsidRPr="004F0FDC" w:rsidRDefault="00927B65" w:rsidP="004F0FDC">
            <w:pPr>
              <w:pStyle w:val="11Abcam"/>
              <w:numPr>
                <w:ilvl w:val="0"/>
                <w:numId w:val="0"/>
              </w:numPr>
              <w:jc w:val="center"/>
              <w:rPr>
                <w:b/>
                <w:bCs/>
                <w:sz w:val="18"/>
                <w:szCs w:val="18"/>
              </w:rPr>
            </w:pPr>
            <w:r>
              <w:rPr>
                <w:b/>
                <w:bCs/>
                <w:sz w:val="18"/>
                <w:szCs w:val="18"/>
              </w:rPr>
              <w:t>APN</w:t>
            </w:r>
            <w:r w:rsidR="004F0FDC" w:rsidRPr="004F0FDC">
              <w:rPr>
                <w:b/>
                <w:bCs/>
                <w:sz w:val="18"/>
                <w:szCs w:val="18"/>
              </w:rPr>
              <w:t xml:space="preserve"> Assay Buffer (µL)</w:t>
            </w:r>
          </w:p>
        </w:tc>
        <w:tc>
          <w:tcPr>
            <w:tcW w:w="1238" w:type="pct"/>
          </w:tcPr>
          <w:p w14:paraId="6BC27902" w14:textId="274FE747" w:rsidR="004F0FDC" w:rsidRPr="004F0FDC" w:rsidRDefault="002D6E97" w:rsidP="004F0FDC">
            <w:pPr>
              <w:pStyle w:val="11Abcam"/>
              <w:numPr>
                <w:ilvl w:val="0"/>
                <w:numId w:val="0"/>
              </w:numPr>
              <w:jc w:val="center"/>
              <w:rPr>
                <w:b/>
                <w:bCs/>
                <w:sz w:val="18"/>
                <w:szCs w:val="18"/>
              </w:rPr>
            </w:pPr>
            <w:r>
              <w:rPr>
                <w:b/>
                <w:bCs/>
                <w:sz w:val="18"/>
                <w:szCs w:val="18"/>
              </w:rPr>
              <w:t>AFC</w:t>
            </w:r>
            <w:r w:rsidR="004F0FDC" w:rsidRPr="004F0FDC">
              <w:rPr>
                <w:b/>
                <w:bCs/>
                <w:sz w:val="18"/>
                <w:szCs w:val="18"/>
              </w:rPr>
              <w:t xml:space="preserve"> (</w:t>
            </w:r>
            <w:r>
              <w:rPr>
                <w:b/>
                <w:bCs/>
                <w:sz w:val="18"/>
                <w:szCs w:val="18"/>
              </w:rPr>
              <w:t>n</w:t>
            </w:r>
            <w:r w:rsidR="004F0FDC" w:rsidRPr="004F0FDC">
              <w:rPr>
                <w:b/>
                <w:bCs/>
                <w:sz w:val="18"/>
                <w:szCs w:val="18"/>
              </w:rPr>
              <w:t>mol/well)</w:t>
            </w:r>
          </w:p>
        </w:tc>
      </w:tr>
      <w:tr w:rsidR="004F0FDC" w14:paraId="202A1631" w14:textId="1EA92B74" w:rsidTr="004F0FDC">
        <w:tc>
          <w:tcPr>
            <w:tcW w:w="1262" w:type="pct"/>
          </w:tcPr>
          <w:p w14:paraId="175DF1DB" w14:textId="399381D6" w:rsidR="004F0FDC" w:rsidRPr="004F0FDC" w:rsidRDefault="004F0FDC" w:rsidP="004F0FDC">
            <w:pPr>
              <w:pStyle w:val="11Abcam"/>
              <w:numPr>
                <w:ilvl w:val="0"/>
                <w:numId w:val="0"/>
              </w:numPr>
              <w:jc w:val="center"/>
              <w:rPr>
                <w:sz w:val="18"/>
                <w:szCs w:val="18"/>
              </w:rPr>
            </w:pPr>
            <w:r w:rsidRPr="004F0FDC">
              <w:rPr>
                <w:sz w:val="18"/>
                <w:szCs w:val="18"/>
              </w:rPr>
              <w:t>1</w:t>
            </w:r>
          </w:p>
        </w:tc>
        <w:tc>
          <w:tcPr>
            <w:tcW w:w="1262" w:type="pct"/>
          </w:tcPr>
          <w:p w14:paraId="0A142F56" w14:textId="16E16C52" w:rsidR="004F0FDC" w:rsidRPr="004F0FDC" w:rsidRDefault="002D6E97" w:rsidP="004F0FDC">
            <w:pPr>
              <w:pStyle w:val="11Abcam"/>
              <w:numPr>
                <w:ilvl w:val="0"/>
                <w:numId w:val="0"/>
              </w:numPr>
              <w:jc w:val="center"/>
              <w:rPr>
                <w:sz w:val="18"/>
                <w:szCs w:val="18"/>
              </w:rPr>
            </w:pPr>
            <w:r>
              <w:rPr>
                <w:sz w:val="18"/>
                <w:szCs w:val="18"/>
              </w:rPr>
              <w:t>10</w:t>
            </w:r>
          </w:p>
        </w:tc>
        <w:tc>
          <w:tcPr>
            <w:tcW w:w="1238" w:type="pct"/>
          </w:tcPr>
          <w:p w14:paraId="4368A260" w14:textId="6E356D34" w:rsidR="004F0FDC" w:rsidRPr="004F0FDC" w:rsidRDefault="002D6E97" w:rsidP="004F0FDC">
            <w:pPr>
              <w:pStyle w:val="11Abcam"/>
              <w:numPr>
                <w:ilvl w:val="0"/>
                <w:numId w:val="0"/>
              </w:numPr>
              <w:jc w:val="center"/>
              <w:rPr>
                <w:sz w:val="18"/>
                <w:szCs w:val="18"/>
              </w:rPr>
            </w:pPr>
            <w:r>
              <w:rPr>
                <w:sz w:val="18"/>
                <w:szCs w:val="18"/>
              </w:rPr>
              <w:t>90</w:t>
            </w:r>
          </w:p>
        </w:tc>
        <w:tc>
          <w:tcPr>
            <w:tcW w:w="1238" w:type="pct"/>
          </w:tcPr>
          <w:p w14:paraId="5AF4C001" w14:textId="6EA8A018" w:rsidR="004F0FDC" w:rsidRPr="004F0FDC" w:rsidRDefault="002D6E97" w:rsidP="004F0FDC">
            <w:pPr>
              <w:pStyle w:val="11Abcam"/>
              <w:numPr>
                <w:ilvl w:val="0"/>
                <w:numId w:val="0"/>
              </w:numPr>
              <w:jc w:val="center"/>
              <w:rPr>
                <w:sz w:val="18"/>
                <w:szCs w:val="18"/>
              </w:rPr>
            </w:pPr>
            <w:r>
              <w:rPr>
                <w:sz w:val="18"/>
                <w:szCs w:val="18"/>
              </w:rPr>
              <w:t>2</w:t>
            </w:r>
          </w:p>
        </w:tc>
      </w:tr>
      <w:tr w:rsidR="004F0FDC" w14:paraId="7DCE9784" w14:textId="7A76CF69" w:rsidTr="004F0FDC">
        <w:tc>
          <w:tcPr>
            <w:tcW w:w="1262" w:type="pct"/>
          </w:tcPr>
          <w:p w14:paraId="09A21D10" w14:textId="6AE8CF19" w:rsidR="004F0FDC" w:rsidRPr="004F0FDC" w:rsidRDefault="004F0FDC" w:rsidP="004F0FDC">
            <w:pPr>
              <w:pStyle w:val="11Abcam"/>
              <w:numPr>
                <w:ilvl w:val="0"/>
                <w:numId w:val="0"/>
              </w:numPr>
              <w:jc w:val="center"/>
              <w:rPr>
                <w:sz w:val="18"/>
                <w:szCs w:val="18"/>
              </w:rPr>
            </w:pPr>
            <w:r w:rsidRPr="004F0FDC">
              <w:rPr>
                <w:sz w:val="18"/>
                <w:szCs w:val="18"/>
              </w:rPr>
              <w:t>2</w:t>
            </w:r>
          </w:p>
        </w:tc>
        <w:tc>
          <w:tcPr>
            <w:tcW w:w="1262" w:type="pct"/>
          </w:tcPr>
          <w:p w14:paraId="2B419853" w14:textId="46276DA6" w:rsidR="004F0FDC" w:rsidRPr="004F0FDC" w:rsidRDefault="002D6E97" w:rsidP="004F0FDC">
            <w:pPr>
              <w:pStyle w:val="11Abcam"/>
              <w:numPr>
                <w:ilvl w:val="0"/>
                <w:numId w:val="0"/>
              </w:numPr>
              <w:jc w:val="center"/>
              <w:rPr>
                <w:sz w:val="18"/>
                <w:szCs w:val="18"/>
              </w:rPr>
            </w:pPr>
            <w:r>
              <w:rPr>
                <w:sz w:val="18"/>
                <w:szCs w:val="18"/>
              </w:rPr>
              <w:t>8</w:t>
            </w:r>
          </w:p>
        </w:tc>
        <w:tc>
          <w:tcPr>
            <w:tcW w:w="1238" w:type="pct"/>
          </w:tcPr>
          <w:p w14:paraId="0E7D73C2" w14:textId="60AC49B3" w:rsidR="004F0FDC" w:rsidRPr="004F0FDC" w:rsidRDefault="002D6E97" w:rsidP="004F0FDC">
            <w:pPr>
              <w:pStyle w:val="11Abcam"/>
              <w:numPr>
                <w:ilvl w:val="0"/>
                <w:numId w:val="0"/>
              </w:numPr>
              <w:jc w:val="center"/>
              <w:rPr>
                <w:sz w:val="18"/>
                <w:szCs w:val="18"/>
              </w:rPr>
            </w:pPr>
            <w:r>
              <w:rPr>
                <w:sz w:val="18"/>
                <w:szCs w:val="18"/>
              </w:rPr>
              <w:t>92</w:t>
            </w:r>
          </w:p>
        </w:tc>
        <w:tc>
          <w:tcPr>
            <w:tcW w:w="1238" w:type="pct"/>
          </w:tcPr>
          <w:p w14:paraId="3AFFE24F" w14:textId="40433DDA" w:rsidR="004F0FDC" w:rsidRPr="004F0FDC" w:rsidRDefault="002D6E97" w:rsidP="004F0FDC">
            <w:pPr>
              <w:pStyle w:val="11Abcam"/>
              <w:numPr>
                <w:ilvl w:val="0"/>
                <w:numId w:val="0"/>
              </w:numPr>
              <w:jc w:val="center"/>
              <w:rPr>
                <w:sz w:val="18"/>
                <w:szCs w:val="18"/>
              </w:rPr>
            </w:pPr>
            <w:r>
              <w:rPr>
                <w:sz w:val="18"/>
                <w:szCs w:val="18"/>
              </w:rPr>
              <w:t>1.6</w:t>
            </w:r>
          </w:p>
        </w:tc>
      </w:tr>
      <w:tr w:rsidR="004F0FDC" w14:paraId="7E0B76B0" w14:textId="0599D196" w:rsidTr="004F0FDC">
        <w:tc>
          <w:tcPr>
            <w:tcW w:w="1262" w:type="pct"/>
          </w:tcPr>
          <w:p w14:paraId="79978C13" w14:textId="005DE28E" w:rsidR="004F0FDC" w:rsidRPr="004F0FDC" w:rsidRDefault="004F0FDC" w:rsidP="004F0FDC">
            <w:pPr>
              <w:pStyle w:val="11Abcam"/>
              <w:numPr>
                <w:ilvl w:val="0"/>
                <w:numId w:val="0"/>
              </w:numPr>
              <w:jc w:val="center"/>
              <w:rPr>
                <w:sz w:val="18"/>
                <w:szCs w:val="18"/>
              </w:rPr>
            </w:pPr>
            <w:r w:rsidRPr="004F0FDC">
              <w:rPr>
                <w:sz w:val="18"/>
                <w:szCs w:val="18"/>
              </w:rPr>
              <w:t>3</w:t>
            </w:r>
          </w:p>
        </w:tc>
        <w:tc>
          <w:tcPr>
            <w:tcW w:w="1262" w:type="pct"/>
          </w:tcPr>
          <w:p w14:paraId="45E5AF1C" w14:textId="76F8E99F" w:rsidR="004F0FDC" w:rsidRPr="004F0FDC" w:rsidRDefault="002D6E97" w:rsidP="004F0FDC">
            <w:pPr>
              <w:pStyle w:val="11Abcam"/>
              <w:numPr>
                <w:ilvl w:val="0"/>
                <w:numId w:val="0"/>
              </w:numPr>
              <w:jc w:val="center"/>
              <w:rPr>
                <w:sz w:val="18"/>
                <w:szCs w:val="18"/>
              </w:rPr>
            </w:pPr>
            <w:r>
              <w:rPr>
                <w:sz w:val="18"/>
                <w:szCs w:val="18"/>
              </w:rPr>
              <w:t>6</w:t>
            </w:r>
          </w:p>
        </w:tc>
        <w:tc>
          <w:tcPr>
            <w:tcW w:w="1238" w:type="pct"/>
          </w:tcPr>
          <w:p w14:paraId="177BA8E7" w14:textId="433EE84C" w:rsidR="004F0FDC" w:rsidRPr="004F0FDC" w:rsidRDefault="002D6E97" w:rsidP="004F0FDC">
            <w:pPr>
              <w:pStyle w:val="11Abcam"/>
              <w:numPr>
                <w:ilvl w:val="0"/>
                <w:numId w:val="0"/>
              </w:numPr>
              <w:jc w:val="center"/>
              <w:rPr>
                <w:sz w:val="18"/>
                <w:szCs w:val="18"/>
              </w:rPr>
            </w:pPr>
            <w:r>
              <w:rPr>
                <w:sz w:val="18"/>
                <w:szCs w:val="18"/>
              </w:rPr>
              <w:t>94</w:t>
            </w:r>
          </w:p>
        </w:tc>
        <w:tc>
          <w:tcPr>
            <w:tcW w:w="1238" w:type="pct"/>
          </w:tcPr>
          <w:p w14:paraId="790A15A5" w14:textId="5B750F04" w:rsidR="004F0FDC" w:rsidRPr="004F0FDC" w:rsidRDefault="002D6E97" w:rsidP="004F0FDC">
            <w:pPr>
              <w:pStyle w:val="11Abcam"/>
              <w:numPr>
                <w:ilvl w:val="0"/>
                <w:numId w:val="0"/>
              </w:numPr>
              <w:jc w:val="center"/>
              <w:rPr>
                <w:sz w:val="18"/>
                <w:szCs w:val="18"/>
              </w:rPr>
            </w:pPr>
            <w:r>
              <w:rPr>
                <w:sz w:val="18"/>
                <w:szCs w:val="18"/>
              </w:rPr>
              <w:t>1.2</w:t>
            </w:r>
          </w:p>
        </w:tc>
      </w:tr>
      <w:tr w:rsidR="004F0FDC" w14:paraId="7D9F4852" w14:textId="12ED56F3" w:rsidTr="004F0FDC">
        <w:tc>
          <w:tcPr>
            <w:tcW w:w="1262" w:type="pct"/>
          </w:tcPr>
          <w:p w14:paraId="18D536CD" w14:textId="2CC9076D" w:rsidR="004F0FDC" w:rsidRPr="004F0FDC" w:rsidRDefault="004F0FDC" w:rsidP="004F0FDC">
            <w:pPr>
              <w:pStyle w:val="11Abcam"/>
              <w:numPr>
                <w:ilvl w:val="0"/>
                <w:numId w:val="0"/>
              </w:numPr>
              <w:jc w:val="center"/>
              <w:rPr>
                <w:sz w:val="18"/>
                <w:szCs w:val="18"/>
              </w:rPr>
            </w:pPr>
            <w:r w:rsidRPr="004F0FDC">
              <w:rPr>
                <w:sz w:val="18"/>
                <w:szCs w:val="18"/>
              </w:rPr>
              <w:t>4</w:t>
            </w:r>
          </w:p>
        </w:tc>
        <w:tc>
          <w:tcPr>
            <w:tcW w:w="1262" w:type="pct"/>
          </w:tcPr>
          <w:p w14:paraId="46A40980" w14:textId="08531929" w:rsidR="004F0FDC" w:rsidRPr="004F0FDC" w:rsidRDefault="002D6E97" w:rsidP="004F0FDC">
            <w:pPr>
              <w:pStyle w:val="11Abcam"/>
              <w:numPr>
                <w:ilvl w:val="0"/>
                <w:numId w:val="0"/>
              </w:numPr>
              <w:jc w:val="center"/>
              <w:rPr>
                <w:sz w:val="18"/>
                <w:szCs w:val="18"/>
              </w:rPr>
            </w:pPr>
            <w:r>
              <w:rPr>
                <w:sz w:val="18"/>
                <w:szCs w:val="18"/>
              </w:rPr>
              <w:t>4</w:t>
            </w:r>
          </w:p>
        </w:tc>
        <w:tc>
          <w:tcPr>
            <w:tcW w:w="1238" w:type="pct"/>
          </w:tcPr>
          <w:p w14:paraId="1E0D41BA" w14:textId="191E9B6E" w:rsidR="004F0FDC" w:rsidRPr="004F0FDC" w:rsidRDefault="002D6E97" w:rsidP="004F0FDC">
            <w:pPr>
              <w:pStyle w:val="11Abcam"/>
              <w:numPr>
                <w:ilvl w:val="0"/>
                <w:numId w:val="0"/>
              </w:numPr>
              <w:jc w:val="center"/>
              <w:rPr>
                <w:sz w:val="18"/>
                <w:szCs w:val="18"/>
              </w:rPr>
            </w:pPr>
            <w:r>
              <w:rPr>
                <w:sz w:val="18"/>
                <w:szCs w:val="18"/>
              </w:rPr>
              <w:t>96</w:t>
            </w:r>
          </w:p>
        </w:tc>
        <w:tc>
          <w:tcPr>
            <w:tcW w:w="1238" w:type="pct"/>
          </w:tcPr>
          <w:p w14:paraId="362D736E" w14:textId="0A284459" w:rsidR="004F0FDC" w:rsidRPr="004F0FDC" w:rsidRDefault="002D6E97" w:rsidP="004F0FDC">
            <w:pPr>
              <w:pStyle w:val="11Abcam"/>
              <w:numPr>
                <w:ilvl w:val="0"/>
                <w:numId w:val="0"/>
              </w:numPr>
              <w:jc w:val="center"/>
              <w:rPr>
                <w:sz w:val="18"/>
                <w:szCs w:val="18"/>
              </w:rPr>
            </w:pPr>
            <w:r>
              <w:rPr>
                <w:sz w:val="18"/>
                <w:szCs w:val="18"/>
              </w:rPr>
              <w:t>0.8</w:t>
            </w:r>
          </w:p>
        </w:tc>
      </w:tr>
      <w:tr w:rsidR="004F0FDC" w14:paraId="233CC3D5" w14:textId="08B223EC" w:rsidTr="004F0FDC">
        <w:tc>
          <w:tcPr>
            <w:tcW w:w="1262" w:type="pct"/>
          </w:tcPr>
          <w:p w14:paraId="62A66421" w14:textId="372EB006" w:rsidR="004F0FDC" w:rsidRPr="004F0FDC" w:rsidRDefault="004F0FDC" w:rsidP="004F0FDC">
            <w:pPr>
              <w:pStyle w:val="11Abcam"/>
              <w:numPr>
                <w:ilvl w:val="0"/>
                <w:numId w:val="0"/>
              </w:numPr>
              <w:jc w:val="center"/>
              <w:rPr>
                <w:sz w:val="18"/>
                <w:szCs w:val="18"/>
              </w:rPr>
            </w:pPr>
            <w:r w:rsidRPr="004F0FDC">
              <w:rPr>
                <w:sz w:val="18"/>
                <w:szCs w:val="18"/>
              </w:rPr>
              <w:t>5</w:t>
            </w:r>
          </w:p>
        </w:tc>
        <w:tc>
          <w:tcPr>
            <w:tcW w:w="1262" w:type="pct"/>
          </w:tcPr>
          <w:p w14:paraId="245C2706" w14:textId="3CBF0C99" w:rsidR="004F0FDC" w:rsidRPr="004F0FDC" w:rsidRDefault="002D6E97" w:rsidP="004F0FDC">
            <w:pPr>
              <w:pStyle w:val="11Abcam"/>
              <w:numPr>
                <w:ilvl w:val="0"/>
                <w:numId w:val="0"/>
              </w:numPr>
              <w:jc w:val="center"/>
              <w:rPr>
                <w:sz w:val="18"/>
                <w:szCs w:val="18"/>
              </w:rPr>
            </w:pPr>
            <w:r>
              <w:rPr>
                <w:sz w:val="18"/>
                <w:szCs w:val="18"/>
              </w:rPr>
              <w:t>2</w:t>
            </w:r>
          </w:p>
        </w:tc>
        <w:tc>
          <w:tcPr>
            <w:tcW w:w="1238" w:type="pct"/>
          </w:tcPr>
          <w:p w14:paraId="7E51CD45" w14:textId="7CCA884F" w:rsidR="004F0FDC" w:rsidRPr="004F0FDC" w:rsidRDefault="002D6E97" w:rsidP="004F0FDC">
            <w:pPr>
              <w:pStyle w:val="11Abcam"/>
              <w:numPr>
                <w:ilvl w:val="0"/>
                <w:numId w:val="0"/>
              </w:numPr>
              <w:jc w:val="center"/>
              <w:rPr>
                <w:sz w:val="18"/>
                <w:szCs w:val="18"/>
              </w:rPr>
            </w:pPr>
            <w:r>
              <w:rPr>
                <w:sz w:val="18"/>
                <w:szCs w:val="18"/>
              </w:rPr>
              <w:t>98</w:t>
            </w:r>
          </w:p>
        </w:tc>
        <w:tc>
          <w:tcPr>
            <w:tcW w:w="1238" w:type="pct"/>
          </w:tcPr>
          <w:p w14:paraId="3518C9DC" w14:textId="6DE3ACAE" w:rsidR="004F0FDC" w:rsidRPr="004F0FDC" w:rsidRDefault="002D6E97" w:rsidP="004F0FDC">
            <w:pPr>
              <w:pStyle w:val="11Abcam"/>
              <w:numPr>
                <w:ilvl w:val="0"/>
                <w:numId w:val="0"/>
              </w:numPr>
              <w:jc w:val="center"/>
              <w:rPr>
                <w:sz w:val="18"/>
                <w:szCs w:val="18"/>
              </w:rPr>
            </w:pPr>
            <w:r>
              <w:rPr>
                <w:sz w:val="18"/>
                <w:szCs w:val="18"/>
              </w:rPr>
              <w:t>0.4</w:t>
            </w:r>
          </w:p>
        </w:tc>
      </w:tr>
      <w:tr w:rsidR="002D6E97" w14:paraId="39F3301F" w14:textId="77777777" w:rsidTr="004F0FDC">
        <w:tc>
          <w:tcPr>
            <w:tcW w:w="1262" w:type="pct"/>
          </w:tcPr>
          <w:p w14:paraId="203A5DB0" w14:textId="610541F4" w:rsidR="002D6E97" w:rsidRPr="004F0FDC" w:rsidRDefault="002D6E97" w:rsidP="004F0FDC">
            <w:pPr>
              <w:pStyle w:val="11Abcam"/>
              <w:numPr>
                <w:ilvl w:val="0"/>
                <w:numId w:val="0"/>
              </w:numPr>
              <w:jc w:val="center"/>
              <w:rPr>
                <w:sz w:val="18"/>
                <w:szCs w:val="18"/>
              </w:rPr>
            </w:pPr>
            <w:r>
              <w:rPr>
                <w:sz w:val="18"/>
                <w:szCs w:val="18"/>
              </w:rPr>
              <w:t>6</w:t>
            </w:r>
          </w:p>
        </w:tc>
        <w:tc>
          <w:tcPr>
            <w:tcW w:w="1262" w:type="pct"/>
          </w:tcPr>
          <w:p w14:paraId="7A28E4CD" w14:textId="3F47B387" w:rsidR="002D6E97" w:rsidRDefault="002D6E97" w:rsidP="004F0FDC">
            <w:pPr>
              <w:pStyle w:val="11Abcam"/>
              <w:numPr>
                <w:ilvl w:val="0"/>
                <w:numId w:val="0"/>
              </w:numPr>
              <w:jc w:val="center"/>
              <w:rPr>
                <w:sz w:val="18"/>
                <w:szCs w:val="18"/>
              </w:rPr>
            </w:pPr>
            <w:r>
              <w:rPr>
                <w:sz w:val="18"/>
                <w:szCs w:val="18"/>
              </w:rPr>
              <w:t>0</w:t>
            </w:r>
          </w:p>
        </w:tc>
        <w:tc>
          <w:tcPr>
            <w:tcW w:w="1238" w:type="pct"/>
          </w:tcPr>
          <w:p w14:paraId="0DDE91B3" w14:textId="096148BE" w:rsidR="002D6E97" w:rsidRDefault="002D6E97" w:rsidP="004F0FDC">
            <w:pPr>
              <w:pStyle w:val="11Abcam"/>
              <w:numPr>
                <w:ilvl w:val="0"/>
                <w:numId w:val="0"/>
              </w:numPr>
              <w:jc w:val="center"/>
              <w:rPr>
                <w:sz w:val="18"/>
                <w:szCs w:val="18"/>
              </w:rPr>
            </w:pPr>
            <w:r>
              <w:rPr>
                <w:sz w:val="18"/>
                <w:szCs w:val="18"/>
              </w:rPr>
              <w:t>100</w:t>
            </w:r>
          </w:p>
        </w:tc>
        <w:tc>
          <w:tcPr>
            <w:tcW w:w="1238" w:type="pct"/>
          </w:tcPr>
          <w:p w14:paraId="2E883202" w14:textId="7DF44877" w:rsidR="002D6E97" w:rsidRDefault="002D6E97" w:rsidP="004F0FDC">
            <w:pPr>
              <w:pStyle w:val="11Abcam"/>
              <w:numPr>
                <w:ilvl w:val="0"/>
                <w:numId w:val="0"/>
              </w:numPr>
              <w:jc w:val="center"/>
              <w:rPr>
                <w:sz w:val="18"/>
                <w:szCs w:val="18"/>
              </w:rPr>
            </w:pPr>
            <w:r>
              <w:rPr>
                <w:sz w:val="18"/>
                <w:szCs w:val="18"/>
              </w:rPr>
              <w:t>0</w:t>
            </w:r>
          </w:p>
        </w:tc>
      </w:tr>
    </w:tbl>
    <w:p w14:paraId="1398BDB8" w14:textId="77777777" w:rsidR="004F0FDC" w:rsidRDefault="004F0FDC" w:rsidP="004F0FDC">
      <w:pPr>
        <w:pStyle w:val="11Abcam"/>
        <w:numPr>
          <w:ilvl w:val="0"/>
          <w:numId w:val="0"/>
        </w:numPr>
        <w:ind w:left="567"/>
      </w:pPr>
    </w:p>
    <w:p w14:paraId="39BBE481" w14:textId="7839F729" w:rsidR="00174F24" w:rsidRDefault="00174F24" w:rsidP="00174F24"/>
    <w:p w14:paraId="62CBD8FA" w14:textId="77777777" w:rsidR="00174F24" w:rsidRDefault="00174F24" w:rsidP="00174F24"/>
    <w:p w14:paraId="39998BC5" w14:textId="5293DBC8" w:rsidR="00174F24" w:rsidRDefault="00174F24" w:rsidP="00174F24"/>
    <w:p w14:paraId="0D6371FC" w14:textId="3B187A5C" w:rsidR="00174F24" w:rsidRDefault="00174F24" w:rsidP="00174F24"/>
    <w:p w14:paraId="351ADC89" w14:textId="628B47B0" w:rsidR="00174F24" w:rsidRDefault="00174F24" w:rsidP="00174F24">
      <w:pPr>
        <w:pStyle w:val="1Abcamheading"/>
        <w:numPr>
          <w:ilvl w:val="0"/>
          <w:numId w:val="0"/>
        </w:numPr>
        <w:ind w:left="360" w:hanging="360"/>
      </w:pPr>
    </w:p>
    <w:p w14:paraId="144A1590" w14:textId="7929FAFE" w:rsidR="00174F24" w:rsidRDefault="00174F24" w:rsidP="00174F24">
      <w:pPr>
        <w:pStyle w:val="1Abcamheading"/>
        <w:numPr>
          <w:ilvl w:val="0"/>
          <w:numId w:val="0"/>
        </w:numPr>
        <w:ind w:left="360" w:hanging="360"/>
      </w:pPr>
    </w:p>
    <w:p w14:paraId="69CD98B0" w14:textId="525420E0" w:rsidR="00174F24" w:rsidRDefault="00174F24" w:rsidP="00174F24"/>
    <w:p w14:paraId="007E0333" w14:textId="080C581F" w:rsidR="00174F24" w:rsidRDefault="00174F24" w:rsidP="00174F24"/>
    <w:p w14:paraId="0FC6A27C" w14:textId="77777777" w:rsidR="00174F24" w:rsidRDefault="00174F24" w:rsidP="00174F24"/>
    <w:p w14:paraId="3989F6C7" w14:textId="1C827BA1" w:rsidR="000D1DF3" w:rsidRDefault="00174FD5" w:rsidP="000D1DF3">
      <w:pPr>
        <w:pStyle w:val="1Abcamheading"/>
      </w:pPr>
      <w:bookmarkStart w:id="26" w:name="_Toc39750371"/>
      <w:r w:rsidRPr="002A066A">
        <w:lastRenderedPageBreak/>
        <w:t>Assay Procedure</w:t>
      </w:r>
      <w:bookmarkEnd w:id="4"/>
      <w:bookmarkEnd w:id="26"/>
    </w:p>
    <w:p w14:paraId="30922946" w14:textId="092022B6" w:rsidR="000D1DF3" w:rsidRPr="002A066A" w:rsidRDefault="000D1DF3" w:rsidP="000D1DF3">
      <w:r>
        <w:t>Thaw all reagents thoroughly and mix gently.</w:t>
      </w:r>
    </w:p>
    <w:p w14:paraId="61E049F8" w14:textId="77777777" w:rsidR="001452AC" w:rsidRDefault="001452AC" w:rsidP="001452AC">
      <w:pPr>
        <w:pStyle w:val="11Abcam"/>
        <w:numPr>
          <w:ilvl w:val="0"/>
          <w:numId w:val="0"/>
        </w:numPr>
      </w:pPr>
      <w:bookmarkStart w:id="27" w:name="_Toc271554832"/>
      <w:bookmarkStart w:id="28" w:name="_Toc273532551"/>
    </w:p>
    <w:p w14:paraId="6AA3BEC8" w14:textId="1B0108AD" w:rsidR="00D04DFF" w:rsidRDefault="00D04DFF" w:rsidP="001452AC">
      <w:pPr>
        <w:pStyle w:val="111Abcam"/>
        <w:tabs>
          <w:tab w:val="clear" w:pos="284"/>
          <w:tab w:val="num" w:pos="425"/>
        </w:tabs>
        <w:ind w:left="993" w:hanging="852"/>
        <w:contextualSpacing w:val="0"/>
      </w:pPr>
      <w:r w:rsidRPr="00D04DFF">
        <w:t xml:space="preserve">For </w:t>
      </w:r>
      <w:r w:rsidRPr="00867F44">
        <w:rPr>
          <w:b/>
          <w:bCs/>
        </w:rPr>
        <w:t>Sample</w:t>
      </w:r>
      <w:r w:rsidRPr="00D04DFF">
        <w:t xml:space="preserve">, add </w:t>
      </w:r>
      <w:r w:rsidR="00747D21">
        <w:t>2</w:t>
      </w:r>
      <w:r w:rsidRPr="00D04DFF">
        <w:t>-</w:t>
      </w:r>
      <w:r w:rsidR="00747D21">
        <w:t>20</w:t>
      </w:r>
      <w:r w:rsidRPr="00D04DFF">
        <w:t xml:space="preserve"> μ</w:t>
      </w:r>
      <w:r>
        <w:t>L</w:t>
      </w:r>
      <w:r w:rsidRPr="00D04DFF">
        <w:t xml:space="preserve"> of lysate into desired well(s) in </w:t>
      </w:r>
      <w:r w:rsidR="007A72EF" w:rsidRPr="007A72EF">
        <w:t>in a clear or black flat bottom 96-well plate</w:t>
      </w:r>
      <w:r w:rsidRPr="00D04DFF">
        <w:t xml:space="preserve">. </w:t>
      </w:r>
    </w:p>
    <w:p w14:paraId="1BF771E2" w14:textId="37F9CC69" w:rsidR="007A72EF" w:rsidRDefault="007A72EF" w:rsidP="007A72EF">
      <w:pPr>
        <w:pStyle w:val="111Abcam"/>
        <w:numPr>
          <w:ilvl w:val="0"/>
          <w:numId w:val="0"/>
        </w:numPr>
        <w:ind w:left="141"/>
        <w:contextualSpacing w:val="0"/>
        <w:rPr>
          <w:b/>
          <w:bCs/>
        </w:rPr>
      </w:pPr>
      <w:r w:rsidRPr="007A72EF">
        <w:rPr>
          <w:rFonts w:ascii="Symbol" w:hAnsi="Symbol"/>
          <w:b/>
          <w:bCs/>
        </w:rPr>
        <w:t></w:t>
      </w:r>
      <w:r w:rsidRPr="007A72EF">
        <w:rPr>
          <w:rFonts w:ascii="Symbol" w:hAnsi="Symbol"/>
          <w:b/>
          <w:bCs/>
        </w:rPr>
        <w:t></w:t>
      </w:r>
      <w:r w:rsidRPr="007A72EF">
        <w:rPr>
          <w:b/>
          <w:bCs/>
        </w:rPr>
        <w:t>Note</w:t>
      </w:r>
      <w:r w:rsidRPr="007A72EF">
        <w:t>:</w:t>
      </w:r>
      <w:r w:rsidRPr="007A72EF">
        <w:rPr>
          <w:rFonts w:eastAsia="Cambria" w:cs="Times New Roman"/>
          <w:szCs w:val="24"/>
        </w:rPr>
        <w:t xml:space="preserve"> </w:t>
      </w:r>
      <w:r w:rsidRPr="007A72EF">
        <w:t>For human serum samples, we recommend adding 10 µ</w:t>
      </w:r>
      <w:r>
        <w:t>L</w:t>
      </w:r>
      <w:r w:rsidRPr="007A72EF">
        <w:t xml:space="preserve"> of undiluted serum per reaction, although volumes of 2-20 µ</w:t>
      </w:r>
      <w:r>
        <w:t>L</w:t>
      </w:r>
      <w:r w:rsidRPr="007A72EF">
        <w:t xml:space="preserve"> per reaction may be used</w:t>
      </w:r>
      <w:r w:rsidRPr="007A72EF">
        <w:rPr>
          <w:b/>
          <w:bCs/>
        </w:rPr>
        <w:t>.</w:t>
      </w:r>
      <w:r>
        <w:rPr>
          <w:b/>
          <w:bCs/>
        </w:rPr>
        <w:t xml:space="preserve"> </w:t>
      </w:r>
    </w:p>
    <w:p w14:paraId="0523A300" w14:textId="41417915" w:rsidR="007A72EF" w:rsidRDefault="007A72EF" w:rsidP="007A72EF">
      <w:pPr>
        <w:pStyle w:val="111Abcam"/>
        <w:numPr>
          <w:ilvl w:val="0"/>
          <w:numId w:val="0"/>
        </w:numPr>
        <w:ind w:left="141"/>
        <w:contextualSpacing w:val="0"/>
      </w:pPr>
      <w:r w:rsidRPr="007A72EF">
        <w:rPr>
          <w:rFonts w:ascii="Symbol" w:hAnsi="Symbol"/>
          <w:b/>
          <w:bCs/>
        </w:rPr>
        <w:t></w:t>
      </w:r>
      <w:r w:rsidRPr="007A72EF">
        <w:rPr>
          <w:rFonts w:ascii="Symbol" w:hAnsi="Symbol"/>
          <w:b/>
          <w:bCs/>
        </w:rPr>
        <w:t></w:t>
      </w:r>
      <w:r w:rsidRPr="007A72EF">
        <w:rPr>
          <w:b/>
          <w:bCs/>
        </w:rPr>
        <w:t>Note</w:t>
      </w:r>
      <w:r w:rsidRPr="007A72EF">
        <w:t>:</w:t>
      </w:r>
      <w:r>
        <w:t xml:space="preserve"> </w:t>
      </w:r>
      <w:r w:rsidRPr="007A72EF">
        <w:t>In order to determine specific APN activity in biological samples (which may contain other active ectopeptidase enzymes capable of hydrolyzing the APN Substrate), for each test sample, prepare a parallel sample well to serve as an inhibitor control.</w:t>
      </w:r>
    </w:p>
    <w:p w14:paraId="3B808604" w14:textId="328493C8" w:rsidR="007A72EF" w:rsidRPr="007A72EF" w:rsidRDefault="007A72EF" w:rsidP="007A72EF">
      <w:pPr>
        <w:pStyle w:val="111Abcam"/>
        <w:numPr>
          <w:ilvl w:val="0"/>
          <w:numId w:val="0"/>
        </w:numPr>
        <w:ind w:left="141"/>
        <w:contextualSpacing w:val="0"/>
        <w:rPr>
          <w:b/>
          <w:bCs/>
        </w:rPr>
      </w:pPr>
      <w:r w:rsidRPr="007A72EF">
        <w:rPr>
          <w:rFonts w:ascii="Symbol" w:hAnsi="Symbol"/>
          <w:b/>
          <w:bCs/>
        </w:rPr>
        <w:t></w:t>
      </w:r>
      <w:r w:rsidRPr="007A72EF">
        <w:rPr>
          <w:rFonts w:ascii="Symbol" w:hAnsi="Symbol"/>
          <w:b/>
          <w:bCs/>
        </w:rPr>
        <w:t></w:t>
      </w:r>
      <w:r w:rsidRPr="007A72EF">
        <w:rPr>
          <w:b/>
          <w:bCs/>
        </w:rPr>
        <w:t>Note</w:t>
      </w:r>
      <w:r w:rsidRPr="007A72EF">
        <w:t>:</w:t>
      </w:r>
      <w:r>
        <w:t xml:space="preserve"> </w:t>
      </w:r>
      <w:r w:rsidRPr="007A72EF">
        <w:t>The sample volume and/or dilution factor required can vary based upon the nature of the sample. For unknown samples, we suggest doing a pilot experiment by testing several amounts to ensure the readings are within the range of the standard curve.</w:t>
      </w:r>
    </w:p>
    <w:p w14:paraId="2753000A" w14:textId="20CF42D8" w:rsidR="00D04DFF" w:rsidRPr="00494F74" w:rsidRDefault="00494F74" w:rsidP="001452AC">
      <w:pPr>
        <w:pStyle w:val="111Abcam"/>
        <w:tabs>
          <w:tab w:val="clear" w:pos="284"/>
          <w:tab w:val="num" w:pos="425"/>
        </w:tabs>
        <w:ind w:left="993" w:hanging="852"/>
        <w:contextualSpacing w:val="0"/>
      </w:pPr>
      <w:r w:rsidRPr="00494F74">
        <w:t xml:space="preserve">Prepare assay reaction wells according to the table below. In addition to the test sample wells, prepare a </w:t>
      </w:r>
      <w:r w:rsidRPr="00494F74">
        <w:rPr>
          <w:b/>
          <w:bCs/>
        </w:rPr>
        <w:t>background control</w:t>
      </w:r>
      <w:r w:rsidRPr="00494F74">
        <w:t xml:space="preserve"> (no sample) well to correct for any non-enzymatic substrate hydrolysis. Prepare parallel APN Inhibitor control wells (sample + 350 µM tBPAPP) using the 3.5 mM working solution (10X final concentration). If desired, you may also prepare </w:t>
      </w:r>
      <w:r w:rsidRPr="00494F74">
        <w:rPr>
          <w:b/>
          <w:bCs/>
        </w:rPr>
        <w:t>positive control</w:t>
      </w:r>
      <w:r w:rsidRPr="00494F74">
        <w:t xml:space="preserve"> wells using the reconstituted Aminopeptidase N Positive Control. Adjust the volume of all wells to 80 µl/well with Aminopeptidase Assay Buffer</w:t>
      </w:r>
      <w:r w:rsidRPr="00494F74">
        <w:t>.</w:t>
      </w:r>
    </w:p>
    <w:p w14:paraId="38227D5B" w14:textId="77777777" w:rsidR="00F72991" w:rsidRDefault="00F72991" w:rsidP="00F72991">
      <w:pPr>
        <w:pStyle w:val="111Abcam"/>
        <w:numPr>
          <w:ilvl w:val="0"/>
          <w:numId w:val="0"/>
        </w:numPr>
        <w:ind w:left="993"/>
        <w:contextualSpacing w:val="0"/>
      </w:pPr>
    </w:p>
    <w:p w14:paraId="673CF7FC" w14:textId="77777777" w:rsidR="00F72991" w:rsidRDefault="00F72991" w:rsidP="00F72991">
      <w:pPr>
        <w:pStyle w:val="111Abcam"/>
        <w:numPr>
          <w:ilvl w:val="0"/>
          <w:numId w:val="0"/>
        </w:numPr>
        <w:ind w:left="680"/>
      </w:pPr>
    </w:p>
    <w:tbl>
      <w:tblPr>
        <w:tblStyle w:val="TableGrid"/>
        <w:tblW w:w="5000" w:type="pct"/>
        <w:jc w:val="center"/>
        <w:tblLook w:val="04A0" w:firstRow="1" w:lastRow="0" w:firstColumn="1" w:lastColumn="0" w:noHBand="0" w:noVBand="1"/>
      </w:tblPr>
      <w:tblGrid>
        <w:gridCol w:w="1675"/>
        <w:gridCol w:w="1223"/>
        <w:gridCol w:w="1223"/>
        <w:gridCol w:w="1286"/>
        <w:gridCol w:w="1225"/>
      </w:tblGrid>
      <w:tr w:rsidR="00494F74" w14:paraId="6210F827" w14:textId="331702B0" w:rsidTr="00494F74">
        <w:trPr>
          <w:jc w:val="center"/>
        </w:trPr>
        <w:tc>
          <w:tcPr>
            <w:tcW w:w="1263" w:type="pct"/>
            <w:vAlign w:val="center"/>
          </w:tcPr>
          <w:p w14:paraId="7F459C94" w14:textId="1EF452A4" w:rsidR="00494F74" w:rsidRPr="00F72991" w:rsidRDefault="00494F74" w:rsidP="00F72991">
            <w:pPr>
              <w:pStyle w:val="111Abcam"/>
              <w:numPr>
                <w:ilvl w:val="0"/>
                <w:numId w:val="0"/>
              </w:numPr>
              <w:jc w:val="center"/>
              <w:rPr>
                <w:b/>
                <w:bCs/>
                <w:sz w:val="18"/>
                <w:szCs w:val="18"/>
              </w:rPr>
            </w:pPr>
            <w:r w:rsidRPr="00F72991">
              <w:rPr>
                <w:b/>
                <w:bCs/>
                <w:sz w:val="18"/>
                <w:szCs w:val="18"/>
              </w:rPr>
              <w:t>Component</w:t>
            </w:r>
          </w:p>
        </w:tc>
        <w:tc>
          <w:tcPr>
            <w:tcW w:w="934" w:type="pct"/>
            <w:vAlign w:val="center"/>
          </w:tcPr>
          <w:p w14:paraId="2C94C331" w14:textId="008C7669" w:rsidR="00494F74" w:rsidRPr="00F72991" w:rsidRDefault="00494F74" w:rsidP="00F72991">
            <w:pPr>
              <w:pStyle w:val="111Abcam"/>
              <w:numPr>
                <w:ilvl w:val="0"/>
                <w:numId w:val="0"/>
              </w:numPr>
              <w:jc w:val="center"/>
              <w:rPr>
                <w:b/>
                <w:bCs/>
                <w:sz w:val="18"/>
                <w:szCs w:val="18"/>
              </w:rPr>
            </w:pPr>
            <w:r>
              <w:rPr>
                <w:b/>
                <w:bCs/>
                <w:sz w:val="18"/>
                <w:szCs w:val="18"/>
              </w:rPr>
              <w:t>Test Sample</w:t>
            </w:r>
          </w:p>
        </w:tc>
        <w:tc>
          <w:tcPr>
            <w:tcW w:w="934" w:type="pct"/>
          </w:tcPr>
          <w:p w14:paraId="1C069293" w14:textId="657235DA" w:rsidR="00494F74" w:rsidRPr="00F72991" w:rsidRDefault="00494F74" w:rsidP="00F72991">
            <w:pPr>
              <w:pStyle w:val="111Abcam"/>
              <w:numPr>
                <w:ilvl w:val="0"/>
                <w:numId w:val="0"/>
              </w:numPr>
              <w:jc w:val="center"/>
              <w:rPr>
                <w:b/>
                <w:bCs/>
                <w:sz w:val="18"/>
                <w:szCs w:val="18"/>
              </w:rPr>
            </w:pPr>
            <w:r>
              <w:rPr>
                <w:b/>
                <w:bCs/>
                <w:sz w:val="18"/>
                <w:szCs w:val="18"/>
              </w:rPr>
              <w:t>+APN Inhibitor</w:t>
            </w:r>
          </w:p>
        </w:tc>
        <w:tc>
          <w:tcPr>
            <w:tcW w:w="934" w:type="pct"/>
          </w:tcPr>
          <w:p w14:paraId="1FDB8918" w14:textId="6F7B8ADF" w:rsidR="00494F74" w:rsidRPr="00F72991" w:rsidRDefault="00494F74" w:rsidP="00F72991">
            <w:pPr>
              <w:pStyle w:val="111Abcam"/>
              <w:numPr>
                <w:ilvl w:val="0"/>
                <w:numId w:val="0"/>
              </w:numPr>
              <w:jc w:val="center"/>
              <w:rPr>
                <w:b/>
                <w:bCs/>
                <w:sz w:val="18"/>
                <w:szCs w:val="18"/>
              </w:rPr>
            </w:pPr>
            <w:r>
              <w:rPr>
                <w:b/>
                <w:bCs/>
                <w:sz w:val="18"/>
                <w:szCs w:val="18"/>
              </w:rPr>
              <w:t>Background</w:t>
            </w:r>
          </w:p>
        </w:tc>
        <w:tc>
          <w:tcPr>
            <w:tcW w:w="935" w:type="pct"/>
          </w:tcPr>
          <w:p w14:paraId="14CEEFBC" w14:textId="127EB15A" w:rsidR="00494F74" w:rsidRPr="00F72991" w:rsidRDefault="00494F74" w:rsidP="00F72991">
            <w:pPr>
              <w:pStyle w:val="111Abcam"/>
              <w:numPr>
                <w:ilvl w:val="0"/>
                <w:numId w:val="0"/>
              </w:numPr>
              <w:jc w:val="center"/>
              <w:rPr>
                <w:b/>
                <w:bCs/>
                <w:sz w:val="18"/>
                <w:szCs w:val="18"/>
              </w:rPr>
            </w:pPr>
            <w:r>
              <w:rPr>
                <w:b/>
                <w:bCs/>
                <w:sz w:val="18"/>
                <w:szCs w:val="18"/>
              </w:rPr>
              <w:t>Positive Control</w:t>
            </w:r>
          </w:p>
        </w:tc>
      </w:tr>
      <w:tr w:rsidR="00494F74" w14:paraId="08D99A33" w14:textId="61CFB1F2" w:rsidTr="00494F74">
        <w:trPr>
          <w:jc w:val="center"/>
        </w:trPr>
        <w:tc>
          <w:tcPr>
            <w:tcW w:w="1263" w:type="pct"/>
            <w:vAlign w:val="center"/>
          </w:tcPr>
          <w:p w14:paraId="400CE9B4" w14:textId="4937EC92" w:rsidR="00494F74" w:rsidRPr="00F72991" w:rsidRDefault="00494F74" w:rsidP="00F72991">
            <w:pPr>
              <w:pStyle w:val="111Abcam"/>
              <w:numPr>
                <w:ilvl w:val="0"/>
                <w:numId w:val="0"/>
              </w:numPr>
              <w:jc w:val="center"/>
              <w:rPr>
                <w:sz w:val="18"/>
                <w:szCs w:val="18"/>
              </w:rPr>
            </w:pPr>
            <w:r>
              <w:rPr>
                <w:sz w:val="18"/>
                <w:szCs w:val="18"/>
              </w:rPr>
              <w:t>Test Sample</w:t>
            </w:r>
          </w:p>
        </w:tc>
        <w:tc>
          <w:tcPr>
            <w:tcW w:w="934" w:type="pct"/>
            <w:vAlign w:val="center"/>
          </w:tcPr>
          <w:p w14:paraId="4A6E69B1" w14:textId="0B630DAC" w:rsidR="00494F74" w:rsidRPr="00F72991" w:rsidRDefault="00494F74" w:rsidP="00F72991">
            <w:pPr>
              <w:pStyle w:val="111Abcam"/>
              <w:numPr>
                <w:ilvl w:val="0"/>
                <w:numId w:val="0"/>
              </w:numPr>
              <w:jc w:val="center"/>
              <w:rPr>
                <w:sz w:val="18"/>
                <w:szCs w:val="18"/>
              </w:rPr>
            </w:pPr>
            <w:r>
              <w:rPr>
                <w:sz w:val="18"/>
                <w:szCs w:val="18"/>
              </w:rPr>
              <w:t>2-20</w:t>
            </w:r>
            <w:r w:rsidRPr="00F72991">
              <w:rPr>
                <w:sz w:val="18"/>
                <w:szCs w:val="18"/>
              </w:rPr>
              <w:t xml:space="preserve"> μ</w:t>
            </w:r>
            <w:r>
              <w:rPr>
                <w:sz w:val="18"/>
                <w:szCs w:val="18"/>
              </w:rPr>
              <w:t>L</w:t>
            </w:r>
          </w:p>
        </w:tc>
        <w:tc>
          <w:tcPr>
            <w:tcW w:w="934" w:type="pct"/>
            <w:vAlign w:val="center"/>
          </w:tcPr>
          <w:p w14:paraId="6A62DA7D" w14:textId="51D8C3EF" w:rsidR="00494F74" w:rsidRDefault="00494F74" w:rsidP="00F72991">
            <w:pPr>
              <w:pStyle w:val="111Abcam"/>
              <w:numPr>
                <w:ilvl w:val="0"/>
                <w:numId w:val="0"/>
              </w:numPr>
              <w:jc w:val="center"/>
              <w:rPr>
                <w:sz w:val="18"/>
                <w:szCs w:val="18"/>
              </w:rPr>
            </w:pPr>
            <w:r>
              <w:rPr>
                <w:sz w:val="18"/>
                <w:szCs w:val="18"/>
              </w:rPr>
              <w:t xml:space="preserve">2-20 </w:t>
            </w:r>
            <w:bookmarkStart w:id="29" w:name="_Hlk41921617"/>
            <w:r w:rsidRPr="00F72991">
              <w:rPr>
                <w:sz w:val="18"/>
                <w:szCs w:val="18"/>
              </w:rPr>
              <w:t>μ</w:t>
            </w:r>
            <w:r>
              <w:rPr>
                <w:sz w:val="18"/>
                <w:szCs w:val="18"/>
              </w:rPr>
              <w:t>L</w:t>
            </w:r>
            <w:bookmarkEnd w:id="29"/>
          </w:p>
        </w:tc>
        <w:tc>
          <w:tcPr>
            <w:tcW w:w="934" w:type="pct"/>
            <w:vAlign w:val="center"/>
          </w:tcPr>
          <w:p w14:paraId="2CBF7AD3" w14:textId="033D89BB" w:rsidR="00494F74" w:rsidRDefault="00494F74" w:rsidP="00F72991">
            <w:pPr>
              <w:pStyle w:val="111Abcam"/>
              <w:numPr>
                <w:ilvl w:val="0"/>
                <w:numId w:val="0"/>
              </w:numPr>
              <w:jc w:val="center"/>
              <w:rPr>
                <w:sz w:val="18"/>
                <w:szCs w:val="18"/>
              </w:rPr>
            </w:pPr>
            <w:r>
              <w:rPr>
                <w:sz w:val="18"/>
                <w:szCs w:val="18"/>
              </w:rPr>
              <w:t>-</w:t>
            </w:r>
          </w:p>
        </w:tc>
        <w:tc>
          <w:tcPr>
            <w:tcW w:w="935" w:type="pct"/>
            <w:vAlign w:val="center"/>
          </w:tcPr>
          <w:p w14:paraId="77EA8905" w14:textId="0EFCCB54" w:rsidR="00494F74" w:rsidRDefault="00494F74" w:rsidP="00F72991">
            <w:pPr>
              <w:pStyle w:val="111Abcam"/>
              <w:numPr>
                <w:ilvl w:val="0"/>
                <w:numId w:val="0"/>
              </w:numPr>
              <w:jc w:val="center"/>
              <w:rPr>
                <w:sz w:val="18"/>
                <w:szCs w:val="18"/>
              </w:rPr>
            </w:pPr>
            <w:r>
              <w:rPr>
                <w:sz w:val="18"/>
                <w:szCs w:val="18"/>
              </w:rPr>
              <w:t>-</w:t>
            </w:r>
          </w:p>
        </w:tc>
      </w:tr>
      <w:tr w:rsidR="00494F74" w14:paraId="7DE0FE47" w14:textId="7B978B89" w:rsidTr="00494F74">
        <w:trPr>
          <w:jc w:val="center"/>
        </w:trPr>
        <w:tc>
          <w:tcPr>
            <w:tcW w:w="1263" w:type="pct"/>
            <w:vAlign w:val="center"/>
          </w:tcPr>
          <w:p w14:paraId="1EFD4369" w14:textId="38A437FC" w:rsidR="00494F74" w:rsidRPr="00F72991" w:rsidRDefault="00494F74" w:rsidP="00F72991">
            <w:pPr>
              <w:pStyle w:val="111Abcam"/>
              <w:numPr>
                <w:ilvl w:val="0"/>
                <w:numId w:val="0"/>
              </w:numPr>
              <w:jc w:val="center"/>
              <w:rPr>
                <w:sz w:val="18"/>
                <w:szCs w:val="18"/>
              </w:rPr>
            </w:pPr>
            <w:r>
              <w:rPr>
                <w:sz w:val="18"/>
                <w:szCs w:val="18"/>
              </w:rPr>
              <w:t>Aminopeptidase N Positive Control</w:t>
            </w:r>
          </w:p>
        </w:tc>
        <w:tc>
          <w:tcPr>
            <w:tcW w:w="934" w:type="pct"/>
            <w:vAlign w:val="center"/>
          </w:tcPr>
          <w:p w14:paraId="750FE56A" w14:textId="13797406" w:rsidR="00494F74" w:rsidRPr="00F72991" w:rsidRDefault="00494F74" w:rsidP="00F72991">
            <w:pPr>
              <w:pStyle w:val="111Abcam"/>
              <w:numPr>
                <w:ilvl w:val="0"/>
                <w:numId w:val="0"/>
              </w:numPr>
              <w:jc w:val="center"/>
              <w:rPr>
                <w:sz w:val="18"/>
                <w:szCs w:val="18"/>
              </w:rPr>
            </w:pPr>
            <w:r>
              <w:rPr>
                <w:sz w:val="18"/>
                <w:szCs w:val="18"/>
              </w:rPr>
              <w:t>-</w:t>
            </w:r>
          </w:p>
        </w:tc>
        <w:tc>
          <w:tcPr>
            <w:tcW w:w="934" w:type="pct"/>
            <w:vAlign w:val="center"/>
          </w:tcPr>
          <w:p w14:paraId="53E572BE" w14:textId="03E19380" w:rsidR="00494F74" w:rsidRDefault="00494F74" w:rsidP="00F72991">
            <w:pPr>
              <w:pStyle w:val="111Abcam"/>
              <w:numPr>
                <w:ilvl w:val="0"/>
                <w:numId w:val="0"/>
              </w:numPr>
              <w:jc w:val="center"/>
              <w:rPr>
                <w:sz w:val="18"/>
                <w:szCs w:val="18"/>
              </w:rPr>
            </w:pPr>
            <w:r>
              <w:rPr>
                <w:sz w:val="18"/>
                <w:szCs w:val="18"/>
              </w:rPr>
              <w:t>-</w:t>
            </w:r>
          </w:p>
        </w:tc>
        <w:tc>
          <w:tcPr>
            <w:tcW w:w="934" w:type="pct"/>
            <w:vAlign w:val="center"/>
          </w:tcPr>
          <w:p w14:paraId="17FC06E8" w14:textId="6AD9885F" w:rsidR="00494F74" w:rsidRDefault="00494F74" w:rsidP="00F72991">
            <w:pPr>
              <w:pStyle w:val="111Abcam"/>
              <w:numPr>
                <w:ilvl w:val="0"/>
                <w:numId w:val="0"/>
              </w:numPr>
              <w:jc w:val="center"/>
              <w:rPr>
                <w:sz w:val="18"/>
                <w:szCs w:val="18"/>
              </w:rPr>
            </w:pPr>
            <w:r>
              <w:rPr>
                <w:sz w:val="18"/>
                <w:szCs w:val="18"/>
              </w:rPr>
              <w:t>-</w:t>
            </w:r>
          </w:p>
        </w:tc>
        <w:tc>
          <w:tcPr>
            <w:tcW w:w="935" w:type="pct"/>
            <w:vAlign w:val="center"/>
          </w:tcPr>
          <w:p w14:paraId="7FD0F762" w14:textId="5542A0A7" w:rsidR="00494F74" w:rsidRDefault="00494F74" w:rsidP="00F72991">
            <w:pPr>
              <w:pStyle w:val="111Abcam"/>
              <w:numPr>
                <w:ilvl w:val="0"/>
                <w:numId w:val="0"/>
              </w:numPr>
              <w:jc w:val="center"/>
              <w:rPr>
                <w:sz w:val="18"/>
                <w:szCs w:val="18"/>
              </w:rPr>
            </w:pPr>
            <w:r>
              <w:rPr>
                <w:sz w:val="18"/>
                <w:szCs w:val="18"/>
              </w:rPr>
              <w:t xml:space="preserve">10 </w:t>
            </w:r>
            <w:r w:rsidRPr="00F72991">
              <w:rPr>
                <w:sz w:val="18"/>
                <w:szCs w:val="18"/>
              </w:rPr>
              <w:t>μ</w:t>
            </w:r>
            <w:r>
              <w:rPr>
                <w:sz w:val="18"/>
                <w:szCs w:val="18"/>
              </w:rPr>
              <w:t>L</w:t>
            </w:r>
          </w:p>
        </w:tc>
      </w:tr>
      <w:tr w:rsidR="00494F74" w14:paraId="0D3E62C9" w14:textId="0EAF6B1B" w:rsidTr="00494F74">
        <w:trPr>
          <w:jc w:val="center"/>
        </w:trPr>
        <w:tc>
          <w:tcPr>
            <w:tcW w:w="1263" w:type="pct"/>
            <w:vAlign w:val="center"/>
          </w:tcPr>
          <w:p w14:paraId="67478651" w14:textId="58F35676" w:rsidR="00494F74" w:rsidRDefault="00494F74" w:rsidP="00F72991">
            <w:pPr>
              <w:pStyle w:val="111Abcam"/>
              <w:numPr>
                <w:ilvl w:val="0"/>
                <w:numId w:val="0"/>
              </w:numPr>
              <w:jc w:val="center"/>
              <w:rPr>
                <w:sz w:val="18"/>
                <w:szCs w:val="18"/>
              </w:rPr>
            </w:pPr>
            <w:r>
              <w:rPr>
                <w:sz w:val="18"/>
                <w:szCs w:val="18"/>
              </w:rPr>
              <w:t>APN Inhibitor (3.5 mM, 10X)</w:t>
            </w:r>
          </w:p>
        </w:tc>
        <w:tc>
          <w:tcPr>
            <w:tcW w:w="934" w:type="pct"/>
            <w:vAlign w:val="center"/>
          </w:tcPr>
          <w:p w14:paraId="3DF8CF88" w14:textId="3564BCC2" w:rsidR="00494F74" w:rsidRDefault="00494F74" w:rsidP="00F72991">
            <w:pPr>
              <w:pStyle w:val="111Abcam"/>
              <w:numPr>
                <w:ilvl w:val="0"/>
                <w:numId w:val="0"/>
              </w:numPr>
              <w:jc w:val="center"/>
              <w:rPr>
                <w:sz w:val="18"/>
                <w:szCs w:val="18"/>
              </w:rPr>
            </w:pPr>
            <w:r>
              <w:rPr>
                <w:sz w:val="18"/>
                <w:szCs w:val="18"/>
              </w:rPr>
              <w:t>-</w:t>
            </w:r>
          </w:p>
        </w:tc>
        <w:tc>
          <w:tcPr>
            <w:tcW w:w="934" w:type="pct"/>
            <w:vAlign w:val="center"/>
          </w:tcPr>
          <w:p w14:paraId="6CD2C5C9" w14:textId="2A65AA41" w:rsidR="00494F74" w:rsidRDefault="00494F74" w:rsidP="00F72991">
            <w:pPr>
              <w:pStyle w:val="111Abcam"/>
              <w:numPr>
                <w:ilvl w:val="0"/>
                <w:numId w:val="0"/>
              </w:numPr>
              <w:jc w:val="center"/>
              <w:rPr>
                <w:sz w:val="18"/>
                <w:szCs w:val="18"/>
              </w:rPr>
            </w:pPr>
            <w:r>
              <w:rPr>
                <w:sz w:val="18"/>
                <w:szCs w:val="18"/>
              </w:rPr>
              <w:t xml:space="preserve">10 </w:t>
            </w:r>
            <w:r w:rsidRPr="00F72991">
              <w:rPr>
                <w:sz w:val="18"/>
                <w:szCs w:val="18"/>
              </w:rPr>
              <w:t>μ</w:t>
            </w:r>
            <w:r>
              <w:rPr>
                <w:sz w:val="18"/>
                <w:szCs w:val="18"/>
              </w:rPr>
              <w:t>L</w:t>
            </w:r>
          </w:p>
        </w:tc>
        <w:tc>
          <w:tcPr>
            <w:tcW w:w="934" w:type="pct"/>
            <w:vAlign w:val="center"/>
          </w:tcPr>
          <w:p w14:paraId="693254AF" w14:textId="3651A29F" w:rsidR="00494F74" w:rsidRDefault="00494F74" w:rsidP="00F72991">
            <w:pPr>
              <w:pStyle w:val="111Abcam"/>
              <w:numPr>
                <w:ilvl w:val="0"/>
                <w:numId w:val="0"/>
              </w:numPr>
              <w:jc w:val="center"/>
              <w:rPr>
                <w:sz w:val="18"/>
                <w:szCs w:val="18"/>
              </w:rPr>
            </w:pPr>
            <w:r>
              <w:rPr>
                <w:sz w:val="18"/>
                <w:szCs w:val="18"/>
              </w:rPr>
              <w:t>-</w:t>
            </w:r>
          </w:p>
        </w:tc>
        <w:tc>
          <w:tcPr>
            <w:tcW w:w="935" w:type="pct"/>
            <w:vAlign w:val="center"/>
          </w:tcPr>
          <w:p w14:paraId="7AACB210" w14:textId="781A08AC" w:rsidR="00494F74" w:rsidRDefault="00494F74" w:rsidP="00F72991">
            <w:pPr>
              <w:pStyle w:val="111Abcam"/>
              <w:numPr>
                <w:ilvl w:val="0"/>
                <w:numId w:val="0"/>
              </w:numPr>
              <w:jc w:val="center"/>
              <w:rPr>
                <w:sz w:val="18"/>
                <w:szCs w:val="18"/>
              </w:rPr>
            </w:pPr>
            <w:r>
              <w:rPr>
                <w:sz w:val="18"/>
                <w:szCs w:val="18"/>
              </w:rPr>
              <w:t>-</w:t>
            </w:r>
          </w:p>
        </w:tc>
      </w:tr>
      <w:tr w:rsidR="00494F74" w14:paraId="21D24CA5" w14:textId="4E38060C" w:rsidTr="00494F74">
        <w:trPr>
          <w:jc w:val="center"/>
        </w:trPr>
        <w:tc>
          <w:tcPr>
            <w:tcW w:w="1263" w:type="pct"/>
            <w:vAlign w:val="center"/>
          </w:tcPr>
          <w:p w14:paraId="37D7ABCF" w14:textId="4937752E" w:rsidR="00494F74" w:rsidRDefault="00494F74" w:rsidP="00F72991">
            <w:pPr>
              <w:pStyle w:val="111Abcam"/>
              <w:numPr>
                <w:ilvl w:val="0"/>
                <w:numId w:val="0"/>
              </w:numPr>
              <w:jc w:val="center"/>
              <w:rPr>
                <w:sz w:val="18"/>
                <w:szCs w:val="18"/>
              </w:rPr>
            </w:pPr>
            <w:r>
              <w:rPr>
                <w:sz w:val="18"/>
                <w:szCs w:val="18"/>
              </w:rPr>
              <w:t>Aminopeptidase Assay Buffer</w:t>
            </w:r>
          </w:p>
        </w:tc>
        <w:tc>
          <w:tcPr>
            <w:tcW w:w="934" w:type="pct"/>
            <w:vAlign w:val="center"/>
          </w:tcPr>
          <w:p w14:paraId="67E6F1AC" w14:textId="00A17075" w:rsidR="00494F74" w:rsidRDefault="00494F74" w:rsidP="00F72991">
            <w:pPr>
              <w:pStyle w:val="111Abcam"/>
              <w:numPr>
                <w:ilvl w:val="0"/>
                <w:numId w:val="0"/>
              </w:numPr>
              <w:jc w:val="center"/>
              <w:rPr>
                <w:sz w:val="18"/>
                <w:szCs w:val="18"/>
              </w:rPr>
            </w:pPr>
            <w:r>
              <w:rPr>
                <w:sz w:val="18"/>
                <w:szCs w:val="18"/>
              </w:rPr>
              <w:t xml:space="preserve">To 80 </w:t>
            </w:r>
            <w:r w:rsidRPr="00F72991">
              <w:rPr>
                <w:sz w:val="18"/>
                <w:szCs w:val="18"/>
              </w:rPr>
              <w:t>μ</w:t>
            </w:r>
            <w:r>
              <w:rPr>
                <w:sz w:val="18"/>
                <w:szCs w:val="18"/>
              </w:rPr>
              <w:t>L</w:t>
            </w:r>
          </w:p>
        </w:tc>
        <w:tc>
          <w:tcPr>
            <w:tcW w:w="934" w:type="pct"/>
            <w:vAlign w:val="center"/>
          </w:tcPr>
          <w:p w14:paraId="6367C494" w14:textId="2B980D28" w:rsidR="00494F74" w:rsidRDefault="00494F74" w:rsidP="00F72991">
            <w:pPr>
              <w:pStyle w:val="111Abcam"/>
              <w:numPr>
                <w:ilvl w:val="0"/>
                <w:numId w:val="0"/>
              </w:numPr>
              <w:jc w:val="center"/>
              <w:rPr>
                <w:sz w:val="18"/>
                <w:szCs w:val="18"/>
              </w:rPr>
            </w:pPr>
            <w:r>
              <w:rPr>
                <w:sz w:val="18"/>
                <w:szCs w:val="18"/>
              </w:rPr>
              <w:t xml:space="preserve">To 80 </w:t>
            </w:r>
            <w:r w:rsidRPr="00F72991">
              <w:rPr>
                <w:sz w:val="18"/>
                <w:szCs w:val="18"/>
              </w:rPr>
              <w:t>μ</w:t>
            </w:r>
            <w:r>
              <w:rPr>
                <w:sz w:val="18"/>
                <w:szCs w:val="18"/>
              </w:rPr>
              <w:t>L</w:t>
            </w:r>
          </w:p>
        </w:tc>
        <w:tc>
          <w:tcPr>
            <w:tcW w:w="934" w:type="pct"/>
            <w:vAlign w:val="center"/>
          </w:tcPr>
          <w:p w14:paraId="378DAB49" w14:textId="278E0905" w:rsidR="00494F74" w:rsidRDefault="00494F74" w:rsidP="00F72991">
            <w:pPr>
              <w:pStyle w:val="111Abcam"/>
              <w:numPr>
                <w:ilvl w:val="0"/>
                <w:numId w:val="0"/>
              </w:numPr>
              <w:jc w:val="center"/>
              <w:rPr>
                <w:sz w:val="18"/>
                <w:szCs w:val="18"/>
              </w:rPr>
            </w:pPr>
            <w:r>
              <w:rPr>
                <w:sz w:val="18"/>
                <w:szCs w:val="18"/>
              </w:rPr>
              <w:t xml:space="preserve">80 </w:t>
            </w:r>
            <w:r w:rsidRPr="00F72991">
              <w:rPr>
                <w:sz w:val="18"/>
                <w:szCs w:val="18"/>
              </w:rPr>
              <w:t>μ</w:t>
            </w:r>
            <w:r>
              <w:rPr>
                <w:sz w:val="18"/>
                <w:szCs w:val="18"/>
              </w:rPr>
              <w:t>L</w:t>
            </w:r>
          </w:p>
        </w:tc>
        <w:tc>
          <w:tcPr>
            <w:tcW w:w="935" w:type="pct"/>
            <w:vAlign w:val="center"/>
          </w:tcPr>
          <w:p w14:paraId="564CEC79" w14:textId="65C523F1" w:rsidR="00494F74" w:rsidRDefault="00494F74" w:rsidP="00F72991">
            <w:pPr>
              <w:pStyle w:val="111Abcam"/>
              <w:numPr>
                <w:ilvl w:val="0"/>
                <w:numId w:val="0"/>
              </w:numPr>
              <w:jc w:val="center"/>
              <w:rPr>
                <w:sz w:val="18"/>
                <w:szCs w:val="18"/>
              </w:rPr>
            </w:pPr>
            <w:r>
              <w:rPr>
                <w:sz w:val="18"/>
                <w:szCs w:val="18"/>
              </w:rPr>
              <w:t xml:space="preserve">70 </w:t>
            </w:r>
            <w:r w:rsidRPr="00F72991">
              <w:rPr>
                <w:sz w:val="18"/>
                <w:szCs w:val="18"/>
              </w:rPr>
              <w:t>μ</w:t>
            </w:r>
            <w:r>
              <w:rPr>
                <w:sz w:val="18"/>
                <w:szCs w:val="18"/>
              </w:rPr>
              <w:t>L</w:t>
            </w:r>
          </w:p>
        </w:tc>
      </w:tr>
    </w:tbl>
    <w:p w14:paraId="0B0393E2" w14:textId="77777777" w:rsidR="00F72991" w:rsidRDefault="00F72991" w:rsidP="00F72991">
      <w:pPr>
        <w:pStyle w:val="111Abcam"/>
        <w:numPr>
          <w:ilvl w:val="0"/>
          <w:numId w:val="0"/>
        </w:numPr>
        <w:ind w:left="680"/>
      </w:pPr>
    </w:p>
    <w:p w14:paraId="157941A4" w14:textId="035B47F8" w:rsidR="00F72991" w:rsidRDefault="004D2CA7" w:rsidP="00F72991">
      <w:pPr>
        <w:pStyle w:val="111Abcam"/>
      </w:pPr>
      <w:r w:rsidRPr="004D2CA7">
        <w:t>Preincubate the plate for 10 min at 37°C to allow the inhibitor to interact with sample APN.</w:t>
      </w:r>
    </w:p>
    <w:p w14:paraId="5FE4A20D" w14:textId="4A0475CD" w:rsidR="004D2CA7" w:rsidRDefault="004D2CA7" w:rsidP="00F72991">
      <w:pPr>
        <w:pStyle w:val="111Abcam"/>
      </w:pPr>
      <w:r w:rsidRPr="004D2CA7">
        <w:t>During the preincubation, prepare a 5X concentrated APN Substrate solution by diluting the reconstituted 100X Aminopeptidase N Substrate stock solution with Aminopeptidase Assay Buffer at a 1:20 ratio. Prepare 20 µl of 5X APN Substrate solution for each reaction to be performed (for example, for 10 wells, mix 10 µl of 100X Aminopeptidase N Substrate stock with 190 µl Aminopeptidase Assay Buffer).</w:t>
      </w:r>
    </w:p>
    <w:p w14:paraId="28280959" w14:textId="3ED8E206" w:rsidR="004D2CA7" w:rsidRDefault="004D2CA7" w:rsidP="00F72991">
      <w:pPr>
        <w:pStyle w:val="111Abcam"/>
      </w:pPr>
      <w:r w:rsidRPr="004D2CA7">
        <w:t>Start the reaction by adding 20 µ</w:t>
      </w:r>
      <w:r>
        <w:t>L</w:t>
      </w:r>
      <w:r w:rsidRPr="004D2CA7">
        <w:t xml:space="preserve"> of the 5X APN Substrate solution to each reaction well using a multichannel pipette, yielding a final volume of 100 µ</w:t>
      </w:r>
      <w:r>
        <w:t>L</w:t>
      </w:r>
      <w:r w:rsidRPr="004D2CA7">
        <w:t>/well.</w:t>
      </w:r>
    </w:p>
    <w:p w14:paraId="697C41E3" w14:textId="77777777" w:rsidR="002C7F74" w:rsidRDefault="002C7F74" w:rsidP="004D2CA7">
      <w:pPr>
        <w:pStyle w:val="11Abcam"/>
        <w:numPr>
          <w:ilvl w:val="0"/>
          <w:numId w:val="0"/>
        </w:numPr>
        <w:rPr>
          <w:rFonts w:ascii="Symbol" w:hAnsi="Symbol"/>
          <w:b/>
          <w:bCs/>
        </w:rPr>
      </w:pPr>
    </w:p>
    <w:p w14:paraId="4D082394" w14:textId="746F361F" w:rsidR="00F72991" w:rsidRPr="004D2CA7" w:rsidRDefault="004D2CA7" w:rsidP="004D2CA7">
      <w:pPr>
        <w:pStyle w:val="11Abcam"/>
        <w:numPr>
          <w:ilvl w:val="0"/>
          <w:numId w:val="0"/>
        </w:numPr>
      </w:pPr>
      <w:r w:rsidRPr="004D2CA7">
        <w:rPr>
          <w:rFonts w:ascii="Symbol" w:hAnsi="Symbol"/>
          <w:b/>
          <w:bCs/>
        </w:rPr>
        <w:t></w:t>
      </w:r>
      <w:r w:rsidRPr="004D2CA7">
        <w:rPr>
          <w:rFonts w:ascii="Symbol" w:hAnsi="Symbol"/>
          <w:b/>
          <w:bCs/>
        </w:rPr>
        <w:t></w:t>
      </w:r>
      <w:r w:rsidRPr="004D2CA7">
        <w:rPr>
          <w:b/>
          <w:bCs/>
        </w:rPr>
        <w:t xml:space="preserve">Note: </w:t>
      </w:r>
      <w:r w:rsidRPr="004D2CA7">
        <w:t>Do not add APN Substrate solution to the AFC Standard curve wells.</w:t>
      </w:r>
    </w:p>
    <w:p w14:paraId="259D152E" w14:textId="77777777" w:rsidR="00F72991" w:rsidRPr="00F72991" w:rsidRDefault="00F72991" w:rsidP="00F72991">
      <w:pPr>
        <w:pStyle w:val="11Abcam"/>
        <w:numPr>
          <w:ilvl w:val="0"/>
          <w:numId w:val="0"/>
        </w:numPr>
        <w:ind w:left="567" w:hanging="567"/>
      </w:pPr>
    </w:p>
    <w:p w14:paraId="3AC4F049" w14:textId="5EF8A0C4" w:rsidR="00F72991" w:rsidRDefault="00F72991" w:rsidP="002E57AC">
      <w:pPr>
        <w:pStyle w:val="111Abcam"/>
      </w:pPr>
      <w:r w:rsidRPr="002C7F74">
        <w:t xml:space="preserve">Measure fluorescence (Ex/Em = </w:t>
      </w:r>
      <w:r w:rsidR="002E57AC" w:rsidRPr="002C7F74">
        <w:t>384</w:t>
      </w:r>
      <w:r w:rsidRPr="002C7F74">
        <w:t>/</w:t>
      </w:r>
      <w:r w:rsidR="002E57AC" w:rsidRPr="002C7F74">
        <w:t>502</w:t>
      </w:r>
      <w:r w:rsidRPr="002C7F74">
        <w:t xml:space="preserve"> nm) in kinetic mode for </w:t>
      </w:r>
      <w:r w:rsidR="002E57AC" w:rsidRPr="002C7F74">
        <w:t>45</w:t>
      </w:r>
      <w:r w:rsidR="00747D21" w:rsidRPr="002C7F74">
        <w:t>-</w:t>
      </w:r>
      <w:r w:rsidR="002E57AC" w:rsidRPr="002C7F74">
        <w:t>60</w:t>
      </w:r>
      <w:r w:rsidR="00747D21" w:rsidRPr="002C7F74">
        <w:t xml:space="preserve"> minutes</w:t>
      </w:r>
      <w:r w:rsidRPr="002C7F74">
        <w:t xml:space="preserve"> at </w:t>
      </w:r>
      <w:r w:rsidR="002C7F74" w:rsidRPr="002C7F74">
        <w:t>37°C</w:t>
      </w:r>
      <w:r w:rsidRPr="002C7F74">
        <w:t>.</w:t>
      </w:r>
    </w:p>
    <w:p w14:paraId="15A6B6B7" w14:textId="77777777" w:rsidR="00460B92" w:rsidRDefault="00460B92" w:rsidP="002C7F74">
      <w:pPr>
        <w:pStyle w:val="11Abcam"/>
        <w:numPr>
          <w:ilvl w:val="0"/>
          <w:numId w:val="0"/>
        </w:numPr>
        <w:rPr>
          <w:rFonts w:ascii="Symbol" w:hAnsi="Symbol"/>
          <w:b/>
          <w:bCs/>
        </w:rPr>
      </w:pPr>
    </w:p>
    <w:p w14:paraId="1090BA88" w14:textId="582B714F" w:rsidR="002C7F74" w:rsidRDefault="002C7F74" w:rsidP="002C7F74">
      <w:pPr>
        <w:pStyle w:val="11Abcam"/>
        <w:numPr>
          <w:ilvl w:val="0"/>
          <w:numId w:val="0"/>
        </w:numPr>
      </w:pPr>
      <w:r w:rsidRPr="002C7F74">
        <w:rPr>
          <w:rFonts w:ascii="Symbol" w:hAnsi="Symbol"/>
          <w:b/>
          <w:bCs/>
        </w:rPr>
        <w:t></w:t>
      </w:r>
      <w:r w:rsidRPr="002C7F74">
        <w:rPr>
          <w:rFonts w:ascii="Symbol" w:hAnsi="Symbol"/>
          <w:b/>
          <w:bCs/>
        </w:rPr>
        <w:t></w:t>
      </w:r>
      <w:r w:rsidRPr="002C7F74">
        <w:rPr>
          <w:b/>
          <w:bCs/>
        </w:rPr>
        <w:t>Note:</w:t>
      </w:r>
      <w:r>
        <w:t xml:space="preserve"> </w:t>
      </w:r>
      <w:r w:rsidRPr="002C7F74">
        <w:t xml:space="preserve">Ideal measurement time for the linear range may vary depending upon the sample (we recommend reading sample fluorescence in kinetic mode). </w:t>
      </w:r>
    </w:p>
    <w:p w14:paraId="033C7059" w14:textId="0C9359BC" w:rsidR="002C7F74" w:rsidRDefault="002C7F74" w:rsidP="002C7F74">
      <w:pPr>
        <w:pStyle w:val="11Abcam"/>
        <w:numPr>
          <w:ilvl w:val="0"/>
          <w:numId w:val="0"/>
        </w:numPr>
      </w:pPr>
      <w:r w:rsidRPr="002C7F74">
        <w:rPr>
          <w:rFonts w:ascii="Symbol" w:hAnsi="Symbol"/>
          <w:b/>
          <w:bCs/>
        </w:rPr>
        <w:t></w:t>
      </w:r>
      <w:r w:rsidRPr="002C7F74">
        <w:rPr>
          <w:rFonts w:ascii="Symbol" w:hAnsi="Symbol"/>
          <w:b/>
          <w:bCs/>
        </w:rPr>
        <w:t></w:t>
      </w:r>
      <w:r w:rsidRPr="002C7F74">
        <w:rPr>
          <w:b/>
          <w:bCs/>
        </w:rPr>
        <w:t>Note:</w:t>
      </w:r>
      <w:r>
        <w:t xml:space="preserve"> </w:t>
      </w:r>
      <w:r w:rsidRPr="002C7F74">
        <w:t>The AFC Standard curve wells may be read in endpoint mode (Ex/Em = 384/502 nm)</w:t>
      </w:r>
      <w:r>
        <w:t>.</w:t>
      </w:r>
    </w:p>
    <w:p w14:paraId="0BE633F4" w14:textId="0DD1813E" w:rsidR="00460B92" w:rsidRDefault="00460B92" w:rsidP="002C7F74">
      <w:pPr>
        <w:pStyle w:val="11Abcam"/>
        <w:numPr>
          <w:ilvl w:val="0"/>
          <w:numId w:val="0"/>
        </w:numPr>
      </w:pPr>
    </w:p>
    <w:p w14:paraId="3957CD4A" w14:textId="3D6F2DA5" w:rsidR="00460B92" w:rsidRDefault="00460B92" w:rsidP="002C7F74">
      <w:pPr>
        <w:pStyle w:val="11Abcam"/>
        <w:numPr>
          <w:ilvl w:val="0"/>
          <w:numId w:val="0"/>
        </w:numPr>
      </w:pPr>
    </w:p>
    <w:p w14:paraId="6D36E4E9" w14:textId="0FCA162A" w:rsidR="00460B92" w:rsidRDefault="00460B92" w:rsidP="002C7F74">
      <w:pPr>
        <w:pStyle w:val="11Abcam"/>
        <w:numPr>
          <w:ilvl w:val="0"/>
          <w:numId w:val="0"/>
        </w:numPr>
      </w:pPr>
    </w:p>
    <w:p w14:paraId="56C10A12" w14:textId="3768CF5E" w:rsidR="00460B92" w:rsidRDefault="00460B92" w:rsidP="002C7F74">
      <w:pPr>
        <w:pStyle w:val="11Abcam"/>
        <w:numPr>
          <w:ilvl w:val="0"/>
          <w:numId w:val="0"/>
        </w:numPr>
      </w:pPr>
    </w:p>
    <w:p w14:paraId="4AE807DD" w14:textId="30A92924" w:rsidR="00460B92" w:rsidRDefault="00460B92" w:rsidP="002C7F74">
      <w:pPr>
        <w:pStyle w:val="11Abcam"/>
        <w:numPr>
          <w:ilvl w:val="0"/>
          <w:numId w:val="0"/>
        </w:numPr>
      </w:pPr>
    </w:p>
    <w:p w14:paraId="649C1EAC" w14:textId="011C9900" w:rsidR="00460B92" w:rsidRDefault="00460B92" w:rsidP="002C7F74">
      <w:pPr>
        <w:pStyle w:val="11Abcam"/>
        <w:numPr>
          <w:ilvl w:val="0"/>
          <w:numId w:val="0"/>
        </w:numPr>
      </w:pPr>
    </w:p>
    <w:p w14:paraId="41264AB9" w14:textId="5DC32847" w:rsidR="00460B92" w:rsidRDefault="00460B92" w:rsidP="002C7F74">
      <w:pPr>
        <w:pStyle w:val="11Abcam"/>
        <w:numPr>
          <w:ilvl w:val="0"/>
          <w:numId w:val="0"/>
        </w:numPr>
      </w:pPr>
    </w:p>
    <w:p w14:paraId="22ED16A5" w14:textId="5A6605CA" w:rsidR="00460B92" w:rsidRDefault="00460B92" w:rsidP="002C7F74">
      <w:pPr>
        <w:pStyle w:val="11Abcam"/>
        <w:numPr>
          <w:ilvl w:val="0"/>
          <w:numId w:val="0"/>
        </w:numPr>
      </w:pPr>
    </w:p>
    <w:p w14:paraId="16F90EB8" w14:textId="2E04F73E" w:rsidR="00460B92" w:rsidRDefault="00460B92" w:rsidP="002C7F74">
      <w:pPr>
        <w:pStyle w:val="11Abcam"/>
        <w:numPr>
          <w:ilvl w:val="0"/>
          <w:numId w:val="0"/>
        </w:numPr>
      </w:pPr>
    </w:p>
    <w:p w14:paraId="0F8DC36B" w14:textId="21E964C9" w:rsidR="00460B92" w:rsidRDefault="00460B92" w:rsidP="002C7F74">
      <w:pPr>
        <w:pStyle w:val="11Abcam"/>
        <w:numPr>
          <w:ilvl w:val="0"/>
          <w:numId w:val="0"/>
        </w:numPr>
      </w:pPr>
    </w:p>
    <w:p w14:paraId="11CC47FE" w14:textId="1E2A3EB8" w:rsidR="00460B92" w:rsidRDefault="00460B92" w:rsidP="002C7F74">
      <w:pPr>
        <w:pStyle w:val="11Abcam"/>
        <w:numPr>
          <w:ilvl w:val="0"/>
          <w:numId w:val="0"/>
        </w:numPr>
      </w:pPr>
    </w:p>
    <w:p w14:paraId="55B4E352" w14:textId="766F7773" w:rsidR="00460B92" w:rsidRDefault="00460B92" w:rsidP="002C7F74">
      <w:pPr>
        <w:pStyle w:val="11Abcam"/>
        <w:numPr>
          <w:ilvl w:val="0"/>
          <w:numId w:val="0"/>
        </w:numPr>
      </w:pPr>
    </w:p>
    <w:p w14:paraId="2D4661ED" w14:textId="77777777" w:rsidR="00460B92" w:rsidRPr="002C7F74" w:rsidRDefault="00460B92" w:rsidP="002C7F74">
      <w:pPr>
        <w:pStyle w:val="11Abcam"/>
        <w:numPr>
          <w:ilvl w:val="0"/>
          <w:numId w:val="0"/>
        </w:numPr>
      </w:pPr>
    </w:p>
    <w:p w14:paraId="7BC29590" w14:textId="77777777" w:rsidR="00013D0A" w:rsidRPr="002A066A" w:rsidRDefault="00013D0A" w:rsidP="001E2DD7">
      <w:pPr>
        <w:pStyle w:val="1Abcamheading"/>
      </w:pPr>
      <w:bookmarkStart w:id="30" w:name="_Toc39750372"/>
      <w:r w:rsidRPr="002A066A">
        <w:lastRenderedPageBreak/>
        <w:t>Calculations</w:t>
      </w:r>
      <w:bookmarkEnd w:id="30"/>
    </w:p>
    <w:p w14:paraId="083754EE" w14:textId="5BCDC08E" w:rsidR="00736A05" w:rsidRDefault="00BA31D3" w:rsidP="00736A05">
      <w:pPr>
        <w:pStyle w:val="11Abcam"/>
        <w:tabs>
          <w:tab w:val="clear" w:pos="0"/>
          <w:tab w:val="num" w:pos="142"/>
        </w:tabs>
        <w:ind w:left="709"/>
      </w:pPr>
      <w:r w:rsidRPr="00BA31D3">
        <w:t>For the AFC Standard curve, subtract the 0 pmol/well reading from all standard readings, plot the background-subtracted values and calculate the slope.</w:t>
      </w:r>
    </w:p>
    <w:p w14:paraId="7F60E851" w14:textId="12081419" w:rsidR="00BA31D3" w:rsidRDefault="00BA31D3" w:rsidP="00736A05">
      <w:pPr>
        <w:pStyle w:val="11Abcam"/>
        <w:tabs>
          <w:tab w:val="clear" w:pos="0"/>
          <w:tab w:val="num" w:pos="142"/>
        </w:tabs>
        <w:ind w:left="709"/>
      </w:pPr>
      <w:r w:rsidRPr="00BA31D3">
        <w:t>For sample reaction wells (including paired inhibitor control wells), choose two time points (t</w:t>
      </w:r>
      <w:r w:rsidRPr="00BA31D3">
        <w:rPr>
          <w:vertAlign w:val="subscript"/>
        </w:rPr>
        <w:t>1</w:t>
      </w:r>
      <w:r w:rsidRPr="00BA31D3">
        <w:t xml:space="preserve"> and t</w:t>
      </w:r>
      <w:r w:rsidRPr="00BA31D3">
        <w:rPr>
          <w:vertAlign w:val="subscript"/>
        </w:rPr>
        <w:t>2</w:t>
      </w:r>
      <w:r w:rsidRPr="00BA31D3">
        <w:t>) in the linear phase of the reaction progress curves, obtain the corresponding fluorescence values at those points (RFU</w:t>
      </w:r>
      <w:r w:rsidRPr="00BA31D3">
        <w:rPr>
          <w:vertAlign w:val="subscript"/>
        </w:rPr>
        <w:t xml:space="preserve">1 </w:t>
      </w:r>
      <w:r w:rsidRPr="00BA31D3">
        <w:t>and RFU</w:t>
      </w:r>
      <w:r w:rsidRPr="00BA31D3">
        <w:rPr>
          <w:vertAlign w:val="subscript"/>
        </w:rPr>
        <w:t>2</w:t>
      </w:r>
      <w:r w:rsidRPr="00BA31D3">
        <w:t>) and determine the change in fluorescence over the time interval: ∆F = RFU</w:t>
      </w:r>
      <w:r w:rsidRPr="00BA31D3">
        <w:rPr>
          <w:vertAlign w:val="subscript"/>
        </w:rPr>
        <w:t xml:space="preserve">2 </w:t>
      </w:r>
      <w:r w:rsidRPr="00BA31D3">
        <w:t>– RFU</w:t>
      </w:r>
      <w:r w:rsidRPr="00BA31D3">
        <w:rPr>
          <w:vertAlign w:val="subscript"/>
        </w:rPr>
        <w:t>1</w:t>
      </w:r>
      <w:r w:rsidRPr="00BA31D3">
        <w:t>.</w:t>
      </w:r>
    </w:p>
    <w:p w14:paraId="5AF7BE20" w14:textId="30DF3327" w:rsidR="00BA31D3" w:rsidRDefault="00BA31D3" w:rsidP="00736A05">
      <w:pPr>
        <w:pStyle w:val="11Abcam"/>
        <w:tabs>
          <w:tab w:val="clear" w:pos="0"/>
          <w:tab w:val="num" w:pos="142"/>
        </w:tabs>
        <w:ind w:left="709"/>
      </w:pPr>
      <w:r w:rsidRPr="00BA31D3">
        <w:t>Calculate the specific fluorescence generated by aminopeptidase N activity (denoted by CS) by subtracting the APN Inhibitor control fluorescence (∆FI) from the corresponding test sample reading (∆FS): CS = ∆FS – ∆FI.</w:t>
      </w:r>
    </w:p>
    <w:p w14:paraId="7DBA20F4" w14:textId="1E8CF53D" w:rsidR="00BA31D3" w:rsidRDefault="00BA31D3" w:rsidP="00736A05">
      <w:pPr>
        <w:pStyle w:val="11Abcam"/>
        <w:tabs>
          <w:tab w:val="clear" w:pos="0"/>
          <w:tab w:val="num" w:pos="142"/>
        </w:tabs>
        <w:ind w:left="709"/>
      </w:pPr>
      <w:r w:rsidRPr="00BA31D3">
        <w:t>Aminopeptidase N activity is obtained by applying the CS values to the AFC fluorescence standard curve to get B pmol of substrate metabolized during the reaction time.</w:t>
      </w:r>
    </w:p>
    <w:p w14:paraId="191E5D03" w14:textId="28E46B8F" w:rsidR="00655F62" w:rsidRPr="00736A05" w:rsidRDefault="00655F62" w:rsidP="00736A05"/>
    <w:p w14:paraId="7087F0EF" w14:textId="43517DF7" w:rsidR="00655F62" w:rsidRPr="00655F62" w:rsidRDefault="00655F62" w:rsidP="00655F62">
      <w:pPr>
        <w:spacing w:before="0" w:after="0"/>
        <w:rPr>
          <w:sz w:val="18"/>
          <w:szCs w:val="18"/>
        </w:rPr>
      </w:pPr>
      <m:oMathPara>
        <m:oMathParaPr>
          <m:jc m:val="center"/>
        </m:oMathParaPr>
        <m:oMath>
          <m:r>
            <w:rPr>
              <w:rFonts w:ascii="Cambria Math" w:hAnsi="Cambria Math"/>
              <w:szCs w:val="20"/>
            </w:rPr>
            <m:t>Sample APN activity =</m:t>
          </m:r>
          <m:f>
            <m:fPr>
              <m:ctrlPr>
                <w:rPr>
                  <w:rFonts w:ascii="Cambria Math" w:hAnsi="Cambria Math"/>
                  <w:i/>
                  <w:szCs w:val="20"/>
                </w:rPr>
              </m:ctrlPr>
            </m:fPr>
            <m:num>
              <m:r>
                <w:rPr>
                  <w:rFonts w:ascii="Cambria Math" w:hAnsi="Cambria Math"/>
                  <w:szCs w:val="20"/>
                </w:rPr>
                <m:t xml:space="preserve">B </m:t>
              </m:r>
            </m:num>
            <m:den>
              <m:d>
                <m:dPr>
                  <m:ctrlPr>
                    <w:rPr>
                      <w:rFonts w:ascii="Cambria Math" w:hAnsi="Cambria Math"/>
                      <w:i/>
                      <w:szCs w:val="20"/>
                    </w:rPr>
                  </m:ctrlPr>
                </m:dPr>
                <m:e>
                  <m:r>
                    <m:rPr>
                      <m:sty m:val="p"/>
                    </m:rPr>
                    <w:rPr>
                      <w:rFonts w:ascii="Cambria Math" w:hAnsi="Cambria Math"/>
                    </w:rPr>
                    <m:t>Δ</m:t>
                  </m:r>
                  <m:r>
                    <m:rPr>
                      <m:sty m:val="p"/>
                    </m:rPr>
                    <w:rPr>
                      <w:rFonts w:ascii="Cambria Math" w:hAnsi="Cambria Math"/>
                      <w:szCs w:val="20"/>
                    </w:rPr>
                    <m:t>t x P</m:t>
                  </m:r>
                </m:e>
              </m:d>
            </m:den>
          </m:f>
          <m:r>
            <w:rPr>
              <w:rFonts w:ascii="Cambria Math" w:hAnsi="Cambria Math"/>
              <w:szCs w:val="20"/>
            </w:rPr>
            <m:t xml:space="preserve"> X D </m:t>
          </m:r>
        </m:oMath>
      </m:oMathPara>
    </w:p>
    <w:p w14:paraId="32E2A1C7" w14:textId="3B65253C" w:rsidR="00C665B3" w:rsidRDefault="00C665B3" w:rsidP="00C665B3">
      <w:pPr>
        <w:spacing w:before="0" w:after="0"/>
      </w:pPr>
    </w:p>
    <w:p w14:paraId="325255C0" w14:textId="467319D7" w:rsidR="00C665B3" w:rsidRDefault="00BA31D3" w:rsidP="00C665B3">
      <w:pPr>
        <w:spacing w:before="0" w:after="0"/>
      </w:pPr>
      <w:r>
        <w:t xml:space="preserve">APN activity is in nmol/min/(mg or mL) = </w:t>
      </w:r>
      <w:r w:rsidRPr="00BA31D3">
        <w:t>μ</w:t>
      </w:r>
      <w:r>
        <w:t>U/(mg or mL)</w:t>
      </w:r>
    </w:p>
    <w:p w14:paraId="1DE0ECF5" w14:textId="77777777" w:rsidR="00BA31D3" w:rsidRDefault="00BA31D3" w:rsidP="00C665B3">
      <w:pPr>
        <w:spacing w:before="0" w:after="0"/>
      </w:pPr>
    </w:p>
    <w:p w14:paraId="5ACF4EB8" w14:textId="48B3340F" w:rsidR="00C665B3" w:rsidRDefault="00C665B3" w:rsidP="00C665B3">
      <w:pPr>
        <w:spacing w:before="0" w:after="0"/>
      </w:pPr>
      <w:r>
        <w:t xml:space="preserve">B = Released </w:t>
      </w:r>
      <w:r w:rsidR="002D6E97">
        <w:t>AFC</w:t>
      </w:r>
      <w:r>
        <w:t xml:space="preserve"> in Samples based on the Standard Curve slope (pmol)</w:t>
      </w:r>
    </w:p>
    <w:p w14:paraId="36D682DC" w14:textId="78BD8DE1" w:rsidR="00C665B3" w:rsidRDefault="00C665B3" w:rsidP="00C665B3">
      <w:pPr>
        <w:spacing w:before="0" w:after="0"/>
      </w:pPr>
      <w:r>
        <w:rPr>
          <w:rFonts w:ascii="Symbol" w:hAnsi="Symbol"/>
        </w:rPr>
        <w:t></w:t>
      </w:r>
      <w:r>
        <w:t>t = Reaction time (t</w:t>
      </w:r>
      <w:r>
        <w:rPr>
          <w:vertAlign w:val="subscript"/>
        </w:rPr>
        <w:t>2</w:t>
      </w:r>
      <w:r>
        <w:t xml:space="preserve"> – t</w:t>
      </w:r>
      <w:r w:rsidRPr="00C665B3">
        <w:rPr>
          <w:vertAlign w:val="subscript"/>
        </w:rPr>
        <w:t>1</w:t>
      </w:r>
      <w:r>
        <w:t>)</w:t>
      </w:r>
      <w:r w:rsidR="00BA31D3">
        <w:t xml:space="preserve"> in minutes</w:t>
      </w:r>
    </w:p>
    <w:p w14:paraId="2A94AB4A" w14:textId="7702ED37" w:rsidR="00C665B3" w:rsidRDefault="002E57AC" w:rsidP="00C665B3">
      <w:pPr>
        <w:spacing w:before="0" w:after="0"/>
      </w:pPr>
      <w:r>
        <w:t>P</w:t>
      </w:r>
      <w:r w:rsidR="00C665B3">
        <w:t xml:space="preserve"> = Sample </w:t>
      </w:r>
      <w:r w:rsidR="00747D21">
        <w:t xml:space="preserve">volume </w:t>
      </w:r>
      <w:r w:rsidR="00C665B3">
        <w:t>used (in m</w:t>
      </w:r>
      <w:r>
        <w:t>g</w:t>
      </w:r>
      <w:r w:rsidR="00BA31D3">
        <w:t xml:space="preserve"> protein or mL fluid</w:t>
      </w:r>
      <w:r w:rsidR="00C665B3">
        <w:t>)</w:t>
      </w:r>
    </w:p>
    <w:p w14:paraId="5DAD4E10" w14:textId="3A5C60FA" w:rsidR="00C665B3" w:rsidRPr="00C665B3" w:rsidRDefault="00C665B3" w:rsidP="00C665B3">
      <w:pPr>
        <w:spacing w:before="0" w:after="0"/>
      </w:pPr>
      <w:r>
        <w:t>D = Sample dilution factor (D = 1 for undiluted Samples)</w:t>
      </w:r>
    </w:p>
    <w:p w14:paraId="3FDB4057" w14:textId="77777777" w:rsidR="00130C15" w:rsidRDefault="00130C15" w:rsidP="001452AC">
      <w:pPr>
        <w:spacing w:before="0" w:after="0"/>
      </w:pPr>
    </w:p>
    <w:p w14:paraId="0B496D5A" w14:textId="77777777" w:rsidR="00130C15" w:rsidRDefault="00130C15" w:rsidP="001452AC">
      <w:pPr>
        <w:spacing w:before="0" w:after="0"/>
      </w:pPr>
    </w:p>
    <w:p w14:paraId="63F2399E" w14:textId="77777777" w:rsidR="00130C15" w:rsidRDefault="00130C15" w:rsidP="001452AC">
      <w:pPr>
        <w:spacing w:before="0" w:after="0"/>
        <w:rPr>
          <w:b/>
          <w:bCs/>
        </w:rPr>
      </w:pPr>
      <w:r w:rsidRPr="00130C15">
        <w:rPr>
          <w:b/>
          <w:bCs/>
        </w:rPr>
        <w:t>Unit definition:</w:t>
      </w:r>
    </w:p>
    <w:p w14:paraId="5EBEF597" w14:textId="46535FCD" w:rsidR="006C1D16" w:rsidRPr="00130C15" w:rsidRDefault="002E57AC" w:rsidP="002E57AC">
      <w:pPr>
        <w:spacing w:before="0" w:after="0"/>
        <w:rPr>
          <w:rFonts w:eastAsiaTheme="minorHAnsi" w:cstheme="minorBidi"/>
        </w:rPr>
      </w:pPr>
      <w:r>
        <w:t>One unit of aminopeptidase N activity is the amount of enzyme that generates 1 µmole of AFC per min by hydrolysis of 1 µmole fluorogenic substrate at 37°C and pH 8</w:t>
      </w:r>
      <w:r w:rsidR="00BA31D3">
        <w:t>.</w:t>
      </w:r>
      <w:r w:rsidRPr="00130C15">
        <w:t xml:space="preserve"> </w:t>
      </w:r>
      <w:r w:rsidR="006C1D16" w:rsidRPr="00130C15">
        <w:br w:type="page"/>
      </w:r>
    </w:p>
    <w:p w14:paraId="5EE08BBA" w14:textId="5101F9ED" w:rsidR="00B86D77" w:rsidRPr="002A066A" w:rsidRDefault="00E44FA4" w:rsidP="001E2DD7">
      <w:pPr>
        <w:pStyle w:val="1Abcamheading"/>
      </w:pPr>
      <w:bookmarkStart w:id="31" w:name="_Toc39750373"/>
      <w:bookmarkEnd w:id="27"/>
      <w:bookmarkEnd w:id="28"/>
      <w:r w:rsidRPr="002A066A">
        <w:lastRenderedPageBreak/>
        <w:t xml:space="preserve">Typical </w:t>
      </w:r>
      <w:r w:rsidR="00B86D77" w:rsidRPr="002A066A">
        <w:t>Data</w:t>
      </w:r>
      <w:bookmarkEnd w:id="31"/>
    </w:p>
    <w:p w14:paraId="675D51A8" w14:textId="65A8E409" w:rsidR="00B86D77"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1B410CBB" w14:textId="77777777" w:rsidR="004D38FE" w:rsidRDefault="004D38FE" w:rsidP="00D530F3">
      <w:pPr>
        <w:spacing w:before="60" w:after="60"/>
        <w:rPr>
          <w:lang w:val="en-GB"/>
        </w:rPr>
      </w:pPr>
    </w:p>
    <w:p w14:paraId="734AA411" w14:textId="281174AE" w:rsidR="00CA6CF5" w:rsidRPr="002A066A" w:rsidRDefault="002E57AC" w:rsidP="001C2383">
      <w:pPr>
        <w:spacing w:before="60" w:after="60"/>
        <w:jc w:val="center"/>
        <w:rPr>
          <w:lang w:val="en-GB"/>
        </w:rPr>
      </w:pPr>
      <w:r>
        <w:rPr>
          <w:noProof/>
        </w:rPr>
        <w:drawing>
          <wp:inline distT="0" distB="0" distL="0" distR="0" wp14:anchorId="40B60C2E" wp14:editId="22FE19CE">
            <wp:extent cx="2676525" cy="2981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76525" cy="2981325"/>
                    </a:xfrm>
                    <a:prstGeom prst="rect">
                      <a:avLst/>
                    </a:prstGeom>
                  </pic:spPr>
                </pic:pic>
              </a:graphicData>
            </a:graphic>
          </wp:inline>
        </w:drawing>
      </w:r>
    </w:p>
    <w:p w14:paraId="1EB3C179" w14:textId="54BA70BA" w:rsidR="003B15FA" w:rsidRDefault="00E44FA4" w:rsidP="00E22C68">
      <w:pPr>
        <w:pStyle w:val="1AbcamImageLegend"/>
      </w:pPr>
      <w:bookmarkStart w:id="32" w:name="_Hlk39562260"/>
      <w:r w:rsidRPr="008A2F6E">
        <w:rPr>
          <w:b/>
        </w:rPr>
        <w:t>Figure 1</w:t>
      </w:r>
      <w:r w:rsidRPr="008A2F6E">
        <w:t xml:space="preserve">. </w:t>
      </w:r>
      <w:r w:rsidR="002E57AC">
        <w:t>Standard curve of 7-amino-4-trifluoromethylcoumarin (AFC) fluorescence. One mole of AFC corresponds to the metabolism of one mole of Aminopeptidase N Substrate</w:t>
      </w:r>
      <w:r w:rsidR="00CC5AD3" w:rsidRPr="00CC5AD3">
        <w:t>)</w:t>
      </w:r>
      <w:r w:rsidR="00CC5AD3">
        <w:t>.</w:t>
      </w:r>
    </w:p>
    <w:bookmarkEnd w:id="32"/>
    <w:p w14:paraId="4D9B6EA0" w14:textId="5EEFC338" w:rsidR="001C2383" w:rsidRDefault="001C2383" w:rsidP="008A2F6E">
      <w:pPr>
        <w:pStyle w:val="1AbcamImageLegend"/>
      </w:pPr>
    </w:p>
    <w:p w14:paraId="2F21260B" w14:textId="29922525" w:rsidR="001C2383" w:rsidRDefault="001C2383" w:rsidP="008A2F6E">
      <w:pPr>
        <w:pStyle w:val="1AbcamImageLegend"/>
      </w:pPr>
    </w:p>
    <w:p w14:paraId="6865F32C" w14:textId="0F8374CD" w:rsidR="001C2383" w:rsidRDefault="001C2383" w:rsidP="008A2F6E">
      <w:pPr>
        <w:pStyle w:val="1AbcamImageLegend"/>
      </w:pPr>
    </w:p>
    <w:p w14:paraId="41249F29" w14:textId="53267C82" w:rsidR="002E57AC" w:rsidRDefault="002E57AC" w:rsidP="008A2F6E">
      <w:pPr>
        <w:pStyle w:val="1AbcamImageLegend"/>
      </w:pPr>
    </w:p>
    <w:p w14:paraId="068360FF" w14:textId="792CBAF9" w:rsidR="002E57AC" w:rsidRDefault="002E57AC" w:rsidP="008A2F6E">
      <w:pPr>
        <w:pStyle w:val="1AbcamImageLegend"/>
      </w:pPr>
    </w:p>
    <w:p w14:paraId="440DE655" w14:textId="644A18BA" w:rsidR="002E57AC" w:rsidRDefault="002E57AC" w:rsidP="008A2F6E">
      <w:pPr>
        <w:pStyle w:val="1AbcamImageLegend"/>
      </w:pPr>
    </w:p>
    <w:p w14:paraId="09A38D36" w14:textId="626D0AD6" w:rsidR="002E57AC" w:rsidRDefault="002E57AC" w:rsidP="008A2F6E">
      <w:pPr>
        <w:pStyle w:val="1AbcamImageLegend"/>
      </w:pPr>
    </w:p>
    <w:p w14:paraId="0C4592C1" w14:textId="641BB5E0" w:rsidR="002E57AC" w:rsidRDefault="002E57AC" w:rsidP="008A2F6E">
      <w:pPr>
        <w:pStyle w:val="1AbcamImageLegend"/>
      </w:pPr>
    </w:p>
    <w:p w14:paraId="161D4252" w14:textId="7B86057F" w:rsidR="002E57AC" w:rsidRDefault="002E57AC" w:rsidP="008A2F6E">
      <w:pPr>
        <w:pStyle w:val="1AbcamImageLegend"/>
      </w:pPr>
    </w:p>
    <w:p w14:paraId="5F8DE4CD" w14:textId="618F7C7D" w:rsidR="002E57AC" w:rsidRDefault="002E57AC" w:rsidP="008A2F6E">
      <w:pPr>
        <w:pStyle w:val="1AbcamImageLegend"/>
      </w:pPr>
    </w:p>
    <w:p w14:paraId="58A7B674" w14:textId="350F6153" w:rsidR="002E57AC" w:rsidRDefault="002E57AC" w:rsidP="008A2F6E">
      <w:pPr>
        <w:pStyle w:val="1AbcamImageLegend"/>
      </w:pPr>
    </w:p>
    <w:p w14:paraId="2A15772F" w14:textId="4A97D5CD" w:rsidR="002E57AC" w:rsidRDefault="002E57AC" w:rsidP="002E57AC">
      <w:pPr>
        <w:pStyle w:val="1AbcamImageLegend"/>
        <w:jc w:val="center"/>
      </w:pPr>
      <w:r>
        <w:lastRenderedPageBreak/>
        <w:drawing>
          <wp:inline distT="0" distB="0" distL="0" distR="0" wp14:anchorId="63A482AE" wp14:editId="4366CF48">
            <wp:extent cx="3164653" cy="3045417"/>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5692" cy="3046417"/>
                    </a:xfrm>
                    <a:prstGeom prst="rect">
                      <a:avLst/>
                    </a:prstGeom>
                    <a:noFill/>
                    <a:ln>
                      <a:noFill/>
                    </a:ln>
                  </pic:spPr>
                </pic:pic>
              </a:graphicData>
            </a:graphic>
          </wp:inline>
        </w:drawing>
      </w:r>
    </w:p>
    <w:p w14:paraId="49EC2C97" w14:textId="4C023977" w:rsidR="001C2383" w:rsidRDefault="001C2383" w:rsidP="001C2383">
      <w:pPr>
        <w:pStyle w:val="1AbcamImageLegend"/>
        <w:jc w:val="center"/>
      </w:pPr>
    </w:p>
    <w:p w14:paraId="73B5B77E" w14:textId="77777777" w:rsidR="001C2383" w:rsidRPr="008A2F6E" w:rsidRDefault="001C2383" w:rsidP="008A2F6E">
      <w:pPr>
        <w:pStyle w:val="1AbcamImageLegend"/>
      </w:pPr>
    </w:p>
    <w:p w14:paraId="3AAEEF65" w14:textId="48DA3229" w:rsidR="001C2383" w:rsidRDefault="001C2383" w:rsidP="00E22C68">
      <w:pPr>
        <w:pStyle w:val="1AbcamImageLegend"/>
      </w:pPr>
      <w:r w:rsidRPr="008A2F6E">
        <w:rPr>
          <w:b/>
        </w:rPr>
        <w:t xml:space="preserve">Figure </w:t>
      </w:r>
      <w:r>
        <w:rPr>
          <w:b/>
        </w:rPr>
        <w:t>2</w:t>
      </w:r>
      <w:r w:rsidRPr="008A2F6E">
        <w:t xml:space="preserve">. </w:t>
      </w:r>
      <w:r w:rsidR="002E57AC">
        <w:t>Kinetics of APN Substrate metabolism in rat kidney lysate (5 µg protein), HT-1080 cell and HepG2 cell lysates (each 10 µg protein), as well as pooled normal human serum and serum from breast cancer patients (each 10 µl undiluted serum) in the presence and absence of the included selective APN inhibitor.</w:t>
      </w:r>
    </w:p>
    <w:p w14:paraId="34A289B9" w14:textId="5A8A538D" w:rsidR="004D38FE" w:rsidRDefault="004D38FE" w:rsidP="001C2383">
      <w:pPr>
        <w:pStyle w:val="1AbcamImageLegend"/>
      </w:pPr>
    </w:p>
    <w:p w14:paraId="344899BB" w14:textId="030D00D2" w:rsidR="004D38FE" w:rsidRDefault="004D38FE" w:rsidP="001C2383">
      <w:pPr>
        <w:pStyle w:val="1AbcamImageLegend"/>
      </w:pPr>
    </w:p>
    <w:p w14:paraId="24E53CDA" w14:textId="4ECE1CF5" w:rsidR="00DF5D12" w:rsidRDefault="00DF5D12" w:rsidP="001C2383">
      <w:pPr>
        <w:pStyle w:val="1AbcamImageLegend"/>
      </w:pPr>
    </w:p>
    <w:p w14:paraId="5439B247" w14:textId="44792E60" w:rsidR="00DF5D12" w:rsidRDefault="00DF5D12" w:rsidP="001C2383">
      <w:pPr>
        <w:pStyle w:val="1AbcamImageLegend"/>
      </w:pPr>
    </w:p>
    <w:p w14:paraId="77F4F7E2" w14:textId="0BD67F3B" w:rsidR="00DF5D12" w:rsidRDefault="00DF5D12" w:rsidP="001C2383">
      <w:pPr>
        <w:pStyle w:val="1AbcamImageLegend"/>
      </w:pPr>
    </w:p>
    <w:p w14:paraId="3EDBC417" w14:textId="75C32895" w:rsidR="00DF5D12" w:rsidRDefault="00DF5D12" w:rsidP="00DF5D12">
      <w:pPr>
        <w:pStyle w:val="1AbcamImageLegend"/>
        <w:jc w:val="center"/>
      </w:pPr>
    </w:p>
    <w:p w14:paraId="5AF8C63A" w14:textId="14D980B4" w:rsidR="002E57AC" w:rsidRDefault="002E57AC" w:rsidP="00DF5D12">
      <w:pPr>
        <w:pStyle w:val="1AbcamImageLegend"/>
        <w:jc w:val="center"/>
      </w:pPr>
    </w:p>
    <w:p w14:paraId="772B46DD" w14:textId="524A8572" w:rsidR="002E57AC" w:rsidRDefault="002E57AC" w:rsidP="00DF5D12">
      <w:pPr>
        <w:pStyle w:val="1AbcamImageLegend"/>
        <w:jc w:val="center"/>
      </w:pPr>
    </w:p>
    <w:p w14:paraId="0FEE3551" w14:textId="4080222B" w:rsidR="002E57AC" w:rsidRDefault="002E57AC" w:rsidP="00DF5D12">
      <w:pPr>
        <w:pStyle w:val="1AbcamImageLegend"/>
        <w:jc w:val="center"/>
      </w:pPr>
    </w:p>
    <w:p w14:paraId="0EAB98E0" w14:textId="68148743" w:rsidR="002E57AC" w:rsidRDefault="002E57AC" w:rsidP="00DF5D12">
      <w:pPr>
        <w:pStyle w:val="1AbcamImageLegend"/>
        <w:jc w:val="center"/>
      </w:pPr>
    </w:p>
    <w:p w14:paraId="769616E3" w14:textId="76F904D6" w:rsidR="002E57AC" w:rsidRDefault="002E57AC" w:rsidP="00DF5D12">
      <w:pPr>
        <w:pStyle w:val="1AbcamImageLegend"/>
        <w:jc w:val="center"/>
      </w:pPr>
    </w:p>
    <w:p w14:paraId="4A3B880B" w14:textId="68DEE30A" w:rsidR="002E57AC" w:rsidRDefault="002E57AC" w:rsidP="00DF5D12">
      <w:pPr>
        <w:pStyle w:val="1AbcamImageLegend"/>
        <w:jc w:val="center"/>
      </w:pPr>
    </w:p>
    <w:p w14:paraId="49B8D6B1" w14:textId="531118E5" w:rsidR="002E57AC" w:rsidRDefault="002E57AC" w:rsidP="00DF5D12">
      <w:pPr>
        <w:pStyle w:val="1AbcamImageLegend"/>
        <w:jc w:val="center"/>
      </w:pPr>
    </w:p>
    <w:p w14:paraId="51F4E5CD" w14:textId="7ACB33A7" w:rsidR="002E57AC" w:rsidRDefault="002E57AC" w:rsidP="00DF5D12">
      <w:pPr>
        <w:pStyle w:val="1AbcamImageLegend"/>
        <w:jc w:val="center"/>
      </w:pPr>
      <w:r>
        <w:lastRenderedPageBreak/>
        <w:drawing>
          <wp:anchor distT="0" distB="0" distL="114300" distR="114300" simplePos="0" relativeHeight="251674112" behindDoc="0" locked="0" layoutInCell="1" allowOverlap="1" wp14:anchorId="22592D75" wp14:editId="60897870">
            <wp:simplePos x="0" y="0"/>
            <wp:positionH relativeFrom="page">
              <wp:align>center</wp:align>
            </wp:positionH>
            <wp:positionV relativeFrom="paragraph">
              <wp:posOffset>4962</wp:posOffset>
            </wp:positionV>
            <wp:extent cx="2419350" cy="36480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19350" cy="3648075"/>
                    </a:xfrm>
                    <a:prstGeom prst="rect">
                      <a:avLst/>
                    </a:prstGeom>
                  </pic:spPr>
                </pic:pic>
              </a:graphicData>
            </a:graphic>
          </wp:anchor>
        </w:drawing>
      </w:r>
    </w:p>
    <w:p w14:paraId="75DD041B" w14:textId="3AF38242" w:rsidR="002E57AC" w:rsidRDefault="002E57AC" w:rsidP="00DF5D12">
      <w:pPr>
        <w:pStyle w:val="1AbcamImageLegend"/>
        <w:jc w:val="center"/>
      </w:pPr>
    </w:p>
    <w:p w14:paraId="2AD900F5" w14:textId="7E86BB6A" w:rsidR="002E57AC" w:rsidRDefault="002E57AC" w:rsidP="00DF5D12">
      <w:pPr>
        <w:pStyle w:val="1AbcamImageLegend"/>
        <w:jc w:val="center"/>
      </w:pPr>
    </w:p>
    <w:p w14:paraId="30A1E3A2" w14:textId="4DA6936B" w:rsidR="002E57AC" w:rsidRDefault="002E57AC" w:rsidP="00DF5D12">
      <w:pPr>
        <w:pStyle w:val="1AbcamImageLegend"/>
        <w:jc w:val="center"/>
      </w:pPr>
    </w:p>
    <w:p w14:paraId="0A725A59" w14:textId="477F7895" w:rsidR="002E57AC" w:rsidRDefault="002E57AC" w:rsidP="00DF5D12">
      <w:pPr>
        <w:pStyle w:val="1AbcamImageLegend"/>
        <w:jc w:val="center"/>
      </w:pPr>
    </w:p>
    <w:p w14:paraId="17D59E81" w14:textId="5866CCCA" w:rsidR="002E57AC" w:rsidRDefault="002E57AC" w:rsidP="00DF5D12">
      <w:pPr>
        <w:pStyle w:val="1AbcamImageLegend"/>
        <w:jc w:val="center"/>
      </w:pPr>
    </w:p>
    <w:p w14:paraId="1DF28603" w14:textId="14BA9642" w:rsidR="004D38FE" w:rsidRDefault="004D38FE" w:rsidP="00DF5D12">
      <w:pPr>
        <w:pStyle w:val="1AbcamImageLegend"/>
      </w:pPr>
    </w:p>
    <w:p w14:paraId="55230B90" w14:textId="3C7F65E2" w:rsidR="002E57AC" w:rsidRDefault="002E57AC" w:rsidP="00DF5D12">
      <w:pPr>
        <w:pStyle w:val="1AbcamImageLegend"/>
      </w:pPr>
    </w:p>
    <w:p w14:paraId="7E746F62" w14:textId="53E1EC1A" w:rsidR="002E57AC" w:rsidRDefault="002E57AC" w:rsidP="00DF5D12">
      <w:pPr>
        <w:pStyle w:val="1AbcamImageLegend"/>
      </w:pPr>
    </w:p>
    <w:p w14:paraId="1D2B71B2" w14:textId="26B581BF" w:rsidR="002E57AC" w:rsidRDefault="002E57AC" w:rsidP="00DF5D12">
      <w:pPr>
        <w:pStyle w:val="1AbcamImageLegend"/>
      </w:pPr>
    </w:p>
    <w:p w14:paraId="1C3F4C30" w14:textId="435A9212" w:rsidR="002E57AC" w:rsidRDefault="002E57AC" w:rsidP="00DF5D12">
      <w:pPr>
        <w:pStyle w:val="1AbcamImageLegend"/>
      </w:pPr>
    </w:p>
    <w:p w14:paraId="04A2A511" w14:textId="6EA33F8F" w:rsidR="002E57AC" w:rsidRDefault="002E57AC" w:rsidP="00DF5D12">
      <w:pPr>
        <w:pStyle w:val="1AbcamImageLegend"/>
      </w:pPr>
    </w:p>
    <w:p w14:paraId="07CA4E9C" w14:textId="77365B4F" w:rsidR="002E57AC" w:rsidRDefault="002E57AC" w:rsidP="00DF5D12">
      <w:pPr>
        <w:pStyle w:val="1AbcamImageLegend"/>
      </w:pPr>
    </w:p>
    <w:p w14:paraId="7B59DF14" w14:textId="41D00C5C" w:rsidR="002E57AC" w:rsidRDefault="002E57AC" w:rsidP="00DF5D12">
      <w:pPr>
        <w:pStyle w:val="1AbcamImageLegend"/>
      </w:pPr>
    </w:p>
    <w:p w14:paraId="6576F644" w14:textId="1FD28E88" w:rsidR="002E57AC" w:rsidRDefault="002E57AC" w:rsidP="00DF5D12">
      <w:pPr>
        <w:pStyle w:val="1AbcamImageLegend"/>
      </w:pPr>
    </w:p>
    <w:p w14:paraId="6BB2CC99" w14:textId="455FF794" w:rsidR="002E57AC" w:rsidRDefault="002E57AC" w:rsidP="00DF5D12">
      <w:pPr>
        <w:pStyle w:val="1AbcamImageLegend"/>
      </w:pPr>
    </w:p>
    <w:p w14:paraId="0DA9B51F" w14:textId="42961D42" w:rsidR="002E57AC" w:rsidRDefault="002E57AC" w:rsidP="00DF5D12">
      <w:pPr>
        <w:pStyle w:val="1AbcamImageLegend"/>
      </w:pPr>
    </w:p>
    <w:p w14:paraId="13ED5342" w14:textId="129FBC22" w:rsidR="002E57AC" w:rsidRDefault="002E57AC" w:rsidP="00DF5D12">
      <w:pPr>
        <w:pStyle w:val="1AbcamImageLegend"/>
      </w:pPr>
    </w:p>
    <w:p w14:paraId="15011DD3" w14:textId="66E1E757" w:rsidR="002E57AC" w:rsidRDefault="002E57AC" w:rsidP="00DF5D12">
      <w:pPr>
        <w:pStyle w:val="1AbcamImageLegend"/>
      </w:pPr>
    </w:p>
    <w:p w14:paraId="0374DD96" w14:textId="356562F7" w:rsidR="002E57AC" w:rsidRDefault="002E57AC" w:rsidP="00DF5D12">
      <w:pPr>
        <w:pStyle w:val="1AbcamImageLegend"/>
      </w:pPr>
    </w:p>
    <w:p w14:paraId="0D925C4D" w14:textId="42EB9CC9" w:rsidR="002E57AC" w:rsidRDefault="002E57AC" w:rsidP="00DF5D12">
      <w:pPr>
        <w:pStyle w:val="1AbcamImageLegend"/>
      </w:pPr>
    </w:p>
    <w:p w14:paraId="63EAA84E" w14:textId="77777777" w:rsidR="002E57AC" w:rsidRDefault="002E57AC" w:rsidP="00DF5D12">
      <w:pPr>
        <w:pStyle w:val="1AbcamImageLegend"/>
      </w:pPr>
    </w:p>
    <w:p w14:paraId="6663B736" w14:textId="634FD0D4" w:rsidR="00CC5AD3" w:rsidRDefault="00CC5AD3" w:rsidP="00E22C68">
      <w:pPr>
        <w:pStyle w:val="1AbcamStandardtext"/>
        <w:rPr>
          <w:sz w:val="18"/>
          <w:szCs w:val="18"/>
        </w:rPr>
      </w:pPr>
      <w:r w:rsidRPr="00CC5AD3">
        <w:rPr>
          <w:b/>
          <w:sz w:val="18"/>
          <w:szCs w:val="18"/>
        </w:rPr>
        <w:t xml:space="preserve">Figure </w:t>
      </w:r>
      <w:r>
        <w:rPr>
          <w:b/>
          <w:sz w:val="18"/>
          <w:szCs w:val="18"/>
        </w:rPr>
        <w:t>3</w:t>
      </w:r>
      <w:r w:rsidRPr="00CC5AD3">
        <w:rPr>
          <w:sz w:val="18"/>
          <w:szCs w:val="18"/>
        </w:rPr>
        <w:t>.</w:t>
      </w:r>
      <w:r w:rsidR="003F27FC" w:rsidRPr="003F27FC">
        <w:rPr>
          <w:sz w:val="18"/>
          <w:szCs w:val="18"/>
        </w:rPr>
        <w:t xml:space="preserve"> Quantification of APN activity in tissue/cell</w:t>
      </w:r>
      <w:r w:rsidR="003F27FC">
        <w:rPr>
          <w:sz w:val="18"/>
          <w:szCs w:val="18"/>
        </w:rPr>
        <w:t xml:space="preserve"> </w:t>
      </w:r>
      <w:r w:rsidR="003F27FC" w:rsidRPr="003F27FC">
        <w:rPr>
          <w:sz w:val="18"/>
          <w:szCs w:val="18"/>
        </w:rPr>
        <w:t>lysates and human serum samples (mean ± SEM at least 3 replicates). Assays were performed according to the kit protocol.</w:t>
      </w:r>
    </w:p>
    <w:p w14:paraId="1725215D" w14:textId="067DB518" w:rsidR="004D38FE" w:rsidRDefault="004D38FE" w:rsidP="00CC5AD3">
      <w:pPr>
        <w:pStyle w:val="1AbcamStandardtext"/>
        <w:rPr>
          <w:sz w:val="18"/>
          <w:szCs w:val="18"/>
        </w:rPr>
      </w:pPr>
    </w:p>
    <w:p w14:paraId="1F991810" w14:textId="4F3CD615" w:rsidR="004D38FE" w:rsidRDefault="004D38FE" w:rsidP="00CC5AD3">
      <w:pPr>
        <w:pStyle w:val="1AbcamStandardtext"/>
        <w:rPr>
          <w:sz w:val="18"/>
          <w:szCs w:val="18"/>
        </w:rPr>
      </w:pPr>
    </w:p>
    <w:p w14:paraId="6BEDCD47" w14:textId="1CE8FAFB" w:rsidR="004D38FE" w:rsidRDefault="004D38FE" w:rsidP="00CC5AD3">
      <w:pPr>
        <w:pStyle w:val="1AbcamStandardtext"/>
        <w:rPr>
          <w:sz w:val="18"/>
          <w:szCs w:val="18"/>
        </w:rPr>
      </w:pPr>
    </w:p>
    <w:p w14:paraId="30F12F19" w14:textId="2FA8A999" w:rsidR="004D38FE" w:rsidRDefault="004D38FE" w:rsidP="00CC5AD3">
      <w:pPr>
        <w:pStyle w:val="1AbcamStandardtext"/>
        <w:rPr>
          <w:sz w:val="18"/>
          <w:szCs w:val="18"/>
        </w:rPr>
      </w:pPr>
    </w:p>
    <w:p w14:paraId="747F326A" w14:textId="77777777" w:rsidR="004D38FE" w:rsidRDefault="004D38FE" w:rsidP="00CC5AD3">
      <w:pPr>
        <w:pStyle w:val="1AbcamStandardtext"/>
        <w:rPr>
          <w:sz w:val="18"/>
          <w:szCs w:val="18"/>
        </w:rPr>
      </w:pPr>
    </w:p>
    <w:p w14:paraId="2BE6F8C9" w14:textId="56E30C36" w:rsidR="004D38FE" w:rsidRDefault="004D38FE" w:rsidP="00CC5AD3">
      <w:pPr>
        <w:pStyle w:val="1AbcamStandardtext"/>
        <w:rPr>
          <w:sz w:val="18"/>
          <w:szCs w:val="18"/>
        </w:rPr>
      </w:pPr>
    </w:p>
    <w:p w14:paraId="0716E115" w14:textId="7899BE6C" w:rsidR="00AE109E" w:rsidRDefault="00E351A1" w:rsidP="00AE109E">
      <w:pPr>
        <w:pStyle w:val="1AbcamStandardtext"/>
        <w:rPr>
          <w:noProof/>
        </w:rPr>
      </w:pPr>
      <w:r w:rsidRPr="002A066A">
        <w:rPr>
          <w:lang w:val="en-AU"/>
        </w:rPr>
        <w:br w:type="page"/>
      </w:r>
    </w:p>
    <w:p w14:paraId="751C7637" w14:textId="2073386D" w:rsidR="00AE109E" w:rsidRDefault="00AE109E" w:rsidP="001E2DD7">
      <w:pPr>
        <w:pStyle w:val="1Abcamheading"/>
      </w:pPr>
      <w:bookmarkStart w:id="33" w:name="_Toc39750374"/>
      <w:r>
        <w:lastRenderedPageBreak/>
        <w:t>FAQ / Troubleshooting</w:t>
      </w:r>
      <w:bookmarkEnd w:id="33"/>
    </w:p>
    <w:p w14:paraId="7F48753A" w14:textId="59A7B092" w:rsidR="00AE109E" w:rsidRDefault="00AE109E" w:rsidP="00AE109E">
      <w:r w:rsidRPr="00FD26F5">
        <w:t xml:space="preserve">General troubleshooting points are found at </w:t>
      </w:r>
      <w:hyperlink r:id="rId19" w:history="1">
        <w:r w:rsidRPr="00FD26F5">
          <w:rPr>
            <w:rStyle w:val="Hyperlink"/>
          </w:rPr>
          <w:t>www.abcam.com/assaykitguidelines</w:t>
        </w:r>
      </w:hyperlink>
      <w:r>
        <w:t xml:space="preserve">.   </w:t>
      </w:r>
    </w:p>
    <w:p w14:paraId="112DB17A" w14:textId="20FE4E6B" w:rsidR="00AE109E" w:rsidRDefault="00AE109E" w:rsidP="00AE109E"/>
    <w:p w14:paraId="57132215" w14:textId="140F56D9" w:rsidR="00AE109E" w:rsidRDefault="00AE109E" w:rsidP="00AE109E"/>
    <w:p w14:paraId="2B8386CB" w14:textId="6FD6E9EB" w:rsidR="00AE109E" w:rsidRDefault="00AE109E" w:rsidP="00AE109E"/>
    <w:p w14:paraId="22D8C3D9" w14:textId="70DE2FD3" w:rsidR="00AE109E" w:rsidRDefault="00AE109E" w:rsidP="00AE109E"/>
    <w:p w14:paraId="16DDA33F" w14:textId="4FCC6973" w:rsidR="00AE109E" w:rsidRDefault="00AE109E" w:rsidP="00AE109E"/>
    <w:p w14:paraId="6FF63824" w14:textId="53D4B556" w:rsidR="00AE109E" w:rsidRDefault="00AE109E" w:rsidP="00AE109E"/>
    <w:p w14:paraId="223D929D" w14:textId="2364E3AD" w:rsidR="007C78AA" w:rsidRDefault="007C78AA" w:rsidP="00AE109E"/>
    <w:p w14:paraId="707F1F57" w14:textId="77777777" w:rsidR="007C78AA" w:rsidRDefault="007C78AA">
      <w:pPr>
        <w:spacing w:before="0" w:after="0"/>
      </w:pPr>
      <w:r>
        <w:br w:type="page"/>
      </w:r>
    </w:p>
    <w:p w14:paraId="5B56937C" w14:textId="5132EDCA" w:rsidR="007C78AA" w:rsidRDefault="007C78AA" w:rsidP="00AE109E"/>
    <w:p w14:paraId="29D92CD6" w14:textId="77777777" w:rsidR="007C78AA" w:rsidRDefault="007C78AA">
      <w:pPr>
        <w:spacing w:before="0" w:after="0"/>
      </w:pPr>
      <w:r>
        <w:br w:type="page"/>
      </w:r>
    </w:p>
    <w:p w14:paraId="1B31666C" w14:textId="69033DE4" w:rsidR="007C78AA" w:rsidRDefault="007C78AA" w:rsidP="00AE109E"/>
    <w:p w14:paraId="3C6A4425" w14:textId="77777777" w:rsidR="007C78AA" w:rsidRDefault="007C78AA">
      <w:pPr>
        <w:spacing w:before="0" w:after="0"/>
      </w:pPr>
      <w:r>
        <w:br w:type="page"/>
      </w:r>
    </w:p>
    <w:p w14:paraId="259BE740" w14:textId="7D4CB4C4" w:rsidR="007C78AA" w:rsidRDefault="007C78AA" w:rsidP="00AE109E"/>
    <w:p w14:paraId="02BFC702" w14:textId="77777777" w:rsidR="007C78AA" w:rsidRDefault="007C78AA">
      <w:pPr>
        <w:spacing w:before="0" w:after="0"/>
      </w:pPr>
      <w:r>
        <w:br w:type="page"/>
      </w:r>
    </w:p>
    <w:p w14:paraId="4D02BE56" w14:textId="77777777" w:rsidR="00AE109E" w:rsidRDefault="00AE109E" w:rsidP="00AE109E"/>
    <w:p w14:paraId="203A6268" w14:textId="7ADDF191" w:rsidR="00AE109E" w:rsidRDefault="00AE109E" w:rsidP="00AE109E"/>
    <w:p w14:paraId="2F8933F3" w14:textId="3D9AB6E3" w:rsidR="00AE109E" w:rsidRDefault="00AE109E" w:rsidP="00AE109E"/>
    <w:p w14:paraId="7366F27C" w14:textId="4F717EF3" w:rsidR="00AE109E" w:rsidRDefault="00AE109E" w:rsidP="00AE109E"/>
    <w:p w14:paraId="50200C83" w14:textId="788CEE6E" w:rsidR="00AE109E" w:rsidRDefault="00AE109E" w:rsidP="00AE109E"/>
    <w:p w14:paraId="51A3E0EE" w14:textId="16F8E4C1" w:rsidR="00AE109E" w:rsidRDefault="00AE109E" w:rsidP="00AE109E"/>
    <w:p w14:paraId="656C6EDE" w14:textId="0BE621AE" w:rsidR="00AE109E" w:rsidRDefault="00AE109E" w:rsidP="00AE109E"/>
    <w:p w14:paraId="16A6BA53" w14:textId="1546B8C7" w:rsidR="00AE109E" w:rsidRDefault="00AE109E" w:rsidP="00AE109E"/>
    <w:p w14:paraId="552B6DBA" w14:textId="7E1D64B0" w:rsidR="00AE109E" w:rsidRDefault="00AE109E" w:rsidP="00AE109E"/>
    <w:p w14:paraId="48ACB843" w14:textId="2525B3CA" w:rsidR="00AE109E" w:rsidRDefault="00AE109E" w:rsidP="00AE109E"/>
    <w:p w14:paraId="326F10DE" w14:textId="69E6EF3C" w:rsidR="00AE109E" w:rsidRDefault="00AE109E" w:rsidP="00AE109E"/>
    <w:p w14:paraId="5B74C1CA" w14:textId="77777777" w:rsidR="00AE109E" w:rsidRDefault="00AE109E" w:rsidP="00AE109E"/>
    <w:p w14:paraId="3D5B0450" w14:textId="1AACE010" w:rsidR="00FE4E16" w:rsidRPr="002A066A" w:rsidRDefault="00FE4E16" w:rsidP="001E2DD7">
      <w:pPr>
        <w:pStyle w:val="1Abcamheading"/>
      </w:pPr>
      <w:bookmarkStart w:id="34" w:name="_Toc39750375"/>
      <w:r w:rsidRPr="002A066A">
        <w:t>Notes</w:t>
      </w:r>
      <w:bookmarkEnd w:id="34"/>
    </w:p>
    <w:p w14:paraId="78D9093A" w14:textId="77777777" w:rsidR="004D38FE" w:rsidRDefault="004D38FE" w:rsidP="00AE109E">
      <w:pPr>
        <w:pStyle w:val="1AbcamStandardtext"/>
        <w:rPr>
          <w:lang w:val="en-AU"/>
        </w:rPr>
      </w:pPr>
    </w:p>
    <w:p w14:paraId="7FF3D592" w14:textId="77777777" w:rsidR="004D38FE" w:rsidRDefault="004D38FE">
      <w:pPr>
        <w:spacing w:before="0" w:after="0"/>
        <w:rPr>
          <w:lang w:val="en-AU"/>
        </w:rPr>
      </w:pPr>
      <w:r>
        <w:rPr>
          <w:lang w:val="en-AU"/>
        </w:rPr>
        <w:br w:type="page"/>
      </w:r>
    </w:p>
    <w:p w14:paraId="7C329F4C" w14:textId="3943FAA8" w:rsidR="00A27093" w:rsidRDefault="00A27093" w:rsidP="00AE109E">
      <w:pPr>
        <w:pStyle w:val="1AbcamStandardtext"/>
        <w:rPr>
          <w:lang w:val="en-AU"/>
        </w:rPr>
      </w:pPr>
      <w:r>
        <w:rPr>
          <w:lang w:val="en-AU"/>
        </w:rPr>
        <w:lastRenderedPageBreak/>
        <w:br w:type="page"/>
      </w:r>
    </w:p>
    <w:p w14:paraId="540F190B" w14:textId="77777777" w:rsidR="0079206C" w:rsidRPr="002A066A" w:rsidRDefault="0079206C" w:rsidP="008A2F6E">
      <w:pPr>
        <w:pStyle w:val="1AbcamStandardtext"/>
        <w:rPr>
          <w:lang w:val="en-AU"/>
        </w:rPr>
        <w:sectPr w:rsidR="0079206C" w:rsidRPr="002A066A" w:rsidSect="00355DF6">
          <w:footerReference w:type="default" r:id="rId20"/>
          <w:footerReference w:type="first" r:id="rId21"/>
          <w:pgSz w:w="8400" w:h="11900"/>
          <w:pgMar w:top="737" w:right="737" w:bottom="737" w:left="1021" w:header="0" w:footer="0" w:gutter="0"/>
          <w:pgNumType w:start="1"/>
          <w:cols w:space="708"/>
          <w:docGrid w:linePitch="272"/>
        </w:sectPr>
      </w:pPr>
    </w:p>
    <w:p w14:paraId="6240A6AB" w14:textId="77777777"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lastRenderedPageBreak/>
        <w:t>Technical Support</w:t>
      </w:r>
    </w:p>
    <w:p w14:paraId="70D8B77A" w14:textId="77777777" w:rsidR="006A60C9" w:rsidRPr="00291DE0" w:rsidRDefault="006A60C9" w:rsidP="006A60C9">
      <w:pPr>
        <w:spacing w:before="0" w:after="0"/>
        <w:rPr>
          <w:sz w:val="18"/>
          <w:szCs w:val="18"/>
        </w:rPr>
      </w:pPr>
      <w:r>
        <w:rPr>
          <w:sz w:val="18"/>
          <w:szCs w:val="18"/>
        </w:rPr>
        <w:t>Copyright © 2020</w:t>
      </w:r>
      <w:r w:rsidRPr="00291DE0">
        <w:rPr>
          <w:sz w:val="18"/>
          <w:szCs w:val="18"/>
        </w:rPr>
        <w:t xml:space="preserve"> Abcam, All Rights Reserved.  The Abcam logo is a registered trademark. All information / detail is correct at time of going to print.</w:t>
      </w:r>
    </w:p>
    <w:p w14:paraId="4503C326" w14:textId="77777777" w:rsidR="006A60C9" w:rsidRDefault="006A60C9" w:rsidP="006A60C9">
      <w:pPr>
        <w:rPr>
          <w:b/>
        </w:rPr>
      </w:pPr>
      <w:r>
        <w:rPr>
          <w:b/>
        </w:rPr>
        <w:t>For all technical or commercial enquiries please go to:</w:t>
      </w:r>
    </w:p>
    <w:p w14:paraId="3C625E26" w14:textId="77777777" w:rsidR="006A60C9" w:rsidRPr="006B10DF" w:rsidRDefault="006A60C9" w:rsidP="006A60C9">
      <w:pPr>
        <w:rPr>
          <w:rStyle w:val="Hyperlink"/>
          <w:bCs/>
        </w:rPr>
      </w:pPr>
      <w:r>
        <w:rPr>
          <w:bCs/>
        </w:rPr>
        <w:fldChar w:fldCharType="begin"/>
      </w:r>
      <w:r>
        <w:rPr>
          <w:bCs/>
        </w:rPr>
        <w:instrText xml:space="preserve"> HYPERLINK "https://www.abcam.com/index.html?pageconfig=distributors&amp;viapagetrap=contactus" </w:instrText>
      </w:r>
      <w:r>
        <w:rPr>
          <w:bCs/>
        </w:rPr>
        <w:fldChar w:fldCharType="separate"/>
      </w:r>
      <w:r w:rsidRPr="006B10DF">
        <w:rPr>
          <w:rStyle w:val="Hyperlink"/>
          <w:bCs/>
        </w:rPr>
        <w:t>www.abcam.com/contactus</w:t>
      </w:r>
    </w:p>
    <w:p w14:paraId="24C2AD60" w14:textId="77777777" w:rsidR="006A60C9" w:rsidRDefault="006A60C9" w:rsidP="006A60C9">
      <w:pPr>
        <w:rPr>
          <w:bCs/>
        </w:rPr>
      </w:pPr>
      <w:r>
        <w:rPr>
          <w:bCs/>
        </w:rPr>
        <w:fldChar w:fldCharType="end"/>
      </w:r>
      <w:hyperlink r:id="rId22" w:history="1">
        <w:r w:rsidRPr="002952D8">
          <w:rPr>
            <w:rStyle w:val="Hyperlink"/>
            <w:bCs/>
          </w:rPr>
          <w:t>www.abcam.cn/contactus</w:t>
        </w:r>
      </w:hyperlink>
      <w:r>
        <w:rPr>
          <w:bCs/>
        </w:rPr>
        <w:t xml:space="preserve"> (China)</w:t>
      </w:r>
    </w:p>
    <w:p w14:paraId="5B81FFFC" w14:textId="77777777" w:rsidR="006A60C9" w:rsidRPr="00291DE0" w:rsidRDefault="00C034C6" w:rsidP="006A60C9">
      <w:hyperlink r:id="rId23" w:history="1">
        <w:r w:rsidR="006A60C9" w:rsidRPr="002952D8">
          <w:rPr>
            <w:rStyle w:val="Hyperlink"/>
            <w:bCs/>
          </w:rPr>
          <w:t>www.abcam.co.jp/contactus</w:t>
        </w:r>
      </w:hyperlink>
      <w:r w:rsidR="006A60C9">
        <w:rPr>
          <w:bCs/>
        </w:rPr>
        <w:t xml:space="preserve"> (Japan)</w:t>
      </w:r>
    </w:p>
    <w:p w14:paraId="3F039A8D" w14:textId="77777777" w:rsidR="00043E6C" w:rsidRPr="002A066A" w:rsidRDefault="00043E6C" w:rsidP="00665893"/>
    <w:sectPr w:rsidR="00043E6C" w:rsidRPr="002A066A" w:rsidSect="00355DF6">
      <w:footerReference w:type="default" r:id="rId24"/>
      <w:footerReference w:type="first" r:id="rId25"/>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95D8" w14:textId="77777777" w:rsidR="00CA6CF5" w:rsidRDefault="00CA6CF5" w:rsidP="00DC1372">
      <w:r>
        <w:separator/>
      </w:r>
    </w:p>
    <w:p w14:paraId="2AFE4A40" w14:textId="77777777" w:rsidR="00CA6CF5" w:rsidRDefault="00CA6CF5"/>
    <w:p w14:paraId="7873375D" w14:textId="77777777" w:rsidR="00CA6CF5" w:rsidRDefault="00CA6CF5"/>
  </w:endnote>
  <w:endnote w:type="continuationSeparator" w:id="0">
    <w:p w14:paraId="1C1CB964" w14:textId="77777777" w:rsidR="00CA6CF5" w:rsidRDefault="00CA6CF5" w:rsidP="00DC1372">
      <w:r>
        <w:continuationSeparator/>
      </w:r>
    </w:p>
    <w:p w14:paraId="1500E81B" w14:textId="77777777" w:rsidR="00CA6CF5" w:rsidRDefault="00CA6CF5"/>
    <w:p w14:paraId="5ED4FED1" w14:textId="77777777" w:rsidR="00CA6CF5" w:rsidRDefault="00CA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altName w:val="MS Mincho"/>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E516" w14:textId="77777777" w:rsidR="00CA6CF5" w:rsidRDefault="00CA6CF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CA6CF5" w:rsidRDefault="00CA6CF5" w:rsidP="00DC1372">
    <w:pPr>
      <w:pStyle w:val="Footer"/>
      <w:ind w:right="360"/>
    </w:pPr>
  </w:p>
  <w:p w14:paraId="255C2CC5" w14:textId="77777777" w:rsidR="00CA6CF5" w:rsidRDefault="00CA6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69FA" w14:textId="4E39897C" w:rsidR="00CA6CF5" w:rsidRPr="003B15FA" w:rsidRDefault="00CA6CF5" w:rsidP="003B15FA">
    <w:pPr>
      <w:pStyle w:val="Footer"/>
    </w:pPr>
    <w:r w:rsidRPr="006D4E00">
      <w:rPr>
        <w:sz w:val="16"/>
        <w:szCs w:val="16"/>
      </w:rPr>
      <w:t>C</w:t>
    </w:r>
    <w:r>
      <w:rPr>
        <w:sz w:val="16"/>
        <w:szCs w:val="16"/>
      </w:rPr>
      <w:t xml:space="preserve">opyright © </w:t>
    </w:r>
    <w:r w:rsidR="005F23BE">
      <w:rPr>
        <w:sz w:val="16"/>
        <w:szCs w:val="16"/>
      </w:rPr>
      <w:t>2020</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F62A" w14:textId="77777777" w:rsidR="00CA6CF5" w:rsidRPr="00471BB0" w:rsidRDefault="00CA6CF5"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5131" w14:textId="43CC4D0E" w:rsidR="00CA6CF5" w:rsidRPr="00277F10" w:rsidRDefault="00277F10" w:rsidP="00277F10">
    <w:pPr>
      <w:pStyle w:val="Footer"/>
      <w:rPr>
        <w:sz w:val="16"/>
        <w:szCs w:val="16"/>
      </w:rPr>
    </w:pPr>
    <w:r w:rsidRPr="00277F10">
      <w:rPr>
        <w:sz w:val="16"/>
        <w:szCs w:val="16"/>
      </w:rPr>
      <w:t>ab27329</w:t>
    </w:r>
    <w:r w:rsidR="00927B65">
      <w:rPr>
        <w:sz w:val="16"/>
        <w:szCs w:val="16"/>
      </w:rPr>
      <w:t>2-</w:t>
    </w:r>
    <w:r w:rsidR="00927B65" w:rsidRPr="00927B65">
      <w:t xml:space="preserve"> </w:t>
    </w:r>
    <w:r w:rsidR="00927B65" w:rsidRPr="00927B65">
      <w:rPr>
        <w:sz w:val="16"/>
        <w:szCs w:val="16"/>
      </w:rPr>
      <w:t>Aminopeptidase N (APN/CD13) Activity Assay Kit (Fluorometri</w:t>
    </w:r>
    <w:r w:rsidR="00927B65">
      <w:rPr>
        <w:sz w:val="16"/>
        <w:szCs w:val="16"/>
      </w:rPr>
      <w:t>c)</w:t>
    </w:r>
    <w:r w:rsidR="00927B65">
      <w:rPr>
        <w:sz w:val="16"/>
        <w:szCs w:val="16"/>
      </w:rPr>
      <w:tab/>
    </w:r>
    <w:r w:rsidR="003E1A41" w:rsidRPr="003E1A41">
      <w:rPr>
        <w:sz w:val="16"/>
        <w:szCs w:val="16"/>
      </w:rPr>
      <w:fldChar w:fldCharType="begin"/>
    </w:r>
    <w:r w:rsidR="003E1A41" w:rsidRPr="003E1A41">
      <w:rPr>
        <w:sz w:val="16"/>
        <w:szCs w:val="16"/>
      </w:rPr>
      <w:instrText xml:space="preserve"> PAGE   \* MERGEFORMAT </w:instrText>
    </w:r>
    <w:r w:rsidR="003E1A41" w:rsidRPr="003E1A41">
      <w:rPr>
        <w:sz w:val="16"/>
        <w:szCs w:val="16"/>
      </w:rPr>
      <w:fldChar w:fldCharType="separate"/>
    </w:r>
    <w:r w:rsidR="003E1A41" w:rsidRPr="003E1A41">
      <w:rPr>
        <w:noProof/>
        <w:sz w:val="16"/>
        <w:szCs w:val="16"/>
      </w:rPr>
      <w:t>1</w:t>
    </w:r>
    <w:r w:rsidR="003E1A41" w:rsidRPr="003E1A41">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7FD3" w14:textId="77777777" w:rsidR="00CA6CF5" w:rsidRPr="00471BB0" w:rsidRDefault="00CA6CF5"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4E25" w14:textId="00EBB44F" w:rsidR="00CA6CF5" w:rsidRPr="001F3104" w:rsidRDefault="00CA6CF5" w:rsidP="001F3104">
    <w:pPr>
      <w:pStyle w:val="Footer"/>
    </w:pPr>
    <w:r w:rsidRPr="006D4E00">
      <w:rPr>
        <w:sz w:val="16"/>
        <w:szCs w:val="16"/>
      </w:rPr>
      <w:t xml:space="preserve">Copyright © </w:t>
    </w:r>
    <w:r w:rsidR="005F23BE">
      <w:rPr>
        <w:sz w:val="16"/>
        <w:szCs w:val="16"/>
      </w:rPr>
      <w:t>2020</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E4E6" w14:textId="77777777" w:rsidR="00CA6CF5" w:rsidRPr="00471BB0" w:rsidRDefault="00CA6CF5"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12674" w14:textId="77777777" w:rsidR="00CA6CF5" w:rsidRDefault="00CA6CF5" w:rsidP="00DC1372">
      <w:r>
        <w:separator/>
      </w:r>
    </w:p>
    <w:p w14:paraId="65AD0B1A" w14:textId="77777777" w:rsidR="00CA6CF5" w:rsidRDefault="00CA6CF5"/>
    <w:p w14:paraId="3A8FD1EB" w14:textId="77777777" w:rsidR="00CA6CF5" w:rsidRDefault="00CA6CF5"/>
  </w:footnote>
  <w:footnote w:type="continuationSeparator" w:id="0">
    <w:p w14:paraId="31B4388C" w14:textId="77777777" w:rsidR="00CA6CF5" w:rsidRDefault="00CA6CF5" w:rsidP="00DC1372">
      <w:r>
        <w:continuationSeparator/>
      </w:r>
    </w:p>
    <w:p w14:paraId="69EA1026" w14:textId="77777777" w:rsidR="00CA6CF5" w:rsidRDefault="00CA6CF5"/>
    <w:p w14:paraId="537A71F9" w14:textId="77777777" w:rsidR="00CA6CF5" w:rsidRDefault="00CA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68E2" w14:textId="77777777" w:rsidR="00CA6CF5" w:rsidRDefault="00C034C6">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CA6CF5" w:rsidRDefault="00CA6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6BD7" w14:textId="77777777" w:rsidR="00CA6CF5" w:rsidRDefault="00CA6CF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5ACCA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F4418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AC08CE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022A9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8C672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265CA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0C13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24F83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12ECF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E80C5C"/>
    <w:multiLevelType w:val="hybridMultilevel"/>
    <w:tmpl w:val="44086100"/>
    <w:lvl w:ilvl="0" w:tplc="CE3A144E">
      <w:start w:val="1"/>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5BF22E85"/>
    <w:multiLevelType w:val="multilevel"/>
    <w:tmpl w:val="C19613E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val="0"/>
        <w:bCs w:val="0"/>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0"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11"/>
  </w:num>
  <w:num w:numId="2">
    <w:abstractNumId w:val="28"/>
  </w:num>
  <w:num w:numId="3">
    <w:abstractNumId w:val="23"/>
  </w:num>
  <w:num w:numId="4">
    <w:abstractNumId w:val="24"/>
  </w:num>
  <w:num w:numId="5">
    <w:abstractNumId w:val="12"/>
  </w:num>
  <w:num w:numId="6">
    <w:abstractNumId w:val="20"/>
  </w:num>
  <w:num w:numId="7">
    <w:abstractNumId w:val="15"/>
  </w:num>
  <w:num w:numId="8">
    <w:abstractNumId w:val="39"/>
  </w:num>
  <w:num w:numId="9">
    <w:abstractNumId w:val="41"/>
  </w:num>
  <w:num w:numId="10">
    <w:abstractNumId w:val="32"/>
  </w:num>
  <w:num w:numId="11">
    <w:abstractNumId w:val="29"/>
  </w:num>
  <w:num w:numId="12">
    <w:abstractNumId w:val="31"/>
  </w:num>
  <w:num w:numId="13">
    <w:abstractNumId w:val="18"/>
  </w:num>
  <w:num w:numId="14">
    <w:abstractNumId w:val="36"/>
  </w:num>
  <w:num w:numId="15">
    <w:abstractNumId w:val="26"/>
  </w:num>
  <w:num w:numId="16">
    <w:abstractNumId w:val="30"/>
  </w:num>
  <w:num w:numId="17">
    <w:abstractNumId w:val="27"/>
  </w:num>
  <w:num w:numId="18">
    <w:abstractNumId w:val="38"/>
  </w:num>
  <w:num w:numId="19">
    <w:abstractNumId w:val="37"/>
  </w:num>
  <w:num w:numId="20">
    <w:abstractNumId w:val="35"/>
  </w:num>
  <w:num w:numId="21">
    <w:abstractNumId w:val="22"/>
  </w:num>
  <w:num w:numId="22">
    <w:abstractNumId w:val="17"/>
  </w:num>
  <w:num w:numId="23">
    <w:abstractNumId w:val="16"/>
  </w:num>
  <w:num w:numId="24">
    <w:abstractNumId w:val="40"/>
  </w:num>
  <w:num w:numId="25">
    <w:abstractNumId w:val="14"/>
  </w:num>
  <w:num w:numId="26">
    <w:abstractNumId w:val="13"/>
  </w:num>
  <w:num w:numId="27">
    <w:abstractNumId w:val="33"/>
  </w:num>
  <w:num w:numId="28">
    <w:abstractNumId w:val="10"/>
  </w:num>
  <w:num w:numId="29">
    <w:abstractNumId w:val="21"/>
  </w:num>
  <w:num w:numId="30">
    <w:abstractNumId w:val="34"/>
  </w:num>
  <w:num w:numId="31">
    <w:abstractNumId w:val="0"/>
  </w:num>
  <w:num w:numId="32">
    <w:abstractNumId w:val="1"/>
  </w:num>
  <w:num w:numId="33">
    <w:abstractNumId w:val="2"/>
  </w:num>
  <w:num w:numId="34">
    <w:abstractNumId w:val="3"/>
  </w:num>
  <w:num w:numId="35">
    <w:abstractNumId w:val="4"/>
  </w:num>
  <w:num w:numId="36">
    <w:abstractNumId w:val="9"/>
  </w:num>
  <w:num w:numId="37">
    <w:abstractNumId w:val="5"/>
  </w:num>
  <w:num w:numId="38">
    <w:abstractNumId w:val="6"/>
  </w:num>
  <w:num w:numId="39">
    <w:abstractNumId w:val="7"/>
  </w:num>
  <w:num w:numId="40">
    <w:abstractNumId w:val="8"/>
  </w:num>
  <w:num w:numId="41">
    <w:abstractNumId w:val="25"/>
  </w:num>
  <w:num w:numId="42">
    <w:abstractNumId w:val="1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2664"/>
    <w:rsid w:val="00013984"/>
    <w:rsid w:val="00013D0A"/>
    <w:rsid w:val="00014148"/>
    <w:rsid w:val="0002151A"/>
    <w:rsid w:val="000329EE"/>
    <w:rsid w:val="00033B42"/>
    <w:rsid w:val="00043E6C"/>
    <w:rsid w:val="000519C2"/>
    <w:rsid w:val="00052D70"/>
    <w:rsid w:val="00057EE0"/>
    <w:rsid w:val="000740F7"/>
    <w:rsid w:val="00083C13"/>
    <w:rsid w:val="000B4320"/>
    <w:rsid w:val="000B7DFC"/>
    <w:rsid w:val="000C46A1"/>
    <w:rsid w:val="000D0640"/>
    <w:rsid w:val="000D1DF3"/>
    <w:rsid w:val="000D5A13"/>
    <w:rsid w:val="000E1B75"/>
    <w:rsid w:val="000E4FA8"/>
    <w:rsid w:val="000F0173"/>
    <w:rsid w:val="000F5CFA"/>
    <w:rsid w:val="000F7E4B"/>
    <w:rsid w:val="0010026D"/>
    <w:rsid w:val="001010BA"/>
    <w:rsid w:val="00116E1E"/>
    <w:rsid w:val="00116EC6"/>
    <w:rsid w:val="00117196"/>
    <w:rsid w:val="00125CE5"/>
    <w:rsid w:val="00125EF1"/>
    <w:rsid w:val="00130C15"/>
    <w:rsid w:val="001326E7"/>
    <w:rsid w:val="00134B2D"/>
    <w:rsid w:val="001352EB"/>
    <w:rsid w:val="001400E2"/>
    <w:rsid w:val="001452AC"/>
    <w:rsid w:val="00146054"/>
    <w:rsid w:val="00147FFC"/>
    <w:rsid w:val="0015268C"/>
    <w:rsid w:val="00153ED1"/>
    <w:rsid w:val="00155927"/>
    <w:rsid w:val="001560CB"/>
    <w:rsid w:val="00160CFB"/>
    <w:rsid w:val="001718A5"/>
    <w:rsid w:val="00173058"/>
    <w:rsid w:val="00174F24"/>
    <w:rsid w:val="00174FD5"/>
    <w:rsid w:val="00176175"/>
    <w:rsid w:val="0018707A"/>
    <w:rsid w:val="00187415"/>
    <w:rsid w:val="001879A9"/>
    <w:rsid w:val="001925A4"/>
    <w:rsid w:val="00194ED9"/>
    <w:rsid w:val="00195A62"/>
    <w:rsid w:val="001A1D24"/>
    <w:rsid w:val="001A4A94"/>
    <w:rsid w:val="001B18D7"/>
    <w:rsid w:val="001B583F"/>
    <w:rsid w:val="001C2321"/>
    <w:rsid w:val="001C2383"/>
    <w:rsid w:val="001C402E"/>
    <w:rsid w:val="001C6CF5"/>
    <w:rsid w:val="001C744A"/>
    <w:rsid w:val="001C766D"/>
    <w:rsid w:val="001C766F"/>
    <w:rsid w:val="001E2891"/>
    <w:rsid w:val="001E2DD7"/>
    <w:rsid w:val="001E6D23"/>
    <w:rsid w:val="001E7C1F"/>
    <w:rsid w:val="001E7E06"/>
    <w:rsid w:val="001F3104"/>
    <w:rsid w:val="001F32EA"/>
    <w:rsid w:val="001F46D1"/>
    <w:rsid w:val="00203D37"/>
    <w:rsid w:val="0021509B"/>
    <w:rsid w:val="00217837"/>
    <w:rsid w:val="00220404"/>
    <w:rsid w:val="00233555"/>
    <w:rsid w:val="00236029"/>
    <w:rsid w:val="00250799"/>
    <w:rsid w:val="00253944"/>
    <w:rsid w:val="00255E25"/>
    <w:rsid w:val="00256655"/>
    <w:rsid w:val="002706DA"/>
    <w:rsid w:val="00277074"/>
    <w:rsid w:val="00277F10"/>
    <w:rsid w:val="00281083"/>
    <w:rsid w:val="002A066A"/>
    <w:rsid w:val="002A319B"/>
    <w:rsid w:val="002A6C5E"/>
    <w:rsid w:val="002C763F"/>
    <w:rsid w:val="002C7D03"/>
    <w:rsid w:val="002C7F74"/>
    <w:rsid w:val="002D18B4"/>
    <w:rsid w:val="002D28E9"/>
    <w:rsid w:val="002D6E97"/>
    <w:rsid w:val="002D7211"/>
    <w:rsid w:val="002E19B0"/>
    <w:rsid w:val="002E57AC"/>
    <w:rsid w:val="002F3936"/>
    <w:rsid w:val="002F4610"/>
    <w:rsid w:val="002F7EEE"/>
    <w:rsid w:val="00302BD8"/>
    <w:rsid w:val="003058D3"/>
    <w:rsid w:val="00306880"/>
    <w:rsid w:val="00307DA5"/>
    <w:rsid w:val="003241E0"/>
    <w:rsid w:val="00326E64"/>
    <w:rsid w:val="0032714C"/>
    <w:rsid w:val="00331AEA"/>
    <w:rsid w:val="00333458"/>
    <w:rsid w:val="003357EB"/>
    <w:rsid w:val="003475EB"/>
    <w:rsid w:val="00354811"/>
    <w:rsid w:val="00355DF6"/>
    <w:rsid w:val="003722E2"/>
    <w:rsid w:val="00380497"/>
    <w:rsid w:val="003810BB"/>
    <w:rsid w:val="00383650"/>
    <w:rsid w:val="003839FE"/>
    <w:rsid w:val="00384093"/>
    <w:rsid w:val="003853B9"/>
    <w:rsid w:val="00390906"/>
    <w:rsid w:val="00391435"/>
    <w:rsid w:val="0039293E"/>
    <w:rsid w:val="00393746"/>
    <w:rsid w:val="00393A14"/>
    <w:rsid w:val="00395832"/>
    <w:rsid w:val="003958E3"/>
    <w:rsid w:val="003975F2"/>
    <w:rsid w:val="003A281F"/>
    <w:rsid w:val="003B15FA"/>
    <w:rsid w:val="003C2EAB"/>
    <w:rsid w:val="003D5219"/>
    <w:rsid w:val="003D6FE1"/>
    <w:rsid w:val="003D7F27"/>
    <w:rsid w:val="003D7FB7"/>
    <w:rsid w:val="003E1A41"/>
    <w:rsid w:val="003E2AFE"/>
    <w:rsid w:val="003E2DA2"/>
    <w:rsid w:val="003E4ABF"/>
    <w:rsid w:val="003E79E4"/>
    <w:rsid w:val="003F27FC"/>
    <w:rsid w:val="00402450"/>
    <w:rsid w:val="00402E37"/>
    <w:rsid w:val="00414435"/>
    <w:rsid w:val="0041718C"/>
    <w:rsid w:val="00421275"/>
    <w:rsid w:val="00421913"/>
    <w:rsid w:val="004229E7"/>
    <w:rsid w:val="00437062"/>
    <w:rsid w:val="00441800"/>
    <w:rsid w:val="00445BED"/>
    <w:rsid w:val="00445CCD"/>
    <w:rsid w:val="004469BC"/>
    <w:rsid w:val="0045027E"/>
    <w:rsid w:val="004524A9"/>
    <w:rsid w:val="00457B72"/>
    <w:rsid w:val="00460B92"/>
    <w:rsid w:val="00470DDA"/>
    <w:rsid w:val="00471BB0"/>
    <w:rsid w:val="004852AC"/>
    <w:rsid w:val="00491177"/>
    <w:rsid w:val="00491AA0"/>
    <w:rsid w:val="00494F74"/>
    <w:rsid w:val="004A73BA"/>
    <w:rsid w:val="004B318D"/>
    <w:rsid w:val="004B718F"/>
    <w:rsid w:val="004B759D"/>
    <w:rsid w:val="004C0BC2"/>
    <w:rsid w:val="004C1B27"/>
    <w:rsid w:val="004C33BE"/>
    <w:rsid w:val="004C5D0E"/>
    <w:rsid w:val="004D2CA7"/>
    <w:rsid w:val="004D38FE"/>
    <w:rsid w:val="004E44F4"/>
    <w:rsid w:val="004F0FDC"/>
    <w:rsid w:val="004F2E85"/>
    <w:rsid w:val="005001A9"/>
    <w:rsid w:val="0050130D"/>
    <w:rsid w:val="00504A2A"/>
    <w:rsid w:val="00504A8E"/>
    <w:rsid w:val="00511A95"/>
    <w:rsid w:val="005122FE"/>
    <w:rsid w:val="00515939"/>
    <w:rsid w:val="00527F9D"/>
    <w:rsid w:val="00531773"/>
    <w:rsid w:val="005340FE"/>
    <w:rsid w:val="00536EBA"/>
    <w:rsid w:val="00550EC4"/>
    <w:rsid w:val="005523D6"/>
    <w:rsid w:val="00556A00"/>
    <w:rsid w:val="005610D3"/>
    <w:rsid w:val="00563AB5"/>
    <w:rsid w:val="005725C4"/>
    <w:rsid w:val="0058119D"/>
    <w:rsid w:val="00590553"/>
    <w:rsid w:val="005A3E22"/>
    <w:rsid w:val="005B2FE0"/>
    <w:rsid w:val="005B4251"/>
    <w:rsid w:val="005C2F8F"/>
    <w:rsid w:val="005C6CC6"/>
    <w:rsid w:val="005C7AB0"/>
    <w:rsid w:val="005D5667"/>
    <w:rsid w:val="005D6821"/>
    <w:rsid w:val="005E07C9"/>
    <w:rsid w:val="005F23BE"/>
    <w:rsid w:val="005F4732"/>
    <w:rsid w:val="005F496D"/>
    <w:rsid w:val="00604510"/>
    <w:rsid w:val="0060684A"/>
    <w:rsid w:val="006119B8"/>
    <w:rsid w:val="00630D01"/>
    <w:rsid w:val="00631A66"/>
    <w:rsid w:val="006346B2"/>
    <w:rsid w:val="00644BFA"/>
    <w:rsid w:val="00645C98"/>
    <w:rsid w:val="0064794E"/>
    <w:rsid w:val="00651AD0"/>
    <w:rsid w:val="00652D52"/>
    <w:rsid w:val="0065357C"/>
    <w:rsid w:val="00655887"/>
    <w:rsid w:val="00655F62"/>
    <w:rsid w:val="00660999"/>
    <w:rsid w:val="00661167"/>
    <w:rsid w:val="006640A7"/>
    <w:rsid w:val="00664FA8"/>
    <w:rsid w:val="00665893"/>
    <w:rsid w:val="00665E7E"/>
    <w:rsid w:val="0066711E"/>
    <w:rsid w:val="00667C05"/>
    <w:rsid w:val="00667F20"/>
    <w:rsid w:val="006804B1"/>
    <w:rsid w:val="0068107B"/>
    <w:rsid w:val="006839F7"/>
    <w:rsid w:val="006843D5"/>
    <w:rsid w:val="00694B46"/>
    <w:rsid w:val="00694CBE"/>
    <w:rsid w:val="006A60C9"/>
    <w:rsid w:val="006A6538"/>
    <w:rsid w:val="006A6767"/>
    <w:rsid w:val="006B3149"/>
    <w:rsid w:val="006C01F8"/>
    <w:rsid w:val="006C1D16"/>
    <w:rsid w:val="006C48B4"/>
    <w:rsid w:val="006C537D"/>
    <w:rsid w:val="006C6B31"/>
    <w:rsid w:val="006D322D"/>
    <w:rsid w:val="006D4E00"/>
    <w:rsid w:val="006E249D"/>
    <w:rsid w:val="006E40FB"/>
    <w:rsid w:val="006E7984"/>
    <w:rsid w:val="006F0DCA"/>
    <w:rsid w:val="006F262F"/>
    <w:rsid w:val="00702315"/>
    <w:rsid w:val="007048A9"/>
    <w:rsid w:val="00705487"/>
    <w:rsid w:val="0072389F"/>
    <w:rsid w:val="0073217A"/>
    <w:rsid w:val="00736A05"/>
    <w:rsid w:val="00742E14"/>
    <w:rsid w:val="00746382"/>
    <w:rsid w:val="00747D21"/>
    <w:rsid w:val="007539DD"/>
    <w:rsid w:val="0075410E"/>
    <w:rsid w:val="0075737D"/>
    <w:rsid w:val="007619E2"/>
    <w:rsid w:val="0079206C"/>
    <w:rsid w:val="00795893"/>
    <w:rsid w:val="007A42EC"/>
    <w:rsid w:val="007A60F2"/>
    <w:rsid w:val="007A72EF"/>
    <w:rsid w:val="007B1E09"/>
    <w:rsid w:val="007B44A5"/>
    <w:rsid w:val="007B458C"/>
    <w:rsid w:val="007B5BCD"/>
    <w:rsid w:val="007B7977"/>
    <w:rsid w:val="007C2071"/>
    <w:rsid w:val="007C78AA"/>
    <w:rsid w:val="007D4EC1"/>
    <w:rsid w:val="007E2F9E"/>
    <w:rsid w:val="007F072E"/>
    <w:rsid w:val="007F369D"/>
    <w:rsid w:val="007F5EBC"/>
    <w:rsid w:val="00800999"/>
    <w:rsid w:val="00801148"/>
    <w:rsid w:val="008014C4"/>
    <w:rsid w:val="00810269"/>
    <w:rsid w:val="00814177"/>
    <w:rsid w:val="00816B79"/>
    <w:rsid w:val="00824A33"/>
    <w:rsid w:val="008263A8"/>
    <w:rsid w:val="00833EC4"/>
    <w:rsid w:val="00855612"/>
    <w:rsid w:val="00862BA5"/>
    <w:rsid w:val="00863684"/>
    <w:rsid w:val="0086652C"/>
    <w:rsid w:val="00867F44"/>
    <w:rsid w:val="00873D8C"/>
    <w:rsid w:val="0088153B"/>
    <w:rsid w:val="00881963"/>
    <w:rsid w:val="008939FA"/>
    <w:rsid w:val="008950E4"/>
    <w:rsid w:val="008A2CBA"/>
    <w:rsid w:val="008A2F6E"/>
    <w:rsid w:val="008B2920"/>
    <w:rsid w:val="008B4786"/>
    <w:rsid w:val="008C4AB8"/>
    <w:rsid w:val="008C5D5E"/>
    <w:rsid w:val="008D0271"/>
    <w:rsid w:val="008D155B"/>
    <w:rsid w:val="008D3BB0"/>
    <w:rsid w:val="008E0675"/>
    <w:rsid w:val="008E0945"/>
    <w:rsid w:val="00901E8F"/>
    <w:rsid w:val="00910D04"/>
    <w:rsid w:val="00920CA4"/>
    <w:rsid w:val="00927B65"/>
    <w:rsid w:val="00934510"/>
    <w:rsid w:val="00946FA4"/>
    <w:rsid w:val="00955777"/>
    <w:rsid w:val="00955DA0"/>
    <w:rsid w:val="00956617"/>
    <w:rsid w:val="009567DC"/>
    <w:rsid w:val="009616E2"/>
    <w:rsid w:val="00963C52"/>
    <w:rsid w:val="009659BF"/>
    <w:rsid w:val="00966AC8"/>
    <w:rsid w:val="0096742B"/>
    <w:rsid w:val="00967CE2"/>
    <w:rsid w:val="00971D31"/>
    <w:rsid w:val="00972650"/>
    <w:rsid w:val="009750E9"/>
    <w:rsid w:val="00993C34"/>
    <w:rsid w:val="00996FF8"/>
    <w:rsid w:val="009B074D"/>
    <w:rsid w:val="009B7E11"/>
    <w:rsid w:val="009D1EB7"/>
    <w:rsid w:val="009D6EF0"/>
    <w:rsid w:val="009E32CE"/>
    <w:rsid w:val="009F2100"/>
    <w:rsid w:val="009F327B"/>
    <w:rsid w:val="00A123F1"/>
    <w:rsid w:val="00A217EC"/>
    <w:rsid w:val="00A27093"/>
    <w:rsid w:val="00A31759"/>
    <w:rsid w:val="00A33F34"/>
    <w:rsid w:val="00A40EA9"/>
    <w:rsid w:val="00A4487B"/>
    <w:rsid w:val="00A47686"/>
    <w:rsid w:val="00A56A36"/>
    <w:rsid w:val="00A61EE0"/>
    <w:rsid w:val="00A6244F"/>
    <w:rsid w:val="00A6436F"/>
    <w:rsid w:val="00A705D7"/>
    <w:rsid w:val="00A7258B"/>
    <w:rsid w:val="00A72B65"/>
    <w:rsid w:val="00A810BE"/>
    <w:rsid w:val="00A814DB"/>
    <w:rsid w:val="00A81E25"/>
    <w:rsid w:val="00A835F2"/>
    <w:rsid w:val="00A93842"/>
    <w:rsid w:val="00AA2058"/>
    <w:rsid w:val="00AA205A"/>
    <w:rsid w:val="00AC0469"/>
    <w:rsid w:val="00AC34C1"/>
    <w:rsid w:val="00AD4701"/>
    <w:rsid w:val="00AE109E"/>
    <w:rsid w:val="00AE3B29"/>
    <w:rsid w:val="00B01424"/>
    <w:rsid w:val="00B02359"/>
    <w:rsid w:val="00B059BD"/>
    <w:rsid w:val="00B1356E"/>
    <w:rsid w:val="00B26CC9"/>
    <w:rsid w:val="00B42212"/>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31D3"/>
    <w:rsid w:val="00BA4945"/>
    <w:rsid w:val="00BA4F42"/>
    <w:rsid w:val="00BA75F8"/>
    <w:rsid w:val="00BB488D"/>
    <w:rsid w:val="00BB6097"/>
    <w:rsid w:val="00BD36DA"/>
    <w:rsid w:val="00BD684F"/>
    <w:rsid w:val="00BE3EC7"/>
    <w:rsid w:val="00BE6722"/>
    <w:rsid w:val="00BE69B7"/>
    <w:rsid w:val="00BF5975"/>
    <w:rsid w:val="00BF65CB"/>
    <w:rsid w:val="00BF718E"/>
    <w:rsid w:val="00C01E6B"/>
    <w:rsid w:val="00C034C6"/>
    <w:rsid w:val="00C12998"/>
    <w:rsid w:val="00C12EBE"/>
    <w:rsid w:val="00C14EED"/>
    <w:rsid w:val="00C16F3A"/>
    <w:rsid w:val="00C24D09"/>
    <w:rsid w:val="00C30AA0"/>
    <w:rsid w:val="00C30E77"/>
    <w:rsid w:val="00C41E9D"/>
    <w:rsid w:val="00C62127"/>
    <w:rsid w:val="00C665B3"/>
    <w:rsid w:val="00C708D5"/>
    <w:rsid w:val="00C76D97"/>
    <w:rsid w:val="00C867B5"/>
    <w:rsid w:val="00C95654"/>
    <w:rsid w:val="00CA3585"/>
    <w:rsid w:val="00CA633F"/>
    <w:rsid w:val="00CA6CF5"/>
    <w:rsid w:val="00CB1498"/>
    <w:rsid w:val="00CC5AD3"/>
    <w:rsid w:val="00CD4AB4"/>
    <w:rsid w:val="00CE2C7B"/>
    <w:rsid w:val="00CE727A"/>
    <w:rsid w:val="00CF6941"/>
    <w:rsid w:val="00D005B5"/>
    <w:rsid w:val="00D01CED"/>
    <w:rsid w:val="00D026D7"/>
    <w:rsid w:val="00D04DFF"/>
    <w:rsid w:val="00D16F18"/>
    <w:rsid w:val="00D16F34"/>
    <w:rsid w:val="00D332B4"/>
    <w:rsid w:val="00D35624"/>
    <w:rsid w:val="00D36450"/>
    <w:rsid w:val="00D41E53"/>
    <w:rsid w:val="00D50132"/>
    <w:rsid w:val="00D5146B"/>
    <w:rsid w:val="00D530F3"/>
    <w:rsid w:val="00D60BD8"/>
    <w:rsid w:val="00D6414F"/>
    <w:rsid w:val="00D7356E"/>
    <w:rsid w:val="00D73BC9"/>
    <w:rsid w:val="00D82DED"/>
    <w:rsid w:val="00D8351A"/>
    <w:rsid w:val="00D8522D"/>
    <w:rsid w:val="00D8651B"/>
    <w:rsid w:val="00DA1B35"/>
    <w:rsid w:val="00DA65EE"/>
    <w:rsid w:val="00DB13C6"/>
    <w:rsid w:val="00DB2852"/>
    <w:rsid w:val="00DB39E6"/>
    <w:rsid w:val="00DB6893"/>
    <w:rsid w:val="00DC1372"/>
    <w:rsid w:val="00DD1CE5"/>
    <w:rsid w:val="00DF2BC9"/>
    <w:rsid w:val="00DF5155"/>
    <w:rsid w:val="00DF5D12"/>
    <w:rsid w:val="00E00AFA"/>
    <w:rsid w:val="00E212C7"/>
    <w:rsid w:val="00E22C68"/>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EF569C"/>
    <w:rsid w:val="00F013DF"/>
    <w:rsid w:val="00F107B1"/>
    <w:rsid w:val="00F132CD"/>
    <w:rsid w:val="00F1539E"/>
    <w:rsid w:val="00F15481"/>
    <w:rsid w:val="00F219CA"/>
    <w:rsid w:val="00F226E4"/>
    <w:rsid w:val="00F23F25"/>
    <w:rsid w:val="00F264CC"/>
    <w:rsid w:val="00F56C3D"/>
    <w:rsid w:val="00F6044E"/>
    <w:rsid w:val="00F72991"/>
    <w:rsid w:val="00F77D09"/>
    <w:rsid w:val="00F77FD9"/>
    <w:rsid w:val="00F84210"/>
    <w:rsid w:val="00F963B9"/>
    <w:rsid w:val="00FC3AC9"/>
    <w:rsid w:val="00FD0ED8"/>
    <w:rsid w:val="00FD382B"/>
    <w:rsid w:val="00FD4967"/>
    <w:rsid w:val="00FE290E"/>
    <w:rsid w:val="00FE3AC7"/>
    <w:rsid w:val="00FE4E16"/>
    <w:rsid w:val="00FF16D6"/>
    <w:rsid w:val="00FF187B"/>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styleId="UnresolvedMention">
    <w:name w:val="Unresolved Mention"/>
    <w:basedOn w:val="DefaultParagraphFont"/>
    <w:uiPriority w:val="99"/>
    <w:semiHidden/>
    <w:unhideWhenUsed/>
    <w:rsid w:val="00B0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73297"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bcam.co.jp/contactus" TargetMode="External"/><Relationship Id="rId10" Type="http://schemas.openxmlformats.org/officeDocument/2006/relationships/hyperlink" Target="https://www.abcam.co.jp/ab273297" TargetMode="External"/><Relationship Id="rId19" Type="http://schemas.openxmlformats.org/officeDocument/2006/relationships/hyperlink" Target="http://www.abcam.com/assaykitguidelines" TargetMode="External"/><Relationship Id="rId4" Type="http://schemas.openxmlformats.org/officeDocument/2006/relationships/settings" Target="settings.xml"/><Relationship Id="rId9" Type="http://schemas.openxmlformats.org/officeDocument/2006/relationships/hyperlink" Target="https://www.abcam.cn/ab273297" TargetMode="External"/><Relationship Id="rId14" Type="http://schemas.openxmlformats.org/officeDocument/2006/relationships/footer" Target="footer2.xml"/><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9360F-BC85-45C5-92D1-FAFE0702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Neil Broadway</cp:lastModifiedBy>
  <cp:revision>21</cp:revision>
  <cp:lastPrinted>2016-03-17T15:36:00Z</cp:lastPrinted>
  <dcterms:created xsi:type="dcterms:W3CDTF">2020-05-21T08:40:00Z</dcterms:created>
  <dcterms:modified xsi:type="dcterms:W3CDTF">2020-06-01T15:52:00Z</dcterms:modified>
</cp:coreProperties>
</file>