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0C87" w14:textId="6783725A" w:rsidR="00512E7A" w:rsidRDefault="00FC2765" w:rsidP="00704F23">
      <w:pPr>
        <w:pStyle w:val="Kitname"/>
        <w:spacing w:line="240" w:lineRule="auto"/>
      </w:pPr>
      <w:r w:rsidRPr="00FC2765">
        <w:t>ab28</w:t>
      </w:r>
      <w:r w:rsidR="00D33C66">
        <w:t>4515</w:t>
      </w:r>
      <w:r>
        <w:t xml:space="preserve"> </w:t>
      </w:r>
      <w:r w:rsidR="00E944E2" w:rsidRPr="008E0192">
        <w:t>–</w:t>
      </w:r>
      <w:r w:rsidR="000C392E" w:rsidRPr="000C392E">
        <w:t xml:space="preserve"> </w:t>
      </w:r>
      <w:r w:rsidR="00D33C66" w:rsidRPr="00D33C66">
        <w:t>Protein Disulfide Isomerases (</w:t>
      </w:r>
      <w:bookmarkStart w:id="0" w:name="_Hlk79074230"/>
      <w:r w:rsidR="00D33C66" w:rsidRPr="00D33C66">
        <w:t>PDI</w:t>
      </w:r>
      <w:bookmarkEnd w:id="0"/>
      <w:r w:rsidR="00D33C66" w:rsidRPr="00D33C66">
        <w:t>) Inhibitor Screening Kit (Fluorometric)</w:t>
      </w:r>
    </w:p>
    <w:p w14:paraId="0F7DB8DF" w14:textId="49C0F885" w:rsidR="00512E7A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552285">
        <w:rPr>
          <w:rStyle w:val="normaltextrun"/>
          <w:rFonts w:cs="Segoe UI"/>
          <w:b w:val="0"/>
          <w:bCs/>
          <w:sz w:val="16"/>
          <w:szCs w:val="16"/>
        </w:rPr>
        <w:t>screening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 of </w:t>
      </w:r>
      <w:r w:rsidR="00552285">
        <w:rPr>
          <w:rStyle w:val="normaltextrun"/>
          <w:rFonts w:cs="Segoe UI"/>
          <w:b w:val="0"/>
          <w:bCs/>
          <w:sz w:val="16"/>
          <w:szCs w:val="16"/>
        </w:rPr>
        <w:t xml:space="preserve">potential </w:t>
      </w:r>
      <w:r w:rsidR="00D33C66" w:rsidRPr="00D33C66">
        <w:rPr>
          <w:rStyle w:val="normaltextrun"/>
          <w:rFonts w:cs="Segoe UI"/>
          <w:b w:val="0"/>
          <w:bCs/>
          <w:sz w:val="16"/>
          <w:szCs w:val="16"/>
        </w:rPr>
        <w:t>PDI</w:t>
      </w:r>
      <w:r w:rsidR="00F2493A" w:rsidRPr="00F2493A">
        <w:rPr>
          <w:rStyle w:val="normaltextrun"/>
          <w:rFonts w:cs="Segoe UI"/>
          <w:b w:val="0"/>
          <w:bCs/>
          <w:sz w:val="16"/>
          <w:szCs w:val="16"/>
        </w:rPr>
        <w:t xml:space="preserve"> </w:t>
      </w:r>
      <w:r w:rsidR="00552285">
        <w:rPr>
          <w:rStyle w:val="normaltextrun"/>
          <w:rFonts w:cs="Segoe UI"/>
          <w:b w:val="0"/>
          <w:bCs/>
          <w:sz w:val="16"/>
          <w:szCs w:val="16"/>
        </w:rPr>
        <w:t>inhibitors</w:t>
      </w:r>
      <w:r w:rsidR="0098363E">
        <w:rPr>
          <w:rStyle w:val="normaltextrun"/>
          <w:rFonts w:cs="Segoe UI"/>
          <w:b w:val="0"/>
          <w:bCs/>
          <w:sz w:val="16"/>
          <w:szCs w:val="16"/>
        </w:rPr>
        <w:t>.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27FCB986" w:rsidR="00BF452A" w:rsidRPr="00F539E5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F539E5" w:rsidRPr="00FC2762">
          <w:rPr>
            <w:rStyle w:val="Hyperlink"/>
            <w:b w:val="0"/>
            <w:bCs/>
            <w:sz w:val="16"/>
            <w:szCs w:val="18"/>
          </w:rPr>
          <w:t>http://www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.abcam.com/</w:t>
      </w:r>
      <w:hyperlink r:id="rId8" w:history="1">
        <w:r w:rsidR="00D33C66">
          <w:rPr>
            <w:rStyle w:val="Hyperlink"/>
            <w:b w:val="0"/>
            <w:bCs/>
            <w:sz w:val="16"/>
            <w:szCs w:val="18"/>
          </w:rPr>
          <w:t>ab284515</w:t>
        </w:r>
      </w:hyperlink>
    </w:p>
    <w:p w14:paraId="3013C6F1" w14:textId="270F9085" w:rsidR="00512E7A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FAC4BDB" w14:textId="303CEEEF" w:rsidR="00E944E2" w:rsidRPr="00552285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Storage and Stability</w:t>
      </w:r>
    </w:p>
    <w:p w14:paraId="700CA3BC" w14:textId="77777777" w:rsidR="00D33C66" w:rsidRDefault="00D33C66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D33C66">
        <w:rPr>
          <w:rFonts w:ascii="Century Gothic" w:hAnsi="Century Gothic"/>
          <w:sz w:val="16"/>
          <w:szCs w:val="18"/>
        </w:rPr>
        <w:t xml:space="preserve">On receipt entire assay kit should be stored at -20°C, protected from light. Kit has a storage time of 1 year from receipt, providing components have not been reconstituted. </w:t>
      </w:r>
    </w:p>
    <w:p w14:paraId="00F9D603" w14:textId="77777777" w:rsidR="00D33C66" w:rsidRDefault="00D33C66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</w:p>
    <w:p w14:paraId="2F0D7411" w14:textId="2FF2642D" w:rsidR="00E944E2" w:rsidRPr="0055228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M</w:t>
      </w:r>
      <w:r w:rsidR="00E944E2" w:rsidRPr="00552285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1"/>
        <w:gridCol w:w="1134"/>
        <w:gridCol w:w="2127"/>
      </w:tblGrid>
      <w:tr w:rsidR="00E944E2" w:rsidRPr="008E0192" w14:paraId="263FE8FB" w14:textId="77777777" w:rsidTr="00D33C66">
        <w:trPr>
          <w:trHeight w:val="140"/>
          <w:jc w:val="center"/>
        </w:trPr>
        <w:tc>
          <w:tcPr>
            <w:tcW w:w="3221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134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127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8E0192" w14:paraId="270C9815" w14:textId="77777777" w:rsidTr="00D33C66">
        <w:trPr>
          <w:jc w:val="center"/>
        </w:trPr>
        <w:tc>
          <w:tcPr>
            <w:tcW w:w="3221" w:type="dxa"/>
          </w:tcPr>
          <w:p w14:paraId="7CD9ADC9" w14:textId="2AA26B9D" w:rsidR="00E944E2" w:rsidRPr="008E0192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PDI Assay Buffer</w:t>
            </w:r>
          </w:p>
        </w:tc>
        <w:tc>
          <w:tcPr>
            <w:tcW w:w="1134" w:type="dxa"/>
          </w:tcPr>
          <w:p w14:paraId="45ECF899" w14:textId="7BAAE077" w:rsidR="00E944E2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25</w:t>
            </w:r>
            <w:r w:rsidR="005E26D2" w:rsidRPr="008E0192">
              <w:rPr>
                <w:rFonts w:ascii="Century Gothic" w:hAnsi="Century Gothic"/>
                <w:sz w:val="16"/>
              </w:rPr>
              <w:t xml:space="preserve"> mL</w:t>
            </w:r>
          </w:p>
        </w:tc>
        <w:tc>
          <w:tcPr>
            <w:tcW w:w="2127" w:type="dxa"/>
          </w:tcPr>
          <w:p w14:paraId="2F09D3BC" w14:textId="387436A5" w:rsidR="00E944E2" w:rsidRPr="008E0192" w:rsidRDefault="005E26D2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D33C66"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98363E" w:rsidRPr="008E0192" w14:paraId="52AA5695" w14:textId="77777777" w:rsidTr="00D33C66">
        <w:trPr>
          <w:jc w:val="center"/>
        </w:trPr>
        <w:tc>
          <w:tcPr>
            <w:tcW w:w="3221" w:type="dxa"/>
          </w:tcPr>
          <w:p w14:paraId="29332DBB" w14:textId="665750A3" w:rsidR="0098363E" w:rsidRPr="008E0192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PDI Substrate</w:t>
            </w:r>
          </w:p>
        </w:tc>
        <w:tc>
          <w:tcPr>
            <w:tcW w:w="1134" w:type="dxa"/>
          </w:tcPr>
          <w:p w14:paraId="2B6E1914" w14:textId="546C0971" w:rsidR="0098363E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 x vials</w:t>
            </w:r>
          </w:p>
        </w:tc>
        <w:tc>
          <w:tcPr>
            <w:tcW w:w="2127" w:type="dxa"/>
          </w:tcPr>
          <w:p w14:paraId="39C4EC4F" w14:textId="7F5A7542" w:rsidR="0098363E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5E26D2" w:rsidRPr="008E0192" w14:paraId="5F4BF23F" w14:textId="77777777" w:rsidTr="00D33C66">
        <w:trPr>
          <w:jc w:val="center"/>
        </w:trPr>
        <w:tc>
          <w:tcPr>
            <w:tcW w:w="3221" w:type="dxa"/>
          </w:tcPr>
          <w:p w14:paraId="6BC881B2" w14:textId="014E4AA3" w:rsidR="005E26D2" w:rsidRPr="008E0192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PDI Probe (in DMSO) (20X)</w:t>
            </w:r>
          </w:p>
        </w:tc>
        <w:tc>
          <w:tcPr>
            <w:tcW w:w="1134" w:type="dxa"/>
          </w:tcPr>
          <w:p w14:paraId="06247544" w14:textId="4FB3092B" w:rsidR="005E26D2" w:rsidRPr="008E0192" w:rsidRDefault="007A397A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20</w:t>
            </w:r>
            <w:r w:rsidRPr="0098363E">
              <w:rPr>
                <w:rFonts w:ascii="Century Gothic" w:hAnsi="Century Gothic"/>
                <w:sz w:val="16"/>
              </w:rPr>
              <w:t xml:space="preserve"> µl</w:t>
            </w:r>
          </w:p>
        </w:tc>
        <w:tc>
          <w:tcPr>
            <w:tcW w:w="2127" w:type="dxa"/>
          </w:tcPr>
          <w:p w14:paraId="3FB35EE3" w14:textId="69C3061C" w:rsidR="005E26D2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5E26D2" w:rsidRPr="008E0192" w14:paraId="46747473" w14:textId="77777777" w:rsidTr="00D33C66">
        <w:trPr>
          <w:jc w:val="center"/>
        </w:trPr>
        <w:tc>
          <w:tcPr>
            <w:tcW w:w="3221" w:type="dxa"/>
          </w:tcPr>
          <w:p w14:paraId="7F99352C" w14:textId="690BD7E9" w:rsidR="005E26D2" w:rsidRPr="008E0192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DTT (100X)</w:t>
            </w:r>
          </w:p>
        </w:tc>
        <w:tc>
          <w:tcPr>
            <w:tcW w:w="1134" w:type="dxa"/>
          </w:tcPr>
          <w:p w14:paraId="3399D478" w14:textId="0D0D6E59" w:rsidR="005E26D2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100</w:t>
            </w:r>
            <w:r w:rsidRPr="00D33C66">
              <w:rPr>
                <w:rFonts w:ascii="Century Gothic" w:hAnsi="Century Gothic"/>
                <w:sz w:val="16"/>
              </w:rPr>
              <w:t xml:space="preserve"> µl</w:t>
            </w:r>
          </w:p>
        </w:tc>
        <w:tc>
          <w:tcPr>
            <w:tcW w:w="2127" w:type="dxa"/>
          </w:tcPr>
          <w:p w14:paraId="2F78C042" w14:textId="788E6B82" w:rsidR="005E26D2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98363E" w:rsidRPr="008E0192" w14:paraId="0224F435" w14:textId="77777777" w:rsidTr="00D33C66">
        <w:trPr>
          <w:jc w:val="center"/>
        </w:trPr>
        <w:tc>
          <w:tcPr>
            <w:tcW w:w="3221" w:type="dxa"/>
          </w:tcPr>
          <w:p w14:paraId="7CA43CC3" w14:textId="2D2FCD48" w:rsidR="0098363E" w:rsidRPr="008E0192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PDI Enzyme</w:t>
            </w:r>
          </w:p>
        </w:tc>
        <w:tc>
          <w:tcPr>
            <w:tcW w:w="1134" w:type="dxa"/>
          </w:tcPr>
          <w:p w14:paraId="43BBEEA4" w14:textId="6E3FAA0C" w:rsidR="0098363E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x vial</w:t>
            </w:r>
          </w:p>
        </w:tc>
        <w:tc>
          <w:tcPr>
            <w:tcW w:w="2127" w:type="dxa"/>
          </w:tcPr>
          <w:p w14:paraId="1BBECF57" w14:textId="67F1D73E" w:rsidR="0098363E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7A397A" w:rsidRPr="008E0192" w14:paraId="4EE3EF9E" w14:textId="77777777" w:rsidTr="00D33C66">
        <w:trPr>
          <w:jc w:val="center"/>
        </w:trPr>
        <w:tc>
          <w:tcPr>
            <w:tcW w:w="3221" w:type="dxa"/>
          </w:tcPr>
          <w:p w14:paraId="2CC717E8" w14:textId="6F2FBF03" w:rsidR="007A397A" w:rsidRPr="007A397A" w:rsidRDefault="00D33C66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D33C66">
              <w:rPr>
                <w:rFonts w:ascii="Century Gothic" w:hAnsi="Century Gothic"/>
                <w:sz w:val="16"/>
              </w:rPr>
              <w:t>PDI Inhibitor Control (Iodoacetamide)</w:t>
            </w:r>
          </w:p>
        </w:tc>
        <w:tc>
          <w:tcPr>
            <w:tcW w:w="1134" w:type="dxa"/>
          </w:tcPr>
          <w:p w14:paraId="6CECF778" w14:textId="0C6065F1" w:rsidR="007A397A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x vial</w:t>
            </w:r>
          </w:p>
        </w:tc>
        <w:tc>
          <w:tcPr>
            <w:tcW w:w="2127" w:type="dxa"/>
          </w:tcPr>
          <w:p w14:paraId="59DEAEC7" w14:textId="513F54BC" w:rsidR="007A397A" w:rsidRPr="008E0192" w:rsidRDefault="00D33C66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20</w:t>
            </w:r>
            <w:r w:rsidRPr="008E0192">
              <w:rPr>
                <w:rFonts w:ascii="Century Gothic" w:hAnsi="Century Gothic"/>
                <w:sz w:val="16"/>
              </w:rPr>
              <w:t>ºC</w:t>
            </w:r>
          </w:p>
        </w:tc>
      </w:tr>
    </w:tbl>
    <w:p w14:paraId="66CBEC58" w14:textId="77777777" w:rsidR="00F539E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</w:rPr>
      </w:pPr>
    </w:p>
    <w:p w14:paraId="2233A547" w14:textId="75A60489" w:rsidR="00E033F9" w:rsidRPr="00552285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Materials Required, </w:t>
      </w:r>
      <w:r w:rsidRPr="00552285">
        <w:rPr>
          <w:rFonts w:ascii="Century Gothic" w:hAnsi="Century Gothic"/>
          <w:b/>
          <w:color w:val="FF0000"/>
          <w:sz w:val="18"/>
          <w:szCs w:val="20"/>
        </w:rPr>
        <w:t>Not Supplied</w:t>
      </w: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35B7616B" w14:textId="50259E63" w:rsidR="0098363E" w:rsidRPr="0098363E" w:rsidRDefault="00D33C66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D33C66">
        <w:rPr>
          <w:rFonts w:ascii="Century Gothic" w:hAnsi="Century Gothic"/>
          <w:bCs/>
          <w:sz w:val="16"/>
          <w:szCs w:val="16"/>
          <w:lang w:val="en-US"/>
        </w:rPr>
        <w:t>96-well white plate with flat bottom</w:t>
      </w:r>
    </w:p>
    <w:p w14:paraId="0919B8FB" w14:textId="77777777" w:rsidR="00D33C66" w:rsidRDefault="00D33C66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D33C66">
        <w:rPr>
          <w:rFonts w:ascii="Century Gothic" w:hAnsi="Century Gothic"/>
          <w:bCs/>
          <w:sz w:val="16"/>
          <w:szCs w:val="16"/>
          <w:lang w:val="en-US"/>
        </w:rPr>
        <w:t xml:space="preserve">Multi-well spectrophotometer (fluorescent plate reader) </w:t>
      </w:r>
    </w:p>
    <w:p w14:paraId="2AD34AE7" w14:textId="00604A94" w:rsidR="00F539E5" w:rsidRPr="00D33C66" w:rsidRDefault="00D33C66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D33C66">
        <w:rPr>
          <w:rFonts w:ascii="Century Gothic" w:hAnsi="Century Gothic"/>
          <w:bCs/>
          <w:sz w:val="16"/>
          <w:szCs w:val="16"/>
          <w:lang w:val="en-US"/>
        </w:rPr>
        <w:t>10 mM HCl solution</w:t>
      </w:r>
    </w:p>
    <w:p w14:paraId="5DC701E8" w14:textId="77777777" w:rsidR="00D33C66" w:rsidRDefault="00D33C66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A890BD" w14:textId="3ADA24EA" w:rsidR="00552285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Reagent Preparation</w:t>
      </w:r>
    </w:p>
    <w:p w14:paraId="3ADAA26D" w14:textId="4D8739B9" w:rsidR="00552285" w:rsidRDefault="00D33C66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D33C66">
        <w:rPr>
          <w:rFonts w:ascii="Century Gothic" w:hAnsi="Century Gothic"/>
          <w:bCs/>
          <w:sz w:val="16"/>
          <w:szCs w:val="16"/>
        </w:rPr>
        <w:t>Store kit at -20°C, protected from light. Briefly centrifuge small vials prior to opening.</w:t>
      </w:r>
    </w:p>
    <w:p w14:paraId="57BE53F5" w14:textId="77777777" w:rsidR="00D33C66" w:rsidRPr="00552285" w:rsidRDefault="00D33C66" w:rsidP="00552285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43F199E" w14:textId="30A8179F" w:rsidR="0098363E" w:rsidRPr="00D33C66" w:rsidRDefault="00D33C66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D33C66">
        <w:rPr>
          <w:rFonts w:ascii="Century Gothic" w:hAnsi="Century Gothic"/>
          <w:bCs/>
          <w:sz w:val="16"/>
          <w:szCs w:val="16"/>
          <w:u w:val="single"/>
          <w:lang w:val="en-US"/>
        </w:rPr>
        <w:t>PDI Assay Buffer:</w:t>
      </w:r>
      <w:r w:rsidRPr="00D33C66">
        <w:rPr>
          <w:rFonts w:ascii="Century Gothic" w:hAnsi="Century Gothic"/>
          <w:bCs/>
          <w:sz w:val="16"/>
          <w:szCs w:val="16"/>
          <w:lang w:val="en-US"/>
        </w:rPr>
        <w:t xml:space="preserve"> Bring to room temperature before use. Store at -20°C or 4°C</w:t>
      </w:r>
    </w:p>
    <w:p w14:paraId="3736F553" w14:textId="77777777" w:rsidR="00501E06" w:rsidRPr="0098363E" w:rsidRDefault="00501E06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07EF6AE9" w14:textId="5B46A0D9" w:rsidR="00501E06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525057">
        <w:rPr>
          <w:rFonts w:ascii="Century Gothic" w:hAnsi="Century Gothic"/>
          <w:bCs/>
          <w:sz w:val="16"/>
          <w:szCs w:val="16"/>
          <w:u w:val="single"/>
          <w:lang w:val="en-US"/>
        </w:rPr>
        <w:t>PDI Substrate: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 xml:space="preserve"> Reconstitute one vial of PDI Substrate with 1.1 ml of 10 mM HCl solution (not provided). Aliquot and store at -20°C.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>Avoid freeze/thaw. Keep on ice while in use. Use within two months.</w:t>
      </w:r>
    </w:p>
    <w:p w14:paraId="3134B628" w14:textId="77777777" w:rsidR="00525057" w:rsidRPr="00525057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64FBCE55" w14:textId="64FE28EA" w:rsidR="00501E06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525057">
        <w:rPr>
          <w:rFonts w:ascii="Century Gothic" w:hAnsi="Century Gothic"/>
          <w:bCs/>
          <w:sz w:val="16"/>
          <w:szCs w:val="16"/>
          <w:u w:val="single"/>
          <w:lang w:val="en-US"/>
        </w:rPr>
        <w:t>PDI Enzyme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>: Reconstitute with 550 µl PDI Assay Buffer. Aliquot and store at -20°C. Avoid freeze/thaw. Keep on ice while in use. Use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>within two months.</w:t>
      </w:r>
    </w:p>
    <w:p w14:paraId="0574770C" w14:textId="6007B943" w:rsidR="00525057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235B1822" w14:textId="0F4A7429" w:rsidR="00525057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525057">
        <w:rPr>
          <w:rFonts w:ascii="Century Gothic" w:hAnsi="Century Gothic"/>
          <w:bCs/>
          <w:sz w:val="16"/>
          <w:szCs w:val="16"/>
          <w:u w:val="single"/>
          <w:lang w:val="en-US"/>
        </w:rPr>
        <w:t>PDI Inhibitor Control: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 xml:space="preserve"> Reconstitute with 1 ml PDI Assay Buffer. Aliquot and store at -20°C. Avoid freeze/thaw. Keep on ice while in use.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  <w:lang w:val="en-US"/>
        </w:rPr>
        <w:t>Use within two months.</w:t>
      </w:r>
    </w:p>
    <w:p w14:paraId="6B320967" w14:textId="77777777" w:rsidR="00501E06" w:rsidRDefault="00501E06" w:rsidP="0055228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5E89D2E7" w14:textId="19648408" w:rsidR="00BF452A" w:rsidRDefault="00BE07A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Assay Protocol</w:t>
      </w:r>
    </w:p>
    <w:p w14:paraId="4029F189" w14:textId="2423EB50" w:rsidR="00525057" w:rsidRDefault="0052505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447C6DF" w14:textId="77777777" w:rsidR="00525057" w:rsidRPr="00525057" w:rsidRDefault="00525057" w:rsidP="00525057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525057">
        <w:rPr>
          <w:rFonts w:ascii="Century Gothic" w:hAnsi="Century Gothic"/>
          <w:b/>
          <w:sz w:val="16"/>
          <w:szCs w:val="16"/>
        </w:rPr>
        <w:t xml:space="preserve">Screen Compounds, Inhibitor Control, and Enzyme Control Preparation: </w:t>
      </w:r>
    </w:p>
    <w:p w14:paraId="04F0AE75" w14:textId="77777777" w:rsidR="00525057" w:rsidRDefault="00525057" w:rsidP="0052505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>Dissolve candidate inhibitors into an appropriate solvent to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</w:rPr>
        <w:t>make the stock solution.</w:t>
      </w:r>
    </w:p>
    <w:p w14:paraId="534AB3C8" w14:textId="77777777" w:rsidR="00525057" w:rsidRDefault="00525057" w:rsidP="0052505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 xml:space="preserve">Dilute to 2X desired test concentration with the PDI Assay Buffer. </w:t>
      </w:r>
    </w:p>
    <w:p w14:paraId="3E7586E2" w14:textId="77777777" w:rsidR="00525057" w:rsidRDefault="00525057" w:rsidP="0052505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>Add 50 µl diluted candidate inhibitor or PDI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</w:rPr>
        <w:t>Assay Buffer into desired wells, as Sample [S], or Enzyme Control [EC] (no inhibitor).</w:t>
      </w:r>
    </w:p>
    <w:p w14:paraId="70F3668C" w14:textId="523B3460" w:rsidR="00525057" w:rsidRPr="00525057" w:rsidRDefault="00525057" w:rsidP="0052505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>For Inhibitor Control (IC), dilute Inhibitor Control 10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</w:rPr>
        <w:t>times by adding 10 µl Inhibitor Control to 90 µl PDI Assay Buffer. Add 50 µl of diluted Inhibitor Control into desired well(s).</w:t>
      </w:r>
    </w:p>
    <w:p w14:paraId="130564F0" w14:textId="77777777" w:rsidR="00525057" w:rsidRDefault="00525057" w:rsidP="00525057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1072E0A" w14:textId="7D78992D" w:rsidR="00525057" w:rsidRPr="00525057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>Note: Solvents used to solubilize the inhibitors might affect the enzymatic activity. If solvent effect on the enzymatic activity is a concern,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525057">
        <w:rPr>
          <w:rFonts w:ascii="Century Gothic" w:hAnsi="Century Gothic"/>
          <w:bCs/>
          <w:sz w:val="16"/>
          <w:szCs w:val="16"/>
        </w:rPr>
        <w:t>prepare a solvent control well(s) (SC) with the same final concentration of the solvent(s) as in the inhibitor sample(s).</w:t>
      </w:r>
      <w:r w:rsidRPr="00525057">
        <w:rPr>
          <w:rFonts w:ascii="Century Gothic" w:hAnsi="Century Gothic"/>
          <w:bCs/>
          <w:sz w:val="16"/>
          <w:szCs w:val="16"/>
        </w:rPr>
        <w:cr/>
      </w:r>
    </w:p>
    <w:p w14:paraId="267CB626" w14:textId="77777777" w:rsidR="00525057" w:rsidRDefault="00525057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10C56FB0" w14:textId="464A2BBC" w:rsidR="005C7860" w:rsidRDefault="005C7860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C7860">
        <w:rPr>
          <w:rFonts w:ascii="Century Gothic" w:hAnsi="Century Gothic"/>
          <w:b/>
          <w:sz w:val="16"/>
          <w:szCs w:val="16"/>
        </w:rPr>
        <w:t>Reaction Mix</w:t>
      </w:r>
      <w:r w:rsidRPr="005C7860">
        <w:rPr>
          <w:rFonts w:ascii="Century Gothic" w:hAnsi="Century Gothic"/>
          <w:bCs/>
          <w:sz w:val="16"/>
          <w:szCs w:val="16"/>
        </w:rPr>
        <w:t xml:space="preserve">: </w:t>
      </w:r>
    </w:p>
    <w:p w14:paraId="69D2A49E" w14:textId="77777777" w:rsidR="00525057" w:rsidRDefault="00525057" w:rsidP="005250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 xml:space="preserve">Add 5 µl of </w:t>
      </w:r>
      <w:proofErr w:type="spellStart"/>
      <w:r w:rsidRPr="00525057">
        <w:rPr>
          <w:rFonts w:ascii="Century Gothic" w:hAnsi="Century Gothic"/>
          <w:bCs/>
          <w:sz w:val="16"/>
          <w:szCs w:val="16"/>
        </w:rPr>
        <w:t>PDl</w:t>
      </w:r>
      <w:proofErr w:type="spellEnd"/>
      <w:r w:rsidRPr="00525057">
        <w:rPr>
          <w:rFonts w:ascii="Century Gothic" w:hAnsi="Century Gothic"/>
          <w:bCs/>
          <w:sz w:val="16"/>
          <w:szCs w:val="16"/>
        </w:rPr>
        <w:t xml:space="preserve"> Enzyme into Sample, Enzyme Control, and Inhibitor Control wells (if necessary, in Solvent Control wells).</w:t>
      </w:r>
    </w:p>
    <w:p w14:paraId="2445BE5C" w14:textId="51022BB9" w:rsidR="001155CD" w:rsidRDefault="00525057" w:rsidP="005250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525057">
        <w:rPr>
          <w:rFonts w:ascii="Century Gothic" w:hAnsi="Century Gothic"/>
          <w:bCs/>
          <w:sz w:val="16"/>
          <w:szCs w:val="16"/>
        </w:rPr>
        <w:t>Add 55 µl of Assay Buffer into separate well designated as BC (Background Control). Incubate for 30 min. at 37°C.</w:t>
      </w:r>
    </w:p>
    <w:p w14:paraId="5B542861" w14:textId="77777777" w:rsidR="00525057" w:rsidRPr="00525057" w:rsidRDefault="00525057" w:rsidP="00525057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70274E14" w14:textId="1924ADB3" w:rsidR="00F539E5" w:rsidRDefault="008F7F4A" w:rsidP="00704F23">
      <w:pPr>
        <w:pStyle w:val="Header"/>
        <w:rPr>
          <w:rFonts w:ascii="Century Gothic" w:hAnsi="Century Gothic"/>
          <w:b/>
          <w:bCs/>
          <w:sz w:val="18"/>
          <w:szCs w:val="18"/>
        </w:rPr>
      </w:pPr>
      <w:r w:rsidRPr="008F7F4A">
        <w:rPr>
          <w:rFonts w:ascii="Century Gothic" w:hAnsi="Century Gothic"/>
          <w:b/>
          <w:bCs/>
          <w:sz w:val="18"/>
          <w:szCs w:val="18"/>
        </w:rPr>
        <w:t>Substrate Mix:</w:t>
      </w:r>
      <w:r w:rsidR="003A4CD7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6B57AD3F" w14:textId="1D9E3C9B" w:rsidR="00525057" w:rsidRDefault="00525057" w:rsidP="00525057">
      <w:pPr>
        <w:pStyle w:val="Header"/>
        <w:numPr>
          <w:ilvl w:val="0"/>
          <w:numId w:val="38"/>
        </w:numPr>
        <w:rPr>
          <w:rFonts w:ascii="Century Gothic" w:hAnsi="Century Gothic"/>
          <w:sz w:val="16"/>
          <w:szCs w:val="16"/>
          <w:lang w:val="en-US"/>
        </w:rPr>
      </w:pPr>
      <w:r w:rsidRPr="00525057">
        <w:rPr>
          <w:rFonts w:ascii="Century Gothic" w:hAnsi="Century Gothic"/>
          <w:sz w:val="16"/>
          <w:szCs w:val="16"/>
          <w:lang w:val="en-US"/>
        </w:rPr>
        <w:t>Prepare 1X DTT by taking 10 µl of 100X DTT into 990 µl PDI Assay Buffer and Mix well.</w:t>
      </w:r>
    </w:p>
    <w:p w14:paraId="5A87BD61" w14:textId="77777777" w:rsidR="00525057" w:rsidRDefault="00525057" w:rsidP="00525057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14D9FCD5" w14:textId="09C52636" w:rsidR="00525057" w:rsidRDefault="00525057" w:rsidP="00525057">
      <w:pPr>
        <w:pStyle w:val="Header"/>
        <w:rPr>
          <w:rFonts w:ascii="Century Gothic" w:hAnsi="Century Gothic"/>
          <w:sz w:val="16"/>
          <w:szCs w:val="16"/>
          <w:lang w:val="en-US"/>
        </w:rPr>
      </w:pPr>
      <w:r w:rsidRPr="00525057">
        <w:rPr>
          <w:rFonts w:ascii="Century Gothic" w:hAnsi="Century Gothic"/>
          <w:sz w:val="16"/>
          <w:szCs w:val="16"/>
          <w:lang w:val="en-US"/>
        </w:rPr>
        <w:t>* Dilute the</w:t>
      </w:r>
      <w:r>
        <w:rPr>
          <w:rFonts w:ascii="Century Gothic" w:hAnsi="Century Gothic"/>
          <w:sz w:val="16"/>
          <w:szCs w:val="16"/>
          <w:lang w:val="en-US"/>
        </w:rPr>
        <w:t xml:space="preserve"> </w:t>
      </w:r>
      <w:r w:rsidRPr="00525057">
        <w:rPr>
          <w:rFonts w:ascii="Century Gothic" w:hAnsi="Century Gothic"/>
          <w:sz w:val="16"/>
          <w:szCs w:val="16"/>
          <w:lang w:val="en-US"/>
        </w:rPr>
        <w:t>20X PDI probe to 1X by adding 10 µl of PDI probe into 190 µl PDI Assay Buffer and Mix well.</w:t>
      </w:r>
    </w:p>
    <w:p w14:paraId="2B3516EE" w14:textId="24791F7C" w:rsidR="00E905FF" w:rsidRDefault="00525057" w:rsidP="00525057">
      <w:pPr>
        <w:pStyle w:val="Header"/>
        <w:rPr>
          <w:rFonts w:ascii="Century Gothic" w:hAnsi="Century Gothic"/>
          <w:sz w:val="16"/>
          <w:szCs w:val="16"/>
          <w:lang w:val="en-US"/>
        </w:rPr>
      </w:pPr>
      <w:r w:rsidRPr="00525057">
        <w:rPr>
          <w:rFonts w:ascii="Century Gothic" w:hAnsi="Century Gothic"/>
          <w:sz w:val="16"/>
          <w:szCs w:val="16"/>
          <w:lang w:val="en-US"/>
        </w:rPr>
        <w:t>** Make enough reagents for the number of assays to be performed. For each well, prepare 45 µl of Substrate solution containing:</w:t>
      </w:r>
    </w:p>
    <w:p w14:paraId="55B9AB71" w14:textId="77777777" w:rsidR="00525057" w:rsidRPr="00525057" w:rsidRDefault="00525057" w:rsidP="00525057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3716"/>
      </w:tblGrid>
      <w:tr w:rsidR="003A4CD7" w:rsidRPr="005C7860" w14:paraId="3D96C3E2" w14:textId="77777777" w:rsidTr="00766DBE">
        <w:tc>
          <w:tcPr>
            <w:tcW w:w="3715" w:type="dxa"/>
          </w:tcPr>
          <w:p w14:paraId="038AEB21" w14:textId="77777777" w:rsidR="003A4CD7" w:rsidRPr="005C7860" w:rsidRDefault="003A4CD7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16" w:type="dxa"/>
          </w:tcPr>
          <w:p w14:paraId="036B11CE" w14:textId="5A78FC66" w:rsidR="003A4CD7" w:rsidRPr="00E22936" w:rsidRDefault="003A4CD7" w:rsidP="00766D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22936">
              <w:rPr>
                <w:rFonts w:ascii="Century Gothic" w:hAnsi="Century Gothic"/>
                <w:b/>
                <w:bCs/>
                <w:sz w:val="16"/>
                <w:szCs w:val="16"/>
              </w:rPr>
              <w:t>Substrate Mix</w:t>
            </w:r>
          </w:p>
        </w:tc>
      </w:tr>
      <w:tr w:rsidR="003A4CD7" w:rsidRPr="005C7860" w14:paraId="07B49489" w14:textId="77777777" w:rsidTr="00766DBE">
        <w:tc>
          <w:tcPr>
            <w:tcW w:w="3715" w:type="dxa"/>
          </w:tcPr>
          <w:p w14:paraId="5BE589D8" w14:textId="599347A1" w:rsidR="003A4CD7" w:rsidRPr="005C7860" w:rsidRDefault="00525057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25057">
              <w:rPr>
                <w:rFonts w:ascii="Century Gothic" w:hAnsi="Century Gothic"/>
                <w:bCs/>
                <w:sz w:val="16"/>
                <w:szCs w:val="16"/>
              </w:rPr>
              <w:t>PDI Assay Buffe</w:t>
            </w:r>
          </w:p>
        </w:tc>
        <w:tc>
          <w:tcPr>
            <w:tcW w:w="3716" w:type="dxa"/>
          </w:tcPr>
          <w:p w14:paraId="0FE60E05" w14:textId="19A3BC99" w:rsidR="003A4CD7" w:rsidRPr="005C7860" w:rsidRDefault="00525057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25057">
              <w:rPr>
                <w:rFonts w:ascii="Century Gothic" w:hAnsi="Century Gothic"/>
                <w:sz w:val="16"/>
                <w:szCs w:val="16"/>
              </w:rPr>
              <w:t>21</w:t>
            </w:r>
            <w:r w:rsidR="003A4CD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A4CD7" w:rsidRPr="005C7860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="003A4CD7" w:rsidRPr="005C7860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  <w:tr w:rsidR="003A4CD7" w:rsidRPr="005C7860" w14:paraId="237E807B" w14:textId="77777777" w:rsidTr="00766DBE">
        <w:tc>
          <w:tcPr>
            <w:tcW w:w="3715" w:type="dxa"/>
          </w:tcPr>
          <w:p w14:paraId="35B30085" w14:textId="7E5F8BBD" w:rsidR="003A4CD7" w:rsidRPr="005C7860" w:rsidRDefault="00525057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25057">
              <w:rPr>
                <w:rFonts w:ascii="Century Gothic" w:hAnsi="Century Gothic"/>
                <w:sz w:val="16"/>
                <w:szCs w:val="16"/>
              </w:rPr>
              <w:t>PDI Substrate</w:t>
            </w:r>
          </w:p>
        </w:tc>
        <w:tc>
          <w:tcPr>
            <w:tcW w:w="3716" w:type="dxa"/>
          </w:tcPr>
          <w:p w14:paraId="2F27C35D" w14:textId="717C1E29" w:rsidR="003A4CD7" w:rsidRPr="005C7860" w:rsidRDefault="00525057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  <w:r w:rsidR="003A4CD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A4CD7" w:rsidRPr="005C7860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="003A4CD7" w:rsidRPr="005C7860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  <w:tr w:rsidR="00CE36E4" w:rsidRPr="005C7860" w14:paraId="09E0B873" w14:textId="77777777" w:rsidTr="00766DBE">
        <w:tc>
          <w:tcPr>
            <w:tcW w:w="3715" w:type="dxa"/>
          </w:tcPr>
          <w:p w14:paraId="3D3F001B" w14:textId="7B7F9D5A" w:rsidR="00CE36E4" w:rsidRPr="00525057" w:rsidRDefault="00CE36E4" w:rsidP="00CE36E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36E4">
              <w:rPr>
                <w:rFonts w:ascii="Century Gothic" w:hAnsi="Century Gothic"/>
                <w:sz w:val="16"/>
                <w:szCs w:val="16"/>
              </w:rPr>
              <w:t>DTT (1X)</w:t>
            </w:r>
          </w:p>
        </w:tc>
        <w:tc>
          <w:tcPr>
            <w:tcW w:w="3716" w:type="dxa"/>
          </w:tcPr>
          <w:p w14:paraId="34F3D936" w14:textId="21CAA1C3" w:rsidR="00CE36E4" w:rsidRDefault="00CE36E4" w:rsidP="00CE36E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36E4">
              <w:rPr>
                <w:rFonts w:ascii="Century Gothic" w:hAnsi="Century Gothic"/>
                <w:sz w:val="16"/>
                <w:szCs w:val="16"/>
              </w:rPr>
              <w:t>2 µl</w:t>
            </w:r>
          </w:p>
        </w:tc>
      </w:tr>
      <w:tr w:rsidR="00CE36E4" w:rsidRPr="005C7860" w14:paraId="29AB3F63" w14:textId="77777777" w:rsidTr="00766DBE">
        <w:tc>
          <w:tcPr>
            <w:tcW w:w="3715" w:type="dxa"/>
          </w:tcPr>
          <w:p w14:paraId="4A04BBD1" w14:textId="32E88393" w:rsidR="00CE36E4" w:rsidRPr="00525057" w:rsidRDefault="00CE36E4" w:rsidP="00CE36E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36E4">
              <w:rPr>
                <w:rFonts w:ascii="Century Gothic" w:hAnsi="Century Gothic"/>
                <w:sz w:val="16"/>
                <w:szCs w:val="16"/>
              </w:rPr>
              <w:t>PDI Probe (1X)</w:t>
            </w:r>
          </w:p>
        </w:tc>
        <w:tc>
          <w:tcPr>
            <w:tcW w:w="3716" w:type="dxa"/>
          </w:tcPr>
          <w:p w14:paraId="32A61CCA" w14:textId="75AC6BB6" w:rsidR="00CE36E4" w:rsidRDefault="00CE36E4" w:rsidP="00766DB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E36E4">
              <w:rPr>
                <w:rFonts w:ascii="Century Gothic" w:hAnsi="Century Gothic"/>
                <w:sz w:val="16"/>
                <w:szCs w:val="16"/>
              </w:rPr>
              <w:t>2 µl</w:t>
            </w:r>
          </w:p>
        </w:tc>
      </w:tr>
    </w:tbl>
    <w:p w14:paraId="77A7B021" w14:textId="77777777" w:rsidR="00E905FF" w:rsidRDefault="00E905FF" w:rsidP="00E905FF">
      <w:pPr>
        <w:pStyle w:val="Header"/>
        <w:ind w:left="720"/>
        <w:rPr>
          <w:rFonts w:ascii="Century Gothic" w:hAnsi="Century Gothic"/>
          <w:sz w:val="16"/>
          <w:szCs w:val="16"/>
        </w:rPr>
      </w:pPr>
    </w:p>
    <w:p w14:paraId="2275A356" w14:textId="0C1C32F5" w:rsidR="00CE36E4" w:rsidRPr="00CE36E4" w:rsidRDefault="00CE36E4" w:rsidP="00CE36E4">
      <w:pPr>
        <w:pStyle w:val="Header"/>
        <w:numPr>
          <w:ilvl w:val="0"/>
          <w:numId w:val="38"/>
        </w:numPr>
        <w:rPr>
          <w:rFonts w:ascii="Century Gothic" w:hAnsi="Century Gothic"/>
          <w:sz w:val="16"/>
          <w:szCs w:val="16"/>
        </w:rPr>
      </w:pPr>
      <w:r w:rsidRPr="00CE36E4">
        <w:rPr>
          <w:rFonts w:ascii="Century Gothic" w:hAnsi="Century Gothic"/>
          <w:sz w:val="16"/>
          <w:szCs w:val="16"/>
        </w:rPr>
        <w:t>Mix and add 45 µl of Substrate solution into each well from step VI. 2. Mix well with gentle</w:t>
      </w:r>
      <w:r>
        <w:rPr>
          <w:rFonts w:ascii="Century Gothic" w:hAnsi="Century Gothic"/>
          <w:sz w:val="16"/>
          <w:szCs w:val="16"/>
        </w:rPr>
        <w:t xml:space="preserve"> </w:t>
      </w:r>
      <w:r w:rsidRPr="00CE36E4">
        <w:rPr>
          <w:rFonts w:ascii="Century Gothic" w:hAnsi="Century Gothic"/>
          <w:sz w:val="16"/>
          <w:szCs w:val="16"/>
        </w:rPr>
        <w:t>shaking, protected from light and incubate for</w:t>
      </w:r>
      <w:r>
        <w:rPr>
          <w:rFonts w:ascii="Century Gothic" w:hAnsi="Century Gothic"/>
          <w:sz w:val="16"/>
          <w:szCs w:val="16"/>
        </w:rPr>
        <w:t xml:space="preserve"> </w:t>
      </w:r>
      <w:r w:rsidRPr="00CE36E4">
        <w:rPr>
          <w:rFonts w:ascii="Century Gothic" w:hAnsi="Century Gothic"/>
          <w:sz w:val="16"/>
          <w:szCs w:val="16"/>
        </w:rPr>
        <w:t>10 min at 37°C.</w:t>
      </w:r>
      <w:r w:rsidRPr="00CE36E4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14:paraId="48CA0B35" w14:textId="77777777" w:rsidR="00CE36E4" w:rsidRDefault="00CE36E4" w:rsidP="00CE36E4">
      <w:pPr>
        <w:pStyle w:val="Header"/>
        <w:rPr>
          <w:rFonts w:ascii="Century Gothic" w:hAnsi="Century Gothic"/>
          <w:b/>
          <w:bCs/>
          <w:sz w:val="16"/>
          <w:szCs w:val="16"/>
        </w:rPr>
      </w:pPr>
    </w:p>
    <w:p w14:paraId="63F9F2D4" w14:textId="34AC5B3D" w:rsidR="003A4CD7" w:rsidRDefault="00552285" w:rsidP="00704F23">
      <w:pPr>
        <w:pStyle w:val="Header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Δ </w:t>
      </w:r>
      <w:r w:rsidR="003A4CD7" w:rsidRPr="003A4CD7">
        <w:rPr>
          <w:rFonts w:ascii="Century Gothic" w:hAnsi="Century Gothic"/>
          <w:b/>
          <w:bCs/>
          <w:sz w:val="16"/>
          <w:szCs w:val="16"/>
        </w:rPr>
        <w:t>Note:</w:t>
      </w:r>
      <w:r w:rsidR="003A4CD7" w:rsidRPr="003A4CD7">
        <w:rPr>
          <w:rFonts w:ascii="Century Gothic" w:hAnsi="Century Gothic"/>
          <w:sz w:val="16"/>
          <w:szCs w:val="16"/>
        </w:rPr>
        <w:t xml:space="preserve"> </w:t>
      </w:r>
      <w:r w:rsidR="00CE36E4" w:rsidRPr="00CE36E4">
        <w:rPr>
          <w:rFonts w:ascii="Century Gothic" w:hAnsi="Century Gothic"/>
          <w:i/>
          <w:iCs/>
          <w:sz w:val="16"/>
          <w:szCs w:val="16"/>
        </w:rPr>
        <w:t>* &amp; ** Make fresh dilutions each time. Do not store the diluted DTT and diluted PDI Probe.</w:t>
      </w:r>
    </w:p>
    <w:p w14:paraId="76D2C0A6" w14:textId="79ACFB8C" w:rsidR="0082366E" w:rsidRDefault="0082366E" w:rsidP="00704F23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7C3B11DB" w14:textId="77777777" w:rsidR="00501E06" w:rsidRPr="008F7F4A" w:rsidRDefault="00501E06" w:rsidP="00704F23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49818DBE" w14:textId="77777777" w:rsidR="004B1C50" w:rsidRDefault="0098363E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B1C50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</w:p>
    <w:p w14:paraId="19F8F4AA" w14:textId="614F7A4D" w:rsidR="00501E06" w:rsidRPr="00FF36B9" w:rsidRDefault="00CE36E4" w:rsidP="00FF36B9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  <w:r w:rsidRPr="00FF36B9">
        <w:rPr>
          <w:rFonts w:ascii="Century Gothic" w:hAnsi="Century Gothic"/>
          <w:sz w:val="16"/>
          <w:szCs w:val="18"/>
        </w:rPr>
        <w:t>Measure fluorescence (Ex/</w:t>
      </w:r>
      <w:proofErr w:type="spellStart"/>
      <w:r w:rsidRPr="00FF36B9">
        <w:rPr>
          <w:rFonts w:ascii="Century Gothic" w:hAnsi="Century Gothic"/>
          <w:sz w:val="16"/>
          <w:szCs w:val="18"/>
        </w:rPr>
        <w:t>Em</w:t>
      </w:r>
      <w:proofErr w:type="spellEnd"/>
      <w:r w:rsidRPr="00FF36B9">
        <w:rPr>
          <w:rFonts w:ascii="Century Gothic" w:hAnsi="Century Gothic"/>
          <w:sz w:val="16"/>
          <w:szCs w:val="18"/>
        </w:rPr>
        <w:t xml:space="preserve"> = 440/490 nm) in kinetic mode for 5-30 min. at 37°C.</w:t>
      </w:r>
      <w:r w:rsidR="00FF36B9" w:rsidRPr="00FF36B9">
        <w:rPr>
          <w:rFonts w:ascii="Century Gothic" w:hAnsi="Century Gothic"/>
          <w:sz w:val="16"/>
          <w:szCs w:val="18"/>
        </w:rPr>
        <w:t xml:space="preserve"> </w:t>
      </w:r>
      <w:r w:rsidRPr="00FF36B9">
        <w:rPr>
          <w:rFonts w:ascii="Century Gothic" w:hAnsi="Century Gothic"/>
          <w:sz w:val="16"/>
          <w:szCs w:val="18"/>
        </w:rPr>
        <w:t>Choose two time points (T1 &amp; T2) in the linear range of the enzyme kinetics and obtain the corresponding values for the fluorescence (RFU1 &amp; RFU2).</w:t>
      </w:r>
    </w:p>
    <w:p w14:paraId="03C671F2" w14:textId="69AE8B3D" w:rsidR="0082366E" w:rsidRDefault="00796BA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E0192">
        <w:rPr>
          <w:rFonts w:ascii="Century Gothic" w:hAnsi="Century Gothic"/>
          <w:b/>
          <w:sz w:val="18"/>
          <w:szCs w:val="20"/>
        </w:rPr>
        <w:t xml:space="preserve">Calculation: </w:t>
      </w:r>
    </w:p>
    <w:p w14:paraId="69455721" w14:textId="77777777" w:rsidR="00FF36B9" w:rsidRDefault="00FF36B9" w:rsidP="00FF36B9">
      <w:pPr>
        <w:pStyle w:val="KIT-extrainfo"/>
      </w:pPr>
      <w:r>
        <w:t xml:space="preserve">Subtract the background from all samples (ΔBC = BC2-BC1). </w:t>
      </w:r>
    </w:p>
    <w:p w14:paraId="0CFD0340" w14:textId="7CB5E5FF" w:rsidR="00E81ABE" w:rsidRPr="00EA59F7" w:rsidRDefault="00FF36B9" w:rsidP="00FF36B9">
      <w:pPr>
        <w:pStyle w:val="KIT-extrainfo"/>
      </w:pPr>
      <w:r>
        <w:t>Calculate the slope for all Samples (S), including Enzyme</w:t>
      </w:r>
      <w:r>
        <w:t xml:space="preserve"> </w:t>
      </w:r>
      <w:r>
        <w:t>Control (EC), by dividing the corrected ΔRFU (RFU2-RFU1) values with the time ΔT (T2-T1).</w:t>
      </w:r>
      <w:r>
        <w:cr/>
      </w:r>
    </w:p>
    <w:p w14:paraId="2E44F241" w14:textId="0A36DBF7" w:rsidR="00E81ABE" w:rsidRPr="00EA59F7" w:rsidRDefault="00E81ABE" w:rsidP="00FF36B9">
      <w:pPr>
        <w:pStyle w:val="KIT-extrainfo"/>
        <w:numPr>
          <w:ilvl w:val="0"/>
          <w:numId w:val="0"/>
        </w:numPr>
        <w:ind w:left="360" w:firstLine="360"/>
        <w:jc w:val="center"/>
        <w:rPr>
          <w:rFonts w:eastAsiaTheme="minorEastAsia"/>
        </w:rPr>
      </w:pPr>
      <w:r w:rsidRPr="00EA59F7">
        <w:t xml:space="preserve">% Inhibition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EC- </m:t>
            </m:r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EC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×100</m:t>
        </m:r>
      </m:oMath>
    </w:p>
    <w:p w14:paraId="5C7357B6" w14:textId="1AF824D3" w:rsidR="00E81ABE" w:rsidRPr="00EA59F7" w:rsidRDefault="00E81ABE" w:rsidP="00FF36B9">
      <w:pPr>
        <w:pStyle w:val="KIT-extrainfo"/>
        <w:numPr>
          <w:ilvl w:val="0"/>
          <w:numId w:val="0"/>
        </w:numPr>
        <w:jc w:val="center"/>
      </w:pPr>
    </w:p>
    <w:p w14:paraId="520D6BC6" w14:textId="3CD360AE" w:rsidR="008E0192" w:rsidRPr="00FF36B9" w:rsidRDefault="00E81ABE" w:rsidP="00FF36B9">
      <w:pPr>
        <w:pStyle w:val="KIT-extrainfo"/>
        <w:numPr>
          <w:ilvl w:val="0"/>
          <w:numId w:val="0"/>
        </w:numPr>
        <w:ind w:left="720"/>
        <w:jc w:val="center"/>
        <w:rPr>
          <w:rFonts w:eastAsiaTheme="minorEastAsia"/>
        </w:rPr>
      </w:pPr>
      <w:r w:rsidRPr="00EA59F7">
        <w:t xml:space="preserve">% </w:t>
      </w:r>
      <w:r w:rsidR="00FF36B9">
        <w:t>Specific</w:t>
      </w:r>
      <w:r w:rsidRPr="00EA59F7">
        <w:t xml:space="preserve"> activity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EC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×100</m:t>
        </m:r>
      </m:oMath>
    </w:p>
    <w:p w14:paraId="2FDDF5E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854909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8263E5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DDD07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E34F2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8390B0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640812D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2FA693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8962FB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0160F0F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5EE843D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33B075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AAE256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584E74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4B0CE6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39EFFB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062D0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096B4E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0B907D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ED5B151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EB860B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6F7328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DE76972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37852F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CCBDF8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A62B96F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862F1BF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126175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709B06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54DFC78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E32231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AE512C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143748D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B3D3837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DEB3C8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C0F093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D1FED4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5D4566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DDABA4B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3633B0D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14020A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FE3B32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9D653BD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5F4B52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56C073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B62089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4752F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4B4773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A679C7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D73206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814A918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DD4FF5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715EF8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163EF5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422ACC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ABD175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20FE73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3D52E4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889C3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7DA938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072675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357AD5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D4A976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9907A6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151D0B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8CD15B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2E371AA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6EF78E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219008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4D28D1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4C64A0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8B5CAF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860F1C2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0DFEA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C87FD9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1CDD42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D115C57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234A4F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FE4119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051C21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A43486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3664157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39FE589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88B9042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46EB96C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328BF93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7BDF274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B9B0F72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13EC6E2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92C44E1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4D0962F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6D0D0A6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AA31D2E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5E081B7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2E80131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B40597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765EB91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FD2EB15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BD8D120" w14:textId="77777777" w:rsidR="00FF36B9" w:rsidRDefault="00FF36B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595BEB" w14:textId="3DE2D015" w:rsidR="008E0192" w:rsidRDefault="008E019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4F6A40F2" w14:textId="77777777" w:rsidR="0082366E" w:rsidRPr="00552285" w:rsidRDefault="0082366E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90396CB" w14:textId="0C596286" w:rsidR="008E0192" w:rsidRPr="008E0192" w:rsidRDefault="008E0192" w:rsidP="00FF36B9">
      <w:pPr>
        <w:pStyle w:val="KIT-extrainfo"/>
      </w:pPr>
      <w:r w:rsidRPr="008E0192">
        <w:t xml:space="preserve">Copyright © 2021 Abcam. All Rights Reserved. The Abcam logo is a registered trademark. All information / detail is correct at time of going to print. </w:t>
      </w:r>
    </w:p>
    <w:p w14:paraId="5D42D9A6" w14:textId="58DF84E3" w:rsidR="008E0192" w:rsidRDefault="008E0192" w:rsidP="00FF36B9">
      <w:pPr>
        <w:pStyle w:val="KIT-extrainfo"/>
      </w:pPr>
      <w:r w:rsidRPr="008E0192">
        <w:t xml:space="preserve">For all technical or commercial enquiries please go to: </w:t>
      </w:r>
    </w:p>
    <w:p w14:paraId="11F9D47B" w14:textId="77777777" w:rsidR="0082366E" w:rsidRPr="008E0192" w:rsidRDefault="0082366E" w:rsidP="00FF36B9">
      <w:pPr>
        <w:pStyle w:val="KIT-extrainfo"/>
      </w:pPr>
    </w:p>
    <w:p w14:paraId="0EFFAE7E" w14:textId="2CA9B9FD" w:rsidR="008E0192" w:rsidRPr="00D33C66" w:rsidRDefault="00FF36B9" w:rsidP="00FF36B9">
      <w:pPr>
        <w:pStyle w:val="KIT-extrainfo"/>
      </w:pPr>
      <w:hyperlink r:id="rId9" w:history="1">
        <w:r w:rsidR="00E81ABE" w:rsidRPr="00D33C66">
          <w:rPr>
            <w:rStyle w:val="Hyperlink"/>
            <w:lang w:val="it-IT"/>
          </w:rPr>
          <w:t>www.abcam.com/contactus</w:t>
        </w:r>
      </w:hyperlink>
      <w:r w:rsidR="008E0192" w:rsidRPr="00D33C66">
        <w:t xml:space="preserve"> </w:t>
      </w:r>
    </w:p>
    <w:p w14:paraId="654A910B" w14:textId="77777777" w:rsidR="008E0192" w:rsidRPr="00D33C66" w:rsidRDefault="008E0192" w:rsidP="00FF36B9">
      <w:pPr>
        <w:pStyle w:val="KIT-extrainfo"/>
      </w:pPr>
      <w:r w:rsidRPr="00D33C66">
        <w:rPr>
          <w:rStyle w:val="Hyperlink"/>
          <w:lang w:val="it-IT"/>
        </w:rPr>
        <w:t>www.abcam.cn/contactus</w:t>
      </w:r>
      <w:r w:rsidRPr="00D33C66">
        <w:t xml:space="preserve"> (China) </w:t>
      </w:r>
    </w:p>
    <w:p w14:paraId="1667A7EB" w14:textId="1D65444C" w:rsidR="00E944E2" w:rsidRPr="00D33C66" w:rsidRDefault="008E0192" w:rsidP="00FF36B9">
      <w:pPr>
        <w:pStyle w:val="KIT-extrainfo"/>
        <w:rPr>
          <w:rFonts w:eastAsia="Century Gothic" w:cs="Century Gothic"/>
          <w:color w:val="000000" w:themeColor="text1"/>
          <w:sz w:val="14"/>
          <w:szCs w:val="14"/>
        </w:rPr>
      </w:pPr>
      <w:r w:rsidRPr="00D33C66">
        <w:rPr>
          <w:rStyle w:val="Hyperlink"/>
          <w:lang w:val="fr-FR"/>
        </w:rPr>
        <w:t>www.abcam.co.jp/contactus</w:t>
      </w:r>
      <w:r w:rsidRPr="00D33C66">
        <w:t xml:space="preserve"> (Japan</w:t>
      </w:r>
      <w:r w:rsidR="00512E7A" w:rsidRPr="00D33C66">
        <w:t>)</w:t>
      </w:r>
    </w:p>
    <w:sectPr w:rsidR="00E944E2" w:rsidRPr="00D33C66" w:rsidSect="00A261EB">
      <w:footerReference w:type="default" r:id="rId10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48003" w14:textId="77777777" w:rsidR="00C40D3E" w:rsidRDefault="00C40D3E" w:rsidP="00512E7A">
      <w:pPr>
        <w:spacing w:after="0" w:line="240" w:lineRule="auto"/>
      </w:pPr>
      <w:r>
        <w:separator/>
      </w:r>
    </w:p>
  </w:endnote>
  <w:endnote w:type="continuationSeparator" w:id="0">
    <w:p w14:paraId="755822E1" w14:textId="77777777" w:rsidR="00C40D3E" w:rsidRDefault="00C40D3E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A4F1" w14:textId="1B4CD6F1" w:rsidR="00512E7A" w:rsidRPr="008E0192" w:rsidRDefault="00512E7A" w:rsidP="00FF36B9">
    <w:pPr>
      <w:pStyle w:val="KIT-extrainfo"/>
    </w:pPr>
    <w:r>
      <w:t xml:space="preserve">Version 1, Last updated </w:t>
    </w:r>
    <w:r w:rsidR="005C7860">
      <w:t>Thursday</w:t>
    </w:r>
    <w:r>
      <w:t xml:space="preserve">, </w:t>
    </w:r>
    <w:r w:rsidR="00FF36B9">
      <w:t>August 5</w:t>
    </w:r>
    <w:r>
      <w:t>, 2021</w:t>
    </w:r>
  </w:p>
  <w:p w14:paraId="0CC69A73" w14:textId="77777777" w:rsidR="00512E7A" w:rsidRPr="00FF36B9" w:rsidRDefault="00512E7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CB47E" w14:textId="77777777" w:rsidR="00C40D3E" w:rsidRDefault="00C40D3E" w:rsidP="00512E7A">
      <w:pPr>
        <w:spacing w:after="0" w:line="240" w:lineRule="auto"/>
      </w:pPr>
      <w:r>
        <w:separator/>
      </w:r>
    </w:p>
  </w:footnote>
  <w:footnote w:type="continuationSeparator" w:id="0">
    <w:p w14:paraId="045D712E" w14:textId="77777777" w:rsidR="00C40D3E" w:rsidRDefault="00C40D3E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1407F"/>
    <w:multiLevelType w:val="hybridMultilevel"/>
    <w:tmpl w:val="02A82E06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D3A"/>
    <w:multiLevelType w:val="hybridMultilevel"/>
    <w:tmpl w:val="27BA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7F3"/>
    <w:multiLevelType w:val="hybridMultilevel"/>
    <w:tmpl w:val="684C9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E97395"/>
    <w:multiLevelType w:val="hybridMultilevel"/>
    <w:tmpl w:val="F884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31CEA"/>
    <w:multiLevelType w:val="hybridMultilevel"/>
    <w:tmpl w:val="684C9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302D1"/>
    <w:multiLevelType w:val="hybridMultilevel"/>
    <w:tmpl w:val="9BDCD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D67F9"/>
    <w:multiLevelType w:val="hybridMultilevel"/>
    <w:tmpl w:val="A49EF53C"/>
    <w:lvl w:ilvl="0" w:tplc="9DFC38C0">
      <w:start w:val="1"/>
      <w:numFmt w:val="decimal"/>
      <w:pStyle w:val="KIT-extrainf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13397"/>
    <w:multiLevelType w:val="hybridMultilevel"/>
    <w:tmpl w:val="6074D5BA"/>
    <w:lvl w:ilvl="0" w:tplc="C08653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524E0"/>
    <w:multiLevelType w:val="hybridMultilevel"/>
    <w:tmpl w:val="CE3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F2598"/>
    <w:multiLevelType w:val="hybridMultilevel"/>
    <w:tmpl w:val="B612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322D0"/>
    <w:multiLevelType w:val="hybridMultilevel"/>
    <w:tmpl w:val="5EB82CE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29"/>
  </w:num>
  <w:num w:numId="4">
    <w:abstractNumId w:val="23"/>
  </w:num>
  <w:num w:numId="5">
    <w:abstractNumId w:val="38"/>
  </w:num>
  <w:num w:numId="6">
    <w:abstractNumId w:val="16"/>
  </w:num>
  <w:num w:numId="7">
    <w:abstractNumId w:val="13"/>
  </w:num>
  <w:num w:numId="8">
    <w:abstractNumId w:val="14"/>
  </w:num>
  <w:num w:numId="9">
    <w:abstractNumId w:val="6"/>
  </w:num>
  <w:num w:numId="10">
    <w:abstractNumId w:val="1"/>
  </w:num>
  <w:num w:numId="11">
    <w:abstractNumId w:val="17"/>
  </w:num>
  <w:num w:numId="12">
    <w:abstractNumId w:val="11"/>
  </w:num>
  <w:num w:numId="13">
    <w:abstractNumId w:val="4"/>
  </w:num>
  <w:num w:numId="14">
    <w:abstractNumId w:val="18"/>
  </w:num>
  <w:num w:numId="15">
    <w:abstractNumId w:val="24"/>
  </w:num>
  <w:num w:numId="16">
    <w:abstractNumId w:val="26"/>
  </w:num>
  <w:num w:numId="17">
    <w:abstractNumId w:val="39"/>
  </w:num>
  <w:num w:numId="18">
    <w:abstractNumId w:val="35"/>
  </w:num>
  <w:num w:numId="19">
    <w:abstractNumId w:val="27"/>
  </w:num>
  <w:num w:numId="20">
    <w:abstractNumId w:val="31"/>
  </w:num>
  <w:num w:numId="21">
    <w:abstractNumId w:val="5"/>
  </w:num>
  <w:num w:numId="22">
    <w:abstractNumId w:val="36"/>
  </w:num>
  <w:num w:numId="23">
    <w:abstractNumId w:val="0"/>
  </w:num>
  <w:num w:numId="24">
    <w:abstractNumId w:val="3"/>
  </w:num>
  <w:num w:numId="25">
    <w:abstractNumId w:val="28"/>
  </w:num>
  <w:num w:numId="26">
    <w:abstractNumId w:val="28"/>
    <w:lvlOverride w:ilvl="0">
      <w:startOverride w:val="1"/>
    </w:lvlOverride>
  </w:num>
  <w:num w:numId="27">
    <w:abstractNumId w:val="12"/>
  </w:num>
  <w:num w:numId="28">
    <w:abstractNumId w:val="32"/>
  </w:num>
  <w:num w:numId="29">
    <w:abstractNumId w:val="37"/>
  </w:num>
  <w:num w:numId="30">
    <w:abstractNumId w:val="2"/>
  </w:num>
  <w:num w:numId="31">
    <w:abstractNumId w:val="15"/>
  </w:num>
  <w:num w:numId="32">
    <w:abstractNumId w:val="34"/>
  </w:num>
  <w:num w:numId="33">
    <w:abstractNumId w:val="40"/>
  </w:num>
  <w:num w:numId="34">
    <w:abstractNumId w:val="10"/>
  </w:num>
  <w:num w:numId="35">
    <w:abstractNumId w:val="7"/>
  </w:num>
  <w:num w:numId="36">
    <w:abstractNumId w:val="8"/>
  </w:num>
  <w:num w:numId="37">
    <w:abstractNumId w:val="19"/>
  </w:num>
  <w:num w:numId="38">
    <w:abstractNumId w:val="9"/>
  </w:num>
  <w:num w:numId="39">
    <w:abstractNumId w:val="21"/>
  </w:num>
  <w:num w:numId="40">
    <w:abstractNumId w:val="20"/>
  </w:num>
  <w:num w:numId="41">
    <w:abstractNumId w:val="2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B1BAB"/>
    <w:rsid w:val="000C392E"/>
    <w:rsid w:val="001155CD"/>
    <w:rsid w:val="00187E22"/>
    <w:rsid w:val="001E5736"/>
    <w:rsid w:val="002269A3"/>
    <w:rsid w:val="003A4CD7"/>
    <w:rsid w:val="003C2ED8"/>
    <w:rsid w:val="0044395D"/>
    <w:rsid w:val="004B1C50"/>
    <w:rsid w:val="004C7613"/>
    <w:rsid w:val="004E4424"/>
    <w:rsid w:val="00501E06"/>
    <w:rsid w:val="00512E7A"/>
    <w:rsid w:val="00525057"/>
    <w:rsid w:val="00552285"/>
    <w:rsid w:val="005C2262"/>
    <w:rsid w:val="005C7860"/>
    <w:rsid w:val="005E26D2"/>
    <w:rsid w:val="006534B5"/>
    <w:rsid w:val="006A0383"/>
    <w:rsid w:val="006F41E6"/>
    <w:rsid w:val="00703A97"/>
    <w:rsid w:val="00704F23"/>
    <w:rsid w:val="00796BA8"/>
    <w:rsid w:val="007A397A"/>
    <w:rsid w:val="0082366E"/>
    <w:rsid w:val="00846144"/>
    <w:rsid w:val="008B7A4E"/>
    <w:rsid w:val="008C47F4"/>
    <w:rsid w:val="008E0192"/>
    <w:rsid w:val="008F7F4A"/>
    <w:rsid w:val="00945A9C"/>
    <w:rsid w:val="0098363E"/>
    <w:rsid w:val="009F0C08"/>
    <w:rsid w:val="00A261EB"/>
    <w:rsid w:val="00A5783B"/>
    <w:rsid w:val="00A8572F"/>
    <w:rsid w:val="00B5263F"/>
    <w:rsid w:val="00BA7D21"/>
    <w:rsid w:val="00BD0B3E"/>
    <w:rsid w:val="00BE07A7"/>
    <w:rsid w:val="00BF0E41"/>
    <w:rsid w:val="00BF452A"/>
    <w:rsid w:val="00C04BB0"/>
    <w:rsid w:val="00C16ED8"/>
    <w:rsid w:val="00C40D3E"/>
    <w:rsid w:val="00CE36E4"/>
    <w:rsid w:val="00D33C66"/>
    <w:rsid w:val="00D514C5"/>
    <w:rsid w:val="00D626A8"/>
    <w:rsid w:val="00DA0B55"/>
    <w:rsid w:val="00E033F9"/>
    <w:rsid w:val="00E03551"/>
    <w:rsid w:val="00E22936"/>
    <w:rsid w:val="00E81ABE"/>
    <w:rsid w:val="00E905FF"/>
    <w:rsid w:val="00E944E2"/>
    <w:rsid w:val="00EA59F7"/>
    <w:rsid w:val="00EE0FBA"/>
    <w:rsid w:val="00F2493A"/>
    <w:rsid w:val="00F539E5"/>
    <w:rsid w:val="00F93F14"/>
    <w:rsid w:val="00FC2765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FF36B9"/>
    <w:pPr>
      <w:numPr>
        <w:numId w:val="42"/>
      </w:num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FF36B9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2845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om/contact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Mhairi Williamson</cp:lastModifiedBy>
  <cp:revision>2</cp:revision>
  <dcterms:created xsi:type="dcterms:W3CDTF">2021-08-05T16:48:00Z</dcterms:created>
  <dcterms:modified xsi:type="dcterms:W3CDTF">2021-08-05T16:48:00Z</dcterms:modified>
</cp:coreProperties>
</file>