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BBB8" w14:textId="1C877B57" w:rsidR="0074256A" w:rsidRPr="003603F2" w:rsidRDefault="007B1648" w:rsidP="008F5845">
      <w:pPr>
        <w:pStyle w:val="Title"/>
        <w:spacing w:after="0"/>
        <w:jc w:val="center"/>
        <w:rPr>
          <w:rFonts w:ascii="Century Gothic" w:hAnsi="Century Gothic"/>
          <w:b/>
          <w:color w:val="auto"/>
          <w:sz w:val="20"/>
          <w:szCs w:val="20"/>
        </w:rPr>
      </w:pPr>
      <w:bookmarkStart w:id="0" w:name="_Hlk56414143"/>
      <w:r w:rsidRPr="003603F2">
        <w:rPr>
          <w:rFonts w:ascii="Century Gothic" w:hAnsi="Century Gothic"/>
          <w:b/>
          <w:color w:val="auto"/>
          <w:sz w:val="20"/>
          <w:szCs w:val="20"/>
        </w:rPr>
        <w:t>a</w:t>
      </w:r>
      <w:r w:rsidR="00296295" w:rsidRPr="003603F2">
        <w:rPr>
          <w:rFonts w:ascii="Century Gothic" w:hAnsi="Century Gothic"/>
          <w:b/>
          <w:color w:val="auto"/>
          <w:sz w:val="20"/>
          <w:szCs w:val="20"/>
        </w:rPr>
        <w:t>b</w:t>
      </w:r>
      <w:r w:rsidRPr="003603F2">
        <w:rPr>
          <w:rFonts w:ascii="Century Gothic" w:hAnsi="Century Gothic"/>
          <w:b/>
          <w:color w:val="auto"/>
          <w:sz w:val="20"/>
          <w:szCs w:val="20"/>
        </w:rPr>
        <w:t>65330</w:t>
      </w:r>
      <w:r w:rsidR="00296295" w:rsidRPr="003603F2">
        <w:rPr>
          <w:rFonts w:ascii="Century Gothic" w:hAnsi="Century Gothic"/>
          <w:b/>
          <w:color w:val="auto"/>
          <w:sz w:val="20"/>
          <w:szCs w:val="20"/>
        </w:rPr>
        <w:t xml:space="preserve"> </w:t>
      </w:r>
      <w:r w:rsidRPr="003603F2">
        <w:rPr>
          <w:rFonts w:ascii="Century Gothic" w:hAnsi="Century Gothic"/>
          <w:b/>
          <w:color w:val="auto"/>
          <w:sz w:val="20"/>
          <w:szCs w:val="20"/>
        </w:rPr>
        <w:t>L-Lactate Assay Kit (Colorimetric/Fluorometric)</w:t>
      </w:r>
    </w:p>
    <w:p w14:paraId="086936EB" w14:textId="5F2E20D5" w:rsidR="00B9677F" w:rsidRDefault="007B1648" w:rsidP="008F5845">
      <w:pPr>
        <w:spacing w:before="0" w:after="0"/>
        <w:jc w:val="center"/>
        <w:rPr>
          <w:sz w:val="16"/>
          <w:szCs w:val="16"/>
        </w:rPr>
      </w:pPr>
      <w:r w:rsidRPr="007B1648">
        <w:rPr>
          <w:rFonts w:cs="Arial"/>
          <w:bCs/>
          <w:sz w:val="16"/>
          <w:szCs w:val="16"/>
        </w:rPr>
        <w:t>For the rapid, sensitive and accurate measurement of Lactate levels in various samples</w:t>
      </w:r>
      <w:r w:rsidR="00A0325E" w:rsidRPr="008F5845">
        <w:rPr>
          <w:sz w:val="16"/>
          <w:szCs w:val="16"/>
        </w:rPr>
        <w:t>.</w:t>
      </w:r>
    </w:p>
    <w:p w14:paraId="6494BD63" w14:textId="77777777" w:rsidR="008F5845" w:rsidRPr="008F5845" w:rsidRDefault="008F5845" w:rsidP="008F5845">
      <w:pPr>
        <w:spacing w:before="0" w:after="0"/>
        <w:jc w:val="center"/>
        <w:rPr>
          <w:rFonts w:cs="Arial"/>
          <w:sz w:val="16"/>
          <w:szCs w:val="16"/>
          <w:lang w:val="en-GB"/>
        </w:rPr>
      </w:pPr>
    </w:p>
    <w:p w14:paraId="2878528F" w14:textId="0A76359D" w:rsidR="009D72B1" w:rsidRPr="008F5845" w:rsidRDefault="009D72B1" w:rsidP="008F5845">
      <w:pPr>
        <w:pStyle w:val="1AbcamStandardtext"/>
        <w:spacing w:before="0" w:after="0"/>
        <w:rPr>
          <w:b/>
          <w:bCs/>
          <w:sz w:val="16"/>
          <w:szCs w:val="16"/>
          <w:u w:val="single"/>
        </w:rPr>
      </w:pPr>
      <w:r w:rsidRPr="008F5845">
        <w:rPr>
          <w:b/>
          <w:bCs/>
          <w:sz w:val="16"/>
          <w:szCs w:val="16"/>
        </w:rPr>
        <w:t xml:space="preserve">For overview, typical data and additional information please visit: </w:t>
      </w:r>
      <w:r w:rsidR="00A0325E" w:rsidRPr="008F5845">
        <w:rPr>
          <w:b/>
          <w:bCs/>
          <w:sz w:val="16"/>
          <w:szCs w:val="16"/>
        </w:rPr>
        <w:t>www.abcam.com/ab</w:t>
      </w:r>
      <w:r w:rsidR="007B1648">
        <w:rPr>
          <w:b/>
          <w:bCs/>
          <w:sz w:val="16"/>
          <w:szCs w:val="16"/>
        </w:rPr>
        <w:t>65330</w:t>
      </w:r>
    </w:p>
    <w:p w14:paraId="18C65566" w14:textId="16E78368" w:rsidR="00A0325E" w:rsidRDefault="009D72B1" w:rsidP="008F5845">
      <w:pPr>
        <w:pStyle w:val="1AbcamStandardtext"/>
        <w:spacing w:before="0" w:after="0"/>
        <w:rPr>
          <w:sz w:val="16"/>
          <w:szCs w:val="16"/>
        </w:rPr>
      </w:pPr>
      <w:r w:rsidRPr="008F5845">
        <w:rPr>
          <w:sz w:val="16"/>
          <w:szCs w:val="16"/>
        </w:rPr>
        <w:t>(use abcam.cn/</w:t>
      </w:r>
      <w:r w:rsidR="00C562E5" w:rsidRPr="008F5845">
        <w:rPr>
          <w:sz w:val="16"/>
          <w:szCs w:val="16"/>
        </w:rPr>
        <w:t>ab</w:t>
      </w:r>
      <w:r w:rsidR="007B1648">
        <w:rPr>
          <w:sz w:val="16"/>
          <w:szCs w:val="16"/>
        </w:rPr>
        <w:t>65330</w:t>
      </w:r>
      <w:r w:rsidR="00A57E11" w:rsidRPr="008F5845">
        <w:rPr>
          <w:sz w:val="16"/>
          <w:szCs w:val="16"/>
        </w:rPr>
        <w:t xml:space="preserve"> </w:t>
      </w:r>
      <w:r w:rsidRPr="008F5845">
        <w:rPr>
          <w:sz w:val="16"/>
          <w:szCs w:val="16"/>
        </w:rPr>
        <w:t>for China, or abcam.co.jp/</w:t>
      </w:r>
      <w:r w:rsidR="00C562E5" w:rsidRPr="008F5845">
        <w:rPr>
          <w:sz w:val="16"/>
          <w:szCs w:val="16"/>
        </w:rPr>
        <w:t>ab</w:t>
      </w:r>
      <w:r w:rsidR="007B1648">
        <w:rPr>
          <w:sz w:val="16"/>
          <w:szCs w:val="16"/>
        </w:rPr>
        <w:t>65330</w:t>
      </w:r>
      <w:r w:rsidR="003D3BEE" w:rsidRPr="008F5845">
        <w:rPr>
          <w:sz w:val="16"/>
          <w:szCs w:val="16"/>
        </w:rPr>
        <w:t xml:space="preserve"> </w:t>
      </w:r>
      <w:r w:rsidRPr="008F5845">
        <w:rPr>
          <w:sz w:val="16"/>
          <w:szCs w:val="16"/>
        </w:rPr>
        <w:t>for Japan)</w:t>
      </w:r>
    </w:p>
    <w:p w14:paraId="4AA8E7C0" w14:textId="4CCF88B7" w:rsidR="00E46F8C" w:rsidRDefault="00E46F8C" w:rsidP="008F5845">
      <w:pPr>
        <w:pStyle w:val="1AbcamStandardtext"/>
        <w:spacing w:before="0" w:after="0"/>
        <w:rPr>
          <w:sz w:val="16"/>
          <w:szCs w:val="16"/>
        </w:rPr>
      </w:pPr>
    </w:p>
    <w:p w14:paraId="50BCB7C2" w14:textId="77322CD2" w:rsidR="00E46F8C" w:rsidRPr="008F5845" w:rsidRDefault="00E46F8C" w:rsidP="008F5845">
      <w:pPr>
        <w:pStyle w:val="1AbcamStandardtext"/>
        <w:spacing w:before="0" w:after="0"/>
        <w:rPr>
          <w:sz w:val="16"/>
          <w:szCs w:val="16"/>
        </w:rPr>
      </w:pPr>
      <w:r w:rsidRPr="00E46F8C">
        <w:rPr>
          <w:sz w:val="16"/>
          <w:szCs w:val="16"/>
        </w:rPr>
        <w:t xml:space="preserve">PLEASE NOTE: With the acquisition of </w:t>
      </w:r>
      <w:proofErr w:type="spellStart"/>
      <w:r w:rsidRPr="00E46F8C">
        <w:rPr>
          <w:sz w:val="16"/>
          <w:szCs w:val="16"/>
        </w:rPr>
        <w:t>BioVision</w:t>
      </w:r>
      <w:proofErr w:type="spellEnd"/>
      <w:r w:rsidRPr="00E46F8C">
        <w:rPr>
          <w:sz w:val="16"/>
          <w:szCs w:val="16"/>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582DD4E7" w14:textId="112B6BF9" w:rsidR="00421B11" w:rsidRPr="008F5845" w:rsidRDefault="00421B11" w:rsidP="008F5845">
      <w:pPr>
        <w:pStyle w:val="1AbcamStandardtext"/>
        <w:spacing w:before="0" w:after="0"/>
        <w:rPr>
          <w:sz w:val="16"/>
          <w:szCs w:val="16"/>
        </w:rPr>
      </w:pPr>
    </w:p>
    <w:p w14:paraId="27AE6DD0" w14:textId="53070408" w:rsidR="00B9677F" w:rsidRDefault="00A0325E" w:rsidP="008F5845">
      <w:pPr>
        <w:pStyle w:val="11Abcam"/>
        <w:numPr>
          <w:ilvl w:val="0"/>
          <w:numId w:val="0"/>
        </w:numPr>
        <w:spacing w:before="0" w:after="0"/>
        <w:rPr>
          <w:b/>
          <w:bCs/>
          <w:sz w:val="16"/>
          <w:szCs w:val="16"/>
          <w:u w:val="single"/>
        </w:rPr>
      </w:pPr>
      <w:r w:rsidRPr="008F5845">
        <w:rPr>
          <w:b/>
          <w:bCs/>
          <w:sz w:val="16"/>
          <w:szCs w:val="16"/>
          <w:u w:val="single"/>
        </w:rPr>
        <w:t>Materials Supplied and Storage</w:t>
      </w:r>
    </w:p>
    <w:p w14:paraId="101B644F" w14:textId="77777777" w:rsidR="007B1648" w:rsidRPr="007B1648" w:rsidRDefault="007B1648" w:rsidP="007B1648">
      <w:pPr>
        <w:spacing w:before="0" w:after="0"/>
        <w:rPr>
          <w:sz w:val="16"/>
          <w:szCs w:val="16"/>
          <w:lang w:val="en-GB"/>
        </w:rPr>
      </w:pPr>
      <w:r w:rsidRPr="007B1648">
        <w:rPr>
          <w:sz w:val="16"/>
          <w:szCs w:val="16"/>
          <w:lang w:val="en-GB"/>
        </w:rPr>
        <w:t>Store kit at -20ºC in the dark immediately upon receipt. Kit has a storage time of 1 year from receipt, providing components have not been reconstituted.</w:t>
      </w:r>
    </w:p>
    <w:p w14:paraId="397782D2" w14:textId="6E50063F" w:rsidR="00296295" w:rsidRDefault="007B1648" w:rsidP="007B1648">
      <w:pPr>
        <w:spacing w:before="0" w:after="0"/>
        <w:rPr>
          <w:sz w:val="16"/>
          <w:szCs w:val="16"/>
          <w:lang w:val="en-GB"/>
        </w:rPr>
      </w:pPr>
      <w:r w:rsidRPr="007B1648">
        <w:rPr>
          <w:sz w:val="16"/>
          <w:szCs w:val="16"/>
          <w:lang w:val="en-GB"/>
        </w:rPr>
        <w:t>Aliquot components in working volumes before storing at the recommended temperature. Reconstituted components are stable for 2 months.</w:t>
      </w:r>
    </w:p>
    <w:p w14:paraId="0F0C9F04" w14:textId="651BAAB9" w:rsidR="007B1648" w:rsidRDefault="007B1648" w:rsidP="007B1648">
      <w:pPr>
        <w:spacing w:before="0" w:after="0"/>
        <w:rPr>
          <w:iCs/>
          <w:sz w:val="16"/>
          <w:szCs w:val="16"/>
        </w:rPr>
      </w:pPr>
    </w:p>
    <w:tbl>
      <w:tblPr>
        <w:tblW w:w="6577" w:type="dxa"/>
        <w:jc w:val="center"/>
        <w:tblLook w:val="04A0" w:firstRow="1" w:lastRow="0" w:firstColumn="1" w:lastColumn="0" w:noHBand="0" w:noVBand="1"/>
      </w:tblPr>
      <w:tblGrid>
        <w:gridCol w:w="3059"/>
        <w:gridCol w:w="964"/>
        <w:gridCol w:w="1277"/>
        <w:gridCol w:w="1277"/>
      </w:tblGrid>
      <w:tr w:rsidR="007B1648" w:rsidRPr="007B1648" w14:paraId="758E4643" w14:textId="77777777" w:rsidTr="007B1648">
        <w:trPr>
          <w:trHeight w:val="289"/>
          <w:jc w:val="center"/>
        </w:trPr>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AEE87" w14:textId="77777777" w:rsidR="007B1648" w:rsidRPr="007B1648" w:rsidRDefault="007B1648" w:rsidP="007B1648">
            <w:pPr>
              <w:spacing w:before="0" w:after="0"/>
              <w:rPr>
                <w:b/>
                <w:bCs/>
                <w:iCs/>
                <w:sz w:val="16"/>
                <w:szCs w:val="16"/>
              </w:rPr>
            </w:pPr>
            <w:r w:rsidRPr="007B1648">
              <w:rPr>
                <w:b/>
                <w:bCs/>
                <w:iCs/>
                <w:sz w:val="16"/>
                <w:szCs w:val="16"/>
              </w:rPr>
              <w:t>Item</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052DABDB" w14:textId="77777777" w:rsidR="007B1648" w:rsidRPr="007B1648" w:rsidRDefault="007B1648" w:rsidP="007B1648">
            <w:pPr>
              <w:spacing w:before="0" w:after="0"/>
              <w:rPr>
                <w:b/>
                <w:bCs/>
                <w:iCs/>
                <w:sz w:val="16"/>
                <w:szCs w:val="16"/>
              </w:rPr>
            </w:pPr>
            <w:r w:rsidRPr="007B1648">
              <w:rPr>
                <w:b/>
                <w:bCs/>
                <w:iCs/>
                <w:sz w:val="16"/>
                <w:szCs w:val="16"/>
              </w:rPr>
              <w:t>Amount</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42698F2" w14:textId="77777777" w:rsidR="007B1648" w:rsidRPr="007B1648" w:rsidRDefault="007B1648" w:rsidP="007B1648">
            <w:pPr>
              <w:spacing w:before="0" w:after="0"/>
              <w:rPr>
                <w:b/>
                <w:bCs/>
                <w:iCs/>
                <w:sz w:val="16"/>
                <w:szCs w:val="16"/>
              </w:rPr>
            </w:pPr>
            <w:r w:rsidRPr="007B1648">
              <w:rPr>
                <w:b/>
                <w:bCs/>
                <w:iCs/>
                <w:sz w:val="16"/>
                <w:szCs w:val="16"/>
              </w:rPr>
              <w:t>Storage</w:t>
            </w:r>
          </w:p>
          <w:p w14:paraId="17C65216" w14:textId="77777777" w:rsidR="007B1648" w:rsidRPr="007B1648" w:rsidRDefault="007B1648" w:rsidP="007B1648">
            <w:pPr>
              <w:spacing w:before="0" w:after="0"/>
              <w:rPr>
                <w:b/>
                <w:bCs/>
                <w:iCs/>
                <w:sz w:val="16"/>
                <w:szCs w:val="16"/>
              </w:rPr>
            </w:pPr>
            <w:r w:rsidRPr="007B1648">
              <w:rPr>
                <w:b/>
                <w:bCs/>
                <w:iCs/>
                <w:sz w:val="16"/>
                <w:szCs w:val="16"/>
              </w:rPr>
              <w:t>Condition</w:t>
            </w:r>
          </w:p>
          <w:p w14:paraId="2E47C520" w14:textId="77777777" w:rsidR="007B1648" w:rsidRPr="007B1648" w:rsidRDefault="007B1648" w:rsidP="007B1648">
            <w:pPr>
              <w:spacing w:before="0" w:after="0"/>
              <w:rPr>
                <w:b/>
                <w:bCs/>
                <w:iCs/>
                <w:sz w:val="16"/>
                <w:szCs w:val="16"/>
              </w:rPr>
            </w:pPr>
            <w:r w:rsidRPr="007B1648">
              <w:rPr>
                <w:b/>
                <w:bCs/>
                <w:iCs/>
                <w:sz w:val="16"/>
                <w:szCs w:val="16"/>
              </w:rPr>
              <w:t>(Before Preparation)</w:t>
            </w:r>
          </w:p>
        </w:tc>
        <w:tc>
          <w:tcPr>
            <w:tcW w:w="1277" w:type="dxa"/>
            <w:tcBorders>
              <w:top w:val="single" w:sz="4" w:space="0" w:color="auto"/>
              <w:left w:val="nil"/>
              <w:bottom w:val="single" w:sz="4" w:space="0" w:color="auto"/>
              <w:right w:val="single" w:sz="4" w:space="0" w:color="auto"/>
            </w:tcBorders>
            <w:shd w:val="clear" w:color="auto" w:fill="auto"/>
            <w:vAlign w:val="center"/>
          </w:tcPr>
          <w:p w14:paraId="126219C5" w14:textId="77777777" w:rsidR="007B1648" w:rsidRPr="007B1648" w:rsidRDefault="007B1648" w:rsidP="007B1648">
            <w:pPr>
              <w:spacing w:before="0" w:after="0"/>
              <w:rPr>
                <w:b/>
                <w:bCs/>
                <w:iCs/>
                <w:sz w:val="16"/>
                <w:szCs w:val="16"/>
              </w:rPr>
            </w:pPr>
            <w:r w:rsidRPr="007B1648">
              <w:rPr>
                <w:b/>
                <w:bCs/>
                <w:iCs/>
                <w:sz w:val="16"/>
                <w:szCs w:val="16"/>
              </w:rPr>
              <w:t>Storage</w:t>
            </w:r>
          </w:p>
          <w:p w14:paraId="5883566F" w14:textId="77777777" w:rsidR="007B1648" w:rsidRPr="007B1648" w:rsidRDefault="007B1648" w:rsidP="007B1648">
            <w:pPr>
              <w:spacing w:before="0" w:after="0"/>
              <w:rPr>
                <w:b/>
                <w:bCs/>
                <w:iCs/>
                <w:sz w:val="16"/>
                <w:szCs w:val="16"/>
              </w:rPr>
            </w:pPr>
            <w:r w:rsidRPr="007B1648">
              <w:rPr>
                <w:b/>
                <w:bCs/>
                <w:iCs/>
                <w:sz w:val="16"/>
                <w:szCs w:val="16"/>
              </w:rPr>
              <w:t>Condition</w:t>
            </w:r>
          </w:p>
          <w:p w14:paraId="4197BF2F" w14:textId="77777777" w:rsidR="007B1648" w:rsidRPr="007B1648" w:rsidRDefault="007B1648" w:rsidP="007B1648">
            <w:pPr>
              <w:spacing w:before="0" w:after="0"/>
              <w:rPr>
                <w:b/>
                <w:bCs/>
                <w:iCs/>
                <w:sz w:val="16"/>
                <w:szCs w:val="16"/>
              </w:rPr>
            </w:pPr>
            <w:r w:rsidRPr="007B1648">
              <w:rPr>
                <w:b/>
                <w:bCs/>
                <w:iCs/>
                <w:sz w:val="16"/>
                <w:szCs w:val="16"/>
              </w:rPr>
              <w:t>(After Preparation)</w:t>
            </w:r>
          </w:p>
        </w:tc>
      </w:tr>
      <w:tr w:rsidR="007B1648" w:rsidRPr="007B1648" w14:paraId="2F6FEA75" w14:textId="77777777" w:rsidTr="007B1648">
        <w:trPr>
          <w:trHeight w:val="289"/>
          <w:jc w:val="center"/>
        </w:trPr>
        <w:tc>
          <w:tcPr>
            <w:tcW w:w="3059" w:type="dxa"/>
            <w:tcBorders>
              <w:top w:val="nil"/>
              <w:left w:val="single" w:sz="4" w:space="0" w:color="auto"/>
              <w:bottom w:val="single" w:sz="4" w:space="0" w:color="auto"/>
              <w:right w:val="single" w:sz="4" w:space="0" w:color="auto"/>
            </w:tcBorders>
            <w:shd w:val="clear" w:color="auto" w:fill="auto"/>
            <w:vAlign w:val="center"/>
          </w:tcPr>
          <w:p w14:paraId="6E2A7086" w14:textId="6BDE7328" w:rsidR="007B1648" w:rsidRPr="007B1648" w:rsidRDefault="00E46F8C" w:rsidP="007B1648">
            <w:pPr>
              <w:spacing w:before="0" w:after="0"/>
              <w:rPr>
                <w:iCs/>
                <w:sz w:val="16"/>
                <w:szCs w:val="16"/>
              </w:rPr>
            </w:pPr>
            <w:r w:rsidRPr="00E46F8C">
              <w:rPr>
                <w:iCs/>
                <w:sz w:val="16"/>
                <w:szCs w:val="16"/>
              </w:rPr>
              <w:t>Assay Buffer II</w:t>
            </w:r>
            <w:r>
              <w:rPr>
                <w:iCs/>
                <w:sz w:val="16"/>
                <w:szCs w:val="16"/>
              </w:rPr>
              <w:t>/</w:t>
            </w:r>
            <w:r w:rsidR="007B1648" w:rsidRPr="007B1648">
              <w:rPr>
                <w:iCs/>
                <w:sz w:val="16"/>
                <w:szCs w:val="16"/>
              </w:rPr>
              <w:t>Lactate Assay Buffer</w:t>
            </w:r>
          </w:p>
        </w:tc>
        <w:tc>
          <w:tcPr>
            <w:tcW w:w="964" w:type="dxa"/>
            <w:tcBorders>
              <w:top w:val="nil"/>
              <w:left w:val="nil"/>
              <w:bottom w:val="single" w:sz="4" w:space="0" w:color="auto"/>
              <w:right w:val="single" w:sz="4" w:space="0" w:color="auto"/>
            </w:tcBorders>
            <w:shd w:val="clear" w:color="auto" w:fill="auto"/>
            <w:noWrap/>
            <w:vAlign w:val="center"/>
          </w:tcPr>
          <w:p w14:paraId="6D2BAC01" w14:textId="77777777" w:rsidR="007B1648" w:rsidRPr="007B1648" w:rsidRDefault="007B1648" w:rsidP="007B1648">
            <w:pPr>
              <w:spacing w:before="0" w:after="0"/>
              <w:rPr>
                <w:iCs/>
                <w:sz w:val="16"/>
                <w:szCs w:val="16"/>
              </w:rPr>
            </w:pPr>
            <w:r w:rsidRPr="007B1648">
              <w:rPr>
                <w:iCs/>
                <w:sz w:val="16"/>
                <w:szCs w:val="16"/>
              </w:rPr>
              <w:t>25 mL</w:t>
            </w:r>
          </w:p>
        </w:tc>
        <w:tc>
          <w:tcPr>
            <w:tcW w:w="1277" w:type="dxa"/>
            <w:tcBorders>
              <w:top w:val="nil"/>
              <w:left w:val="nil"/>
              <w:bottom w:val="single" w:sz="4" w:space="0" w:color="auto"/>
              <w:right w:val="single" w:sz="4" w:space="0" w:color="auto"/>
            </w:tcBorders>
            <w:shd w:val="clear" w:color="auto" w:fill="auto"/>
            <w:noWrap/>
            <w:vAlign w:val="center"/>
          </w:tcPr>
          <w:p w14:paraId="3F728EC9" w14:textId="77777777" w:rsidR="007B1648" w:rsidRPr="007B1648" w:rsidRDefault="007B1648" w:rsidP="007B1648">
            <w:pPr>
              <w:spacing w:before="0" w:after="0"/>
              <w:rPr>
                <w:iCs/>
                <w:sz w:val="16"/>
                <w:szCs w:val="16"/>
              </w:rPr>
            </w:pPr>
            <w:r w:rsidRPr="007B1648">
              <w:rPr>
                <w:iCs/>
                <w:sz w:val="16"/>
                <w:szCs w:val="16"/>
              </w:rPr>
              <w:t>-20°C</w:t>
            </w:r>
          </w:p>
        </w:tc>
        <w:tc>
          <w:tcPr>
            <w:tcW w:w="1277" w:type="dxa"/>
            <w:tcBorders>
              <w:top w:val="nil"/>
              <w:left w:val="nil"/>
              <w:bottom w:val="single" w:sz="4" w:space="0" w:color="auto"/>
              <w:right w:val="single" w:sz="4" w:space="0" w:color="auto"/>
            </w:tcBorders>
            <w:shd w:val="clear" w:color="auto" w:fill="auto"/>
            <w:vAlign w:val="center"/>
          </w:tcPr>
          <w:p w14:paraId="28DC8891" w14:textId="77777777" w:rsidR="007B1648" w:rsidRPr="007B1648" w:rsidRDefault="007B1648" w:rsidP="007B1648">
            <w:pPr>
              <w:spacing w:before="0" w:after="0"/>
              <w:rPr>
                <w:iCs/>
                <w:sz w:val="16"/>
                <w:szCs w:val="16"/>
              </w:rPr>
            </w:pPr>
            <w:r w:rsidRPr="007B1648">
              <w:rPr>
                <w:iCs/>
                <w:sz w:val="16"/>
                <w:szCs w:val="16"/>
              </w:rPr>
              <w:t>-20°C</w:t>
            </w:r>
          </w:p>
        </w:tc>
      </w:tr>
      <w:tr w:rsidR="007B1648" w:rsidRPr="007B1648" w14:paraId="02EF8EB5" w14:textId="77777777" w:rsidTr="007B1648">
        <w:trPr>
          <w:trHeight w:val="289"/>
          <w:jc w:val="center"/>
        </w:trPr>
        <w:tc>
          <w:tcPr>
            <w:tcW w:w="3059" w:type="dxa"/>
            <w:tcBorders>
              <w:top w:val="nil"/>
              <w:left w:val="single" w:sz="4" w:space="0" w:color="auto"/>
              <w:bottom w:val="single" w:sz="4" w:space="0" w:color="auto"/>
              <w:right w:val="single" w:sz="4" w:space="0" w:color="auto"/>
            </w:tcBorders>
            <w:shd w:val="clear" w:color="auto" w:fill="auto"/>
            <w:vAlign w:val="center"/>
          </w:tcPr>
          <w:p w14:paraId="738264CA" w14:textId="7BC7D264" w:rsidR="007B1648" w:rsidRPr="007B1648" w:rsidRDefault="00E46F8C" w:rsidP="007B1648">
            <w:pPr>
              <w:spacing w:before="0" w:after="0"/>
              <w:rPr>
                <w:iCs/>
                <w:sz w:val="16"/>
                <w:szCs w:val="16"/>
              </w:rPr>
            </w:pPr>
            <w:proofErr w:type="spellStart"/>
            <w:r w:rsidRPr="00E46F8C">
              <w:rPr>
                <w:iCs/>
                <w:sz w:val="16"/>
                <w:szCs w:val="16"/>
              </w:rPr>
              <w:t>OxiRed</w:t>
            </w:r>
            <w:proofErr w:type="spellEnd"/>
            <w:r w:rsidRPr="00E46F8C">
              <w:rPr>
                <w:iCs/>
                <w:sz w:val="16"/>
                <w:szCs w:val="16"/>
              </w:rPr>
              <w:t xml:space="preserve"> Probe</w:t>
            </w:r>
            <w:r>
              <w:rPr>
                <w:iCs/>
                <w:sz w:val="16"/>
                <w:szCs w:val="16"/>
              </w:rPr>
              <w:t>/</w:t>
            </w:r>
            <w:r w:rsidR="007B1648" w:rsidRPr="007B1648">
              <w:rPr>
                <w:iCs/>
                <w:sz w:val="16"/>
                <w:szCs w:val="16"/>
              </w:rPr>
              <w:t>Lactate Probe</w:t>
            </w:r>
          </w:p>
        </w:tc>
        <w:tc>
          <w:tcPr>
            <w:tcW w:w="964" w:type="dxa"/>
            <w:tcBorders>
              <w:top w:val="nil"/>
              <w:left w:val="nil"/>
              <w:bottom w:val="single" w:sz="4" w:space="0" w:color="auto"/>
              <w:right w:val="single" w:sz="4" w:space="0" w:color="auto"/>
            </w:tcBorders>
            <w:shd w:val="clear" w:color="auto" w:fill="auto"/>
            <w:noWrap/>
            <w:vAlign w:val="center"/>
          </w:tcPr>
          <w:p w14:paraId="6C6194DD" w14:textId="77777777" w:rsidR="007B1648" w:rsidRPr="007B1648" w:rsidRDefault="007B1648" w:rsidP="007B1648">
            <w:pPr>
              <w:spacing w:before="0" w:after="0"/>
              <w:rPr>
                <w:iCs/>
                <w:sz w:val="16"/>
                <w:szCs w:val="16"/>
              </w:rPr>
            </w:pPr>
            <w:r w:rsidRPr="007B1648">
              <w:rPr>
                <w:iCs/>
                <w:sz w:val="16"/>
                <w:szCs w:val="16"/>
              </w:rPr>
              <w:t>200 µL</w:t>
            </w:r>
          </w:p>
        </w:tc>
        <w:tc>
          <w:tcPr>
            <w:tcW w:w="1277" w:type="dxa"/>
            <w:tcBorders>
              <w:top w:val="nil"/>
              <w:left w:val="nil"/>
              <w:bottom w:val="single" w:sz="4" w:space="0" w:color="auto"/>
              <w:right w:val="single" w:sz="4" w:space="0" w:color="auto"/>
            </w:tcBorders>
            <w:shd w:val="clear" w:color="auto" w:fill="auto"/>
            <w:noWrap/>
            <w:vAlign w:val="center"/>
          </w:tcPr>
          <w:p w14:paraId="7698C94F" w14:textId="77777777" w:rsidR="007B1648" w:rsidRPr="007B1648" w:rsidRDefault="007B1648" w:rsidP="007B1648">
            <w:pPr>
              <w:spacing w:before="0" w:after="0"/>
              <w:rPr>
                <w:iCs/>
                <w:sz w:val="16"/>
                <w:szCs w:val="16"/>
              </w:rPr>
            </w:pPr>
            <w:r w:rsidRPr="007B1648">
              <w:rPr>
                <w:iCs/>
                <w:sz w:val="16"/>
                <w:szCs w:val="16"/>
              </w:rPr>
              <w:t>-20°C</w:t>
            </w:r>
          </w:p>
        </w:tc>
        <w:tc>
          <w:tcPr>
            <w:tcW w:w="1277" w:type="dxa"/>
            <w:tcBorders>
              <w:top w:val="nil"/>
              <w:left w:val="nil"/>
              <w:bottom w:val="single" w:sz="4" w:space="0" w:color="auto"/>
              <w:right w:val="single" w:sz="4" w:space="0" w:color="auto"/>
            </w:tcBorders>
            <w:shd w:val="clear" w:color="auto" w:fill="auto"/>
            <w:vAlign w:val="center"/>
          </w:tcPr>
          <w:p w14:paraId="5E6FD29C" w14:textId="77777777" w:rsidR="007B1648" w:rsidRPr="007B1648" w:rsidRDefault="007B1648" w:rsidP="007B1648">
            <w:pPr>
              <w:spacing w:before="0" w:after="0"/>
              <w:rPr>
                <w:iCs/>
                <w:sz w:val="16"/>
                <w:szCs w:val="16"/>
              </w:rPr>
            </w:pPr>
            <w:r w:rsidRPr="007B1648">
              <w:rPr>
                <w:iCs/>
                <w:sz w:val="16"/>
                <w:szCs w:val="16"/>
              </w:rPr>
              <w:t>-20°C</w:t>
            </w:r>
          </w:p>
        </w:tc>
      </w:tr>
      <w:tr w:rsidR="007B1648" w:rsidRPr="007B1648" w14:paraId="033B3DDE" w14:textId="77777777" w:rsidTr="007B1648">
        <w:trPr>
          <w:trHeight w:val="289"/>
          <w:jc w:val="center"/>
        </w:trPr>
        <w:tc>
          <w:tcPr>
            <w:tcW w:w="3059" w:type="dxa"/>
            <w:tcBorders>
              <w:top w:val="nil"/>
              <w:left w:val="single" w:sz="4" w:space="0" w:color="auto"/>
              <w:bottom w:val="single" w:sz="4" w:space="0" w:color="auto"/>
              <w:right w:val="single" w:sz="4" w:space="0" w:color="auto"/>
            </w:tcBorders>
            <w:shd w:val="clear" w:color="auto" w:fill="auto"/>
            <w:vAlign w:val="center"/>
          </w:tcPr>
          <w:p w14:paraId="3B4255AD" w14:textId="1B3F764C" w:rsidR="007B1648" w:rsidRPr="007B1648" w:rsidRDefault="007B1648" w:rsidP="007B1648">
            <w:pPr>
              <w:spacing w:before="0" w:after="0"/>
              <w:rPr>
                <w:iCs/>
                <w:sz w:val="16"/>
                <w:szCs w:val="16"/>
              </w:rPr>
            </w:pPr>
            <w:r w:rsidRPr="007B1648">
              <w:rPr>
                <w:iCs/>
                <w:sz w:val="16"/>
                <w:szCs w:val="16"/>
              </w:rPr>
              <w:t>Lactate Enzyme Mix</w:t>
            </w:r>
          </w:p>
        </w:tc>
        <w:tc>
          <w:tcPr>
            <w:tcW w:w="964" w:type="dxa"/>
            <w:tcBorders>
              <w:top w:val="nil"/>
              <w:left w:val="nil"/>
              <w:bottom w:val="single" w:sz="4" w:space="0" w:color="auto"/>
              <w:right w:val="single" w:sz="4" w:space="0" w:color="auto"/>
            </w:tcBorders>
            <w:shd w:val="clear" w:color="auto" w:fill="auto"/>
            <w:noWrap/>
            <w:vAlign w:val="center"/>
          </w:tcPr>
          <w:p w14:paraId="7ADD8FDC" w14:textId="77777777" w:rsidR="007B1648" w:rsidRPr="007B1648" w:rsidRDefault="007B1648" w:rsidP="007B1648">
            <w:pPr>
              <w:spacing w:before="0" w:after="0"/>
              <w:rPr>
                <w:iCs/>
                <w:sz w:val="16"/>
                <w:szCs w:val="16"/>
              </w:rPr>
            </w:pPr>
            <w:r w:rsidRPr="007B1648">
              <w:rPr>
                <w:iCs/>
                <w:sz w:val="16"/>
                <w:szCs w:val="16"/>
              </w:rPr>
              <w:t>1 vial</w:t>
            </w:r>
          </w:p>
        </w:tc>
        <w:tc>
          <w:tcPr>
            <w:tcW w:w="1277" w:type="dxa"/>
            <w:tcBorders>
              <w:top w:val="nil"/>
              <w:left w:val="nil"/>
              <w:bottom w:val="single" w:sz="4" w:space="0" w:color="auto"/>
              <w:right w:val="single" w:sz="4" w:space="0" w:color="auto"/>
            </w:tcBorders>
            <w:shd w:val="clear" w:color="auto" w:fill="auto"/>
            <w:noWrap/>
            <w:vAlign w:val="center"/>
          </w:tcPr>
          <w:p w14:paraId="20E4DCBD" w14:textId="77777777" w:rsidR="007B1648" w:rsidRPr="007B1648" w:rsidRDefault="007B1648" w:rsidP="007B1648">
            <w:pPr>
              <w:spacing w:before="0" w:after="0"/>
              <w:rPr>
                <w:iCs/>
                <w:sz w:val="16"/>
                <w:szCs w:val="16"/>
              </w:rPr>
            </w:pPr>
            <w:r w:rsidRPr="007B1648">
              <w:rPr>
                <w:iCs/>
                <w:sz w:val="16"/>
                <w:szCs w:val="16"/>
              </w:rPr>
              <w:t>-20°C</w:t>
            </w:r>
          </w:p>
        </w:tc>
        <w:tc>
          <w:tcPr>
            <w:tcW w:w="1277" w:type="dxa"/>
            <w:tcBorders>
              <w:top w:val="nil"/>
              <w:left w:val="nil"/>
              <w:bottom w:val="single" w:sz="4" w:space="0" w:color="auto"/>
              <w:right w:val="single" w:sz="4" w:space="0" w:color="auto"/>
            </w:tcBorders>
            <w:shd w:val="clear" w:color="auto" w:fill="auto"/>
            <w:vAlign w:val="center"/>
          </w:tcPr>
          <w:p w14:paraId="06F51535" w14:textId="77777777" w:rsidR="007B1648" w:rsidRPr="007B1648" w:rsidRDefault="007B1648" w:rsidP="007B1648">
            <w:pPr>
              <w:spacing w:before="0" w:after="0"/>
              <w:rPr>
                <w:iCs/>
                <w:sz w:val="16"/>
                <w:szCs w:val="16"/>
              </w:rPr>
            </w:pPr>
            <w:r w:rsidRPr="007B1648">
              <w:rPr>
                <w:iCs/>
                <w:sz w:val="16"/>
                <w:szCs w:val="16"/>
              </w:rPr>
              <w:t>-20°C</w:t>
            </w:r>
          </w:p>
        </w:tc>
      </w:tr>
      <w:tr w:rsidR="007B1648" w:rsidRPr="007B1648" w14:paraId="4F0A6262" w14:textId="77777777" w:rsidTr="007B1648">
        <w:trPr>
          <w:trHeight w:val="289"/>
          <w:jc w:val="center"/>
        </w:trPr>
        <w:tc>
          <w:tcPr>
            <w:tcW w:w="3059" w:type="dxa"/>
            <w:tcBorders>
              <w:top w:val="nil"/>
              <w:left w:val="single" w:sz="4" w:space="0" w:color="auto"/>
              <w:bottom w:val="single" w:sz="4" w:space="0" w:color="auto"/>
              <w:right w:val="single" w:sz="4" w:space="0" w:color="auto"/>
            </w:tcBorders>
            <w:shd w:val="clear" w:color="auto" w:fill="auto"/>
            <w:vAlign w:val="center"/>
          </w:tcPr>
          <w:p w14:paraId="12C11630" w14:textId="77777777" w:rsidR="007B1648" w:rsidRPr="007B1648" w:rsidRDefault="007B1648" w:rsidP="007B1648">
            <w:pPr>
              <w:spacing w:before="0" w:after="0"/>
              <w:rPr>
                <w:iCs/>
                <w:sz w:val="16"/>
                <w:szCs w:val="16"/>
              </w:rPr>
            </w:pPr>
            <w:r w:rsidRPr="007B1648">
              <w:rPr>
                <w:iCs/>
                <w:sz w:val="16"/>
                <w:szCs w:val="16"/>
              </w:rPr>
              <w:t>100 nmol/µL L(+)-Lactate Standard</w:t>
            </w:r>
          </w:p>
        </w:tc>
        <w:tc>
          <w:tcPr>
            <w:tcW w:w="964" w:type="dxa"/>
            <w:tcBorders>
              <w:top w:val="nil"/>
              <w:left w:val="nil"/>
              <w:bottom w:val="single" w:sz="4" w:space="0" w:color="auto"/>
              <w:right w:val="single" w:sz="4" w:space="0" w:color="auto"/>
            </w:tcBorders>
            <w:shd w:val="clear" w:color="auto" w:fill="auto"/>
            <w:noWrap/>
            <w:vAlign w:val="center"/>
          </w:tcPr>
          <w:p w14:paraId="147CED2F" w14:textId="77777777" w:rsidR="007B1648" w:rsidRPr="007B1648" w:rsidRDefault="007B1648" w:rsidP="007B1648">
            <w:pPr>
              <w:spacing w:before="0" w:after="0"/>
              <w:rPr>
                <w:iCs/>
                <w:sz w:val="16"/>
                <w:szCs w:val="16"/>
              </w:rPr>
            </w:pPr>
            <w:r w:rsidRPr="007B1648">
              <w:rPr>
                <w:iCs/>
                <w:sz w:val="16"/>
                <w:szCs w:val="16"/>
              </w:rPr>
              <w:t>100 µL</w:t>
            </w:r>
          </w:p>
        </w:tc>
        <w:tc>
          <w:tcPr>
            <w:tcW w:w="1277" w:type="dxa"/>
            <w:tcBorders>
              <w:top w:val="nil"/>
              <w:left w:val="nil"/>
              <w:bottom w:val="single" w:sz="4" w:space="0" w:color="auto"/>
              <w:right w:val="single" w:sz="4" w:space="0" w:color="auto"/>
            </w:tcBorders>
            <w:shd w:val="clear" w:color="auto" w:fill="auto"/>
            <w:noWrap/>
            <w:vAlign w:val="center"/>
          </w:tcPr>
          <w:p w14:paraId="17A3E1F8" w14:textId="77777777" w:rsidR="007B1648" w:rsidRPr="007B1648" w:rsidRDefault="007B1648" w:rsidP="007B1648">
            <w:pPr>
              <w:spacing w:before="0" w:after="0"/>
              <w:rPr>
                <w:iCs/>
                <w:sz w:val="16"/>
                <w:szCs w:val="16"/>
              </w:rPr>
            </w:pPr>
            <w:r w:rsidRPr="007B1648">
              <w:rPr>
                <w:iCs/>
                <w:sz w:val="16"/>
                <w:szCs w:val="16"/>
              </w:rPr>
              <w:t>-20°C</w:t>
            </w:r>
          </w:p>
        </w:tc>
        <w:tc>
          <w:tcPr>
            <w:tcW w:w="1277" w:type="dxa"/>
            <w:tcBorders>
              <w:top w:val="nil"/>
              <w:left w:val="nil"/>
              <w:bottom w:val="single" w:sz="4" w:space="0" w:color="auto"/>
              <w:right w:val="single" w:sz="4" w:space="0" w:color="auto"/>
            </w:tcBorders>
            <w:shd w:val="clear" w:color="auto" w:fill="auto"/>
            <w:vAlign w:val="center"/>
          </w:tcPr>
          <w:p w14:paraId="05209BEC" w14:textId="77777777" w:rsidR="007B1648" w:rsidRPr="007B1648" w:rsidRDefault="007B1648" w:rsidP="007B1648">
            <w:pPr>
              <w:spacing w:before="0" w:after="0"/>
              <w:rPr>
                <w:iCs/>
                <w:sz w:val="16"/>
                <w:szCs w:val="16"/>
              </w:rPr>
            </w:pPr>
            <w:r w:rsidRPr="007B1648">
              <w:rPr>
                <w:iCs/>
                <w:sz w:val="16"/>
                <w:szCs w:val="16"/>
              </w:rPr>
              <w:t>-20°C</w:t>
            </w:r>
          </w:p>
        </w:tc>
      </w:tr>
    </w:tbl>
    <w:p w14:paraId="0E5D490D" w14:textId="77777777" w:rsidR="00E02E54" w:rsidRPr="008F5845" w:rsidRDefault="00E02E54" w:rsidP="008F5845">
      <w:pPr>
        <w:autoSpaceDE w:val="0"/>
        <w:autoSpaceDN w:val="0"/>
        <w:adjustRightInd w:val="0"/>
        <w:spacing w:before="0" w:after="0"/>
        <w:rPr>
          <w:b/>
          <w:bCs/>
          <w:sz w:val="16"/>
          <w:szCs w:val="16"/>
          <w:u w:val="single"/>
        </w:rPr>
      </w:pPr>
    </w:p>
    <w:p w14:paraId="438C6CC6" w14:textId="2B5EA0DE" w:rsidR="00B9677F" w:rsidRPr="008F5845" w:rsidRDefault="009D72B1" w:rsidP="008F5845">
      <w:pPr>
        <w:autoSpaceDE w:val="0"/>
        <w:autoSpaceDN w:val="0"/>
        <w:adjustRightInd w:val="0"/>
        <w:spacing w:before="0" w:after="0"/>
        <w:rPr>
          <w:b/>
          <w:bCs/>
          <w:sz w:val="16"/>
          <w:szCs w:val="16"/>
          <w:u w:val="single"/>
        </w:rPr>
      </w:pPr>
      <w:r w:rsidRPr="008F5845">
        <w:rPr>
          <w:b/>
          <w:bCs/>
          <w:sz w:val="16"/>
          <w:szCs w:val="16"/>
          <w:u w:val="single"/>
        </w:rPr>
        <w:t>Materials Required, Not Supplied</w:t>
      </w:r>
    </w:p>
    <w:p w14:paraId="377FC1FE" w14:textId="2AA7ECD7" w:rsidR="007B1648" w:rsidRDefault="007B1648" w:rsidP="007B1648">
      <w:pPr>
        <w:spacing w:before="0" w:after="0"/>
        <w:rPr>
          <w:sz w:val="16"/>
          <w:szCs w:val="16"/>
        </w:rPr>
      </w:pPr>
      <w:r w:rsidRPr="007B1648">
        <w:rPr>
          <w:sz w:val="16"/>
          <w:szCs w:val="16"/>
        </w:rPr>
        <w:t>These materials are not included in the kit, but will be required to successfully utilize this assay:</w:t>
      </w:r>
    </w:p>
    <w:p w14:paraId="70932422" w14:textId="77777777" w:rsidR="007B1648" w:rsidRDefault="007B1648" w:rsidP="007B1648">
      <w:pPr>
        <w:spacing w:before="0" w:after="0"/>
        <w:rPr>
          <w:sz w:val="16"/>
          <w:szCs w:val="16"/>
        </w:rPr>
      </w:pPr>
    </w:p>
    <w:p w14:paraId="095E9685" w14:textId="3B421101" w:rsidR="007B1648" w:rsidRPr="007B1648" w:rsidRDefault="007B1648" w:rsidP="00634557">
      <w:pPr>
        <w:pStyle w:val="ListParagraph"/>
        <w:numPr>
          <w:ilvl w:val="0"/>
          <w:numId w:val="17"/>
        </w:numPr>
        <w:spacing w:before="0" w:after="0"/>
        <w:rPr>
          <w:sz w:val="16"/>
          <w:szCs w:val="16"/>
        </w:rPr>
      </w:pPr>
      <w:r w:rsidRPr="007B1648">
        <w:rPr>
          <w:sz w:val="16"/>
          <w:szCs w:val="16"/>
        </w:rPr>
        <w:t>PBS</w:t>
      </w:r>
    </w:p>
    <w:p w14:paraId="0CC115D5"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Microcentrifuge</w:t>
      </w:r>
    </w:p>
    <w:p w14:paraId="666F319E"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Pipettes and pipette tips</w:t>
      </w:r>
    </w:p>
    <w:p w14:paraId="52CF5ECD"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Colorimetric or fluorescent microplate reader – equipped with filter for OD570 nm or Ex/</w:t>
      </w:r>
      <w:proofErr w:type="spellStart"/>
      <w:r w:rsidRPr="007B1648">
        <w:rPr>
          <w:sz w:val="16"/>
          <w:szCs w:val="16"/>
        </w:rPr>
        <w:t>Em</w:t>
      </w:r>
      <w:proofErr w:type="spellEnd"/>
      <w:r w:rsidRPr="007B1648">
        <w:rPr>
          <w:sz w:val="16"/>
          <w:szCs w:val="16"/>
        </w:rPr>
        <w:t xml:space="preserve"> = 535/587 nm (respectively)</w:t>
      </w:r>
    </w:p>
    <w:p w14:paraId="7874C798"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96 well plate: black plates (clear bottoms) for fluorometric assay; clear plates for colorimetric assay</w:t>
      </w:r>
    </w:p>
    <w:p w14:paraId="331A0C5A"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Orbital shaker</w:t>
      </w:r>
    </w:p>
    <w:p w14:paraId="2B38FE45" w14:textId="6EB02B2F" w:rsidR="007B1648" w:rsidRPr="006A3F81" w:rsidRDefault="007B1648" w:rsidP="006A3F81">
      <w:pPr>
        <w:pStyle w:val="ListParagraph"/>
        <w:numPr>
          <w:ilvl w:val="0"/>
          <w:numId w:val="17"/>
        </w:numPr>
        <w:spacing w:before="0" w:after="0"/>
        <w:rPr>
          <w:sz w:val="16"/>
          <w:szCs w:val="16"/>
        </w:rPr>
      </w:pPr>
      <w:r w:rsidRPr="007B1648">
        <w:rPr>
          <w:sz w:val="16"/>
          <w:szCs w:val="16"/>
        </w:rPr>
        <w:t>Dounce homogenizer (if using tissue)</w:t>
      </w:r>
    </w:p>
    <w:p w14:paraId="447F6B11"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If performing deproteinization step, additional reagents are required:</w:t>
      </w:r>
    </w:p>
    <w:p w14:paraId="673B4862"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Perchloric acid (PCA) 4M, ice cold</w:t>
      </w:r>
    </w:p>
    <w:p w14:paraId="6854D64E" w14:textId="77777777" w:rsidR="007B1648" w:rsidRPr="007B1648" w:rsidRDefault="007B1648" w:rsidP="00634557">
      <w:pPr>
        <w:pStyle w:val="ListParagraph"/>
        <w:numPr>
          <w:ilvl w:val="0"/>
          <w:numId w:val="17"/>
        </w:numPr>
        <w:spacing w:before="0" w:after="0"/>
        <w:rPr>
          <w:sz w:val="16"/>
          <w:szCs w:val="16"/>
        </w:rPr>
      </w:pPr>
      <w:r w:rsidRPr="007B1648">
        <w:rPr>
          <w:sz w:val="16"/>
          <w:szCs w:val="16"/>
        </w:rPr>
        <w:t>Potassium Hydroxide (KOH) 2M</w:t>
      </w:r>
    </w:p>
    <w:p w14:paraId="102416CF" w14:textId="73DD5824" w:rsidR="00CD53CA" w:rsidRPr="007B1648" w:rsidRDefault="007B1648" w:rsidP="00634557">
      <w:pPr>
        <w:pStyle w:val="ListParagraph"/>
        <w:numPr>
          <w:ilvl w:val="0"/>
          <w:numId w:val="17"/>
        </w:numPr>
        <w:spacing w:before="0" w:after="0"/>
        <w:rPr>
          <w:sz w:val="16"/>
          <w:szCs w:val="16"/>
        </w:rPr>
      </w:pPr>
      <w:r w:rsidRPr="007B1648">
        <w:rPr>
          <w:sz w:val="16"/>
          <w:szCs w:val="16"/>
        </w:rPr>
        <w:t xml:space="preserve">10 </w:t>
      </w:r>
      <w:proofErr w:type="spellStart"/>
      <w:r w:rsidRPr="007B1648">
        <w:rPr>
          <w:sz w:val="16"/>
          <w:szCs w:val="16"/>
        </w:rPr>
        <w:t>kD</w:t>
      </w:r>
      <w:proofErr w:type="spellEnd"/>
      <w:r w:rsidRPr="007B1648">
        <w:rPr>
          <w:sz w:val="16"/>
          <w:szCs w:val="16"/>
        </w:rPr>
        <w:t xml:space="preserve"> Spin Columns (ab93349) – for fluid samples, if not performing PCA precipitation</w:t>
      </w:r>
    </w:p>
    <w:p w14:paraId="0D8B5ABC" w14:textId="77777777" w:rsidR="007B1648" w:rsidRPr="008F5845" w:rsidRDefault="007B1648" w:rsidP="007B1648">
      <w:pPr>
        <w:spacing w:before="0" w:after="0"/>
        <w:rPr>
          <w:sz w:val="16"/>
          <w:szCs w:val="16"/>
        </w:rPr>
      </w:pPr>
    </w:p>
    <w:p w14:paraId="319B8318" w14:textId="262FA363" w:rsidR="007B1648" w:rsidRDefault="007B1648" w:rsidP="008F5845">
      <w:pPr>
        <w:pStyle w:val="Bulletpoints"/>
        <w:numPr>
          <w:ilvl w:val="0"/>
          <w:numId w:val="0"/>
        </w:numPr>
        <w:spacing w:before="0" w:after="0" w:line="240" w:lineRule="auto"/>
        <w:ind w:left="357" w:hanging="357"/>
        <w:rPr>
          <w:rFonts w:ascii="Century Gothic" w:hAnsi="Century Gothic"/>
          <w:b/>
          <w:bCs/>
          <w:color w:val="auto"/>
          <w:sz w:val="16"/>
          <w:szCs w:val="16"/>
          <w:u w:val="single"/>
        </w:rPr>
      </w:pPr>
      <w:r>
        <w:rPr>
          <w:rFonts w:ascii="Century Gothic" w:hAnsi="Century Gothic"/>
          <w:b/>
          <w:bCs/>
          <w:color w:val="auto"/>
          <w:sz w:val="16"/>
          <w:szCs w:val="16"/>
          <w:u w:val="single"/>
        </w:rPr>
        <w:t>Reagent Preparation</w:t>
      </w:r>
    </w:p>
    <w:p w14:paraId="0C3E0DF8" w14:textId="4490B427" w:rsidR="007B1648" w:rsidRPr="005747D9" w:rsidRDefault="00E46F8C" w:rsidP="007B1648">
      <w:pPr>
        <w:pStyle w:val="Bulletpoints"/>
        <w:numPr>
          <w:ilvl w:val="0"/>
          <w:numId w:val="0"/>
        </w:numPr>
        <w:spacing w:before="0" w:after="0"/>
        <w:rPr>
          <w:rFonts w:ascii="Century Gothic" w:hAnsi="Century Gothic"/>
          <w:b/>
          <w:bCs/>
          <w:color w:val="auto"/>
          <w:sz w:val="16"/>
          <w:szCs w:val="16"/>
        </w:rPr>
      </w:pPr>
      <w:r w:rsidRPr="00E46F8C">
        <w:rPr>
          <w:rFonts w:ascii="Century Gothic" w:hAnsi="Century Gothic"/>
          <w:b/>
          <w:bCs/>
          <w:color w:val="auto"/>
          <w:sz w:val="16"/>
          <w:szCs w:val="16"/>
        </w:rPr>
        <w:t>Assay Buffer II/</w:t>
      </w:r>
      <w:r w:rsidR="007B1648" w:rsidRPr="003603F2">
        <w:rPr>
          <w:rFonts w:ascii="Century Gothic" w:hAnsi="Century Gothic"/>
          <w:b/>
          <w:bCs/>
          <w:color w:val="auto"/>
          <w:sz w:val="16"/>
          <w:szCs w:val="16"/>
        </w:rPr>
        <w:t>Lactate Assay Buffer:</w:t>
      </w:r>
      <w:r w:rsidR="005747D9">
        <w:rPr>
          <w:rFonts w:ascii="Century Gothic" w:hAnsi="Century Gothic"/>
          <w:b/>
          <w:bCs/>
          <w:color w:val="auto"/>
          <w:sz w:val="16"/>
          <w:szCs w:val="16"/>
        </w:rPr>
        <w:t xml:space="preserve"> </w:t>
      </w:r>
      <w:r w:rsidR="007B1648" w:rsidRPr="003603F2">
        <w:rPr>
          <w:rFonts w:ascii="Century Gothic" w:hAnsi="Century Gothic"/>
          <w:color w:val="auto"/>
          <w:sz w:val="16"/>
          <w:szCs w:val="16"/>
        </w:rPr>
        <w:t>Ready to use as supplied. Equilibrate to room temperature before use. Store at -20°C protected from light and moisture.</w:t>
      </w:r>
    </w:p>
    <w:p w14:paraId="03E8FEFF" w14:textId="79554679" w:rsidR="007B1648" w:rsidRPr="005747D9" w:rsidRDefault="00E46F8C" w:rsidP="007B1648">
      <w:pPr>
        <w:pStyle w:val="Bulletpoints"/>
        <w:numPr>
          <w:ilvl w:val="0"/>
          <w:numId w:val="0"/>
        </w:numPr>
        <w:spacing w:before="0" w:after="0"/>
        <w:rPr>
          <w:rFonts w:ascii="Century Gothic" w:hAnsi="Century Gothic"/>
          <w:b/>
          <w:bCs/>
          <w:color w:val="auto"/>
          <w:sz w:val="16"/>
          <w:szCs w:val="16"/>
        </w:rPr>
      </w:pPr>
      <w:proofErr w:type="spellStart"/>
      <w:r w:rsidRPr="00E46F8C">
        <w:rPr>
          <w:rFonts w:ascii="Century Gothic" w:hAnsi="Century Gothic"/>
          <w:b/>
          <w:bCs/>
          <w:color w:val="auto"/>
          <w:sz w:val="16"/>
          <w:szCs w:val="16"/>
        </w:rPr>
        <w:t>OxiRed</w:t>
      </w:r>
      <w:proofErr w:type="spellEnd"/>
      <w:r w:rsidRPr="00E46F8C">
        <w:rPr>
          <w:rFonts w:ascii="Century Gothic" w:hAnsi="Century Gothic"/>
          <w:b/>
          <w:bCs/>
          <w:color w:val="auto"/>
          <w:sz w:val="16"/>
          <w:szCs w:val="16"/>
        </w:rPr>
        <w:t xml:space="preserve"> Probe/</w:t>
      </w:r>
      <w:r w:rsidR="007B1648" w:rsidRPr="003603F2">
        <w:rPr>
          <w:rFonts w:ascii="Century Gothic" w:hAnsi="Century Gothic"/>
          <w:b/>
          <w:bCs/>
          <w:color w:val="auto"/>
          <w:sz w:val="16"/>
          <w:szCs w:val="16"/>
        </w:rPr>
        <w:t xml:space="preserve">Lactate Probe: </w:t>
      </w:r>
      <w:r w:rsidR="007B1648" w:rsidRPr="003603F2">
        <w:rPr>
          <w:rFonts w:ascii="Century Gothic" w:hAnsi="Century Gothic"/>
          <w:color w:val="auto"/>
          <w:sz w:val="16"/>
          <w:szCs w:val="16"/>
        </w:rPr>
        <w:t xml:space="preserve">Ready to use as supplied. Warm by placing in a 37°C bath for 1 – 5 minutes to thaw the DMSO solution before use. </w:t>
      </w:r>
      <w:r w:rsidR="007B1648" w:rsidRPr="00DC48D9">
        <w:rPr>
          <w:rFonts w:ascii="Century Gothic" w:hAnsi="Century Gothic"/>
          <w:b/>
          <w:bCs/>
          <w:color w:val="auto"/>
          <w:sz w:val="16"/>
          <w:szCs w:val="16"/>
        </w:rPr>
        <w:t>NOTE:</w:t>
      </w:r>
      <w:r w:rsidR="007B1648" w:rsidRPr="003603F2">
        <w:rPr>
          <w:rFonts w:ascii="Century Gothic" w:hAnsi="Century Gothic"/>
          <w:color w:val="auto"/>
          <w:sz w:val="16"/>
          <w:szCs w:val="16"/>
        </w:rPr>
        <w:t xml:space="preserve"> DMSO tends to be solid when stored at -20°C, even when left at room temperature, so it needs to melt for few minutes at 37°C.  Aliquot </w:t>
      </w:r>
      <w:proofErr w:type="spellStart"/>
      <w:r w:rsidRPr="00E46F8C">
        <w:rPr>
          <w:rFonts w:ascii="Century Gothic" w:hAnsi="Century Gothic"/>
          <w:color w:val="auto"/>
          <w:sz w:val="16"/>
          <w:szCs w:val="16"/>
        </w:rPr>
        <w:t>OxiRed</w:t>
      </w:r>
      <w:proofErr w:type="spellEnd"/>
      <w:r w:rsidRPr="00E46F8C">
        <w:rPr>
          <w:rFonts w:ascii="Century Gothic" w:hAnsi="Century Gothic"/>
          <w:color w:val="auto"/>
          <w:sz w:val="16"/>
          <w:szCs w:val="16"/>
        </w:rPr>
        <w:t xml:space="preserve"> Probe/</w:t>
      </w:r>
      <w:r w:rsidR="007B1648" w:rsidRPr="003603F2">
        <w:rPr>
          <w:rFonts w:ascii="Century Gothic" w:hAnsi="Century Gothic"/>
          <w:color w:val="auto"/>
          <w:sz w:val="16"/>
          <w:szCs w:val="16"/>
        </w:rPr>
        <w:t xml:space="preserve">probe so that you have enough to perform the desired number of assays. Store </w:t>
      </w:r>
      <w:r w:rsidR="007B1648" w:rsidRPr="003603F2">
        <w:rPr>
          <w:rFonts w:ascii="Century Gothic" w:hAnsi="Century Gothic"/>
          <w:color w:val="auto"/>
          <w:sz w:val="16"/>
          <w:szCs w:val="16"/>
        </w:rPr>
        <w:t xml:space="preserve">at -20°C, protect from light and moisture. Once </w:t>
      </w:r>
      <w:proofErr w:type="spellStart"/>
      <w:r w:rsidRPr="00E46F8C">
        <w:rPr>
          <w:rFonts w:ascii="Century Gothic" w:hAnsi="Century Gothic"/>
          <w:color w:val="auto"/>
          <w:sz w:val="16"/>
          <w:szCs w:val="16"/>
        </w:rPr>
        <w:t>OxiRed</w:t>
      </w:r>
      <w:proofErr w:type="spellEnd"/>
      <w:r w:rsidRPr="00E46F8C">
        <w:rPr>
          <w:rFonts w:ascii="Century Gothic" w:hAnsi="Century Gothic"/>
          <w:color w:val="auto"/>
          <w:sz w:val="16"/>
          <w:szCs w:val="16"/>
        </w:rPr>
        <w:t xml:space="preserve"> Probe/</w:t>
      </w:r>
      <w:r w:rsidR="007B1648" w:rsidRPr="003603F2">
        <w:rPr>
          <w:rFonts w:ascii="Century Gothic" w:hAnsi="Century Gothic"/>
          <w:color w:val="auto"/>
          <w:sz w:val="16"/>
          <w:szCs w:val="16"/>
        </w:rPr>
        <w:t>probe is thawed, use within two months.</w:t>
      </w:r>
    </w:p>
    <w:p w14:paraId="2451283C" w14:textId="72D98620" w:rsidR="007B1648" w:rsidRPr="005747D9" w:rsidRDefault="007B1648" w:rsidP="007B1648">
      <w:pPr>
        <w:pStyle w:val="Bulletpoints"/>
        <w:numPr>
          <w:ilvl w:val="0"/>
          <w:numId w:val="0"/>
        </w:numPr>
        <w:spacing w:before="0" w:after="0"/>
        <w:rPr>
          <w:rFonts w:ascii="Century Gothic" w:hAnsi="Century Gothic"/>
          <w:b/>
          <w:bCs/>
          <w:color w:val="auto"/>
          <w:sz w:val="16"/>
          <w:szCs w:val="16"/>
        </w:rPr>
      </w:pPr>
      <w:r w:rsidRPr="003603F2">
        <w:rPr>
          <w:rFonts w:ascii="Century Gothic" w:hAnsi="Century Gothic"/>
          <w:b/>
          <w:bCs/>
          <w:color w:val="auto"/>
          <w:sz w:val="16"/>
          <w:szCs w:val="16"/>
        </w:rPr>
        <w:t>Lactate Enzyme Mix:</w:t>
      </w:r>
      <w:r w:rsidR="005747D9">
        <w:rPr>
          <w:rFonts w:ascii="Century Gothic" w:hAnsi="Century Gothic"/>
          <w:b/>
          <w:bCs/>
          <w:color w:val="auto"/>
          <w:sz w:val="16"/>
          <w:szCs w:val="16"/>
        </w:rPr>
        <w:t xml:space="preserve"> </w:t>
      </w:r>
      <w:r w:rsidRPr="003603F2">
        <w:rPr>
          <w:rFonts w:ascii="Century Gothic" w:hAnsi="Century Gothic"/>
          <w:color w:val="auto"/>
          <w:sz w:val="16"/>
          <w:szCs w:val="16"/>
        </w:rPr>
        <w:t xml:space="preserve">Dissolve in 220 µL </w:t>
      </w:r>
      <w:r w:rsidR="00E46F8C" w:rsidRPr="00E46F8C">
        <w:rPr>
          <w:rFonts w:ascii="Century Gothic" w:hAnsi="Century Gothic"/>
          <w:color w:val="auto"/>
          <w:sz w:val="16"/>
          <w:szCs w:val="16"/>
        </w:rPr>
        <w:t>Assay Buffer II/</w:t>
      </w:r>
      <w:r w:rsidRPr="003603F2">
        <w:rPr>
          <w:rFonts w:ascii="Century Gothic" w:hAnsi="Century Gothic"/>
          <w:color w:val="auto"/>
          <w:sz w:val="16"/>
          <w:szCs w:val="16"/>
        </w:rPr>
        <w:t>Lactate Assay Buffer. Pipette up and down to completely dissolve. Aliquot enzyme mix so that you have enough to perform the desired number of assays. Store at - 20°C. Use within two months.</w:t>
      </w:r>
    </w:p>
    <w:p w14:paraId="5E8E1F01" w14:textId="61AFE531" w:rsidR="007B1648" w:rsidRPr="003603F2" w:rsidRDefault="007B1648" w:rsidP="005747D9">
      <w:pPr>
        <w:pStyle w:val="Bulletpoints"/>
        <w:numPr>
          <w:ilvl w:val="0"/>
          <w:numId w:val="0"/>
        </w:numPr>
        <w:spacing w:before="0" w:after="0"/>
        <w:rPr>
          <w:rFonts w:ascii="Century Gothic" w:hAnsi="Century Gothic"/>
          <w:b/>
          <w:bCs/>
          <w:color w:val="auto"/>
          <w:sz w:val="16"/>
          <w:szCs w:val="16"/>
        </w:rPr>
      </w:pPr>
      <w:r w:rsidRPr="003603F2">
        <w:rPr>
          <w:rFonts w:ascii="Century Gothic" w:hAnsi="Century Gothic"/>
          <w:b/>
          <w:bCs/>
          <w:color w:val="auto"/>
          <w:sz w:val="16"/>
          <w:szCs w:val="16"/>
        </w:rPr>
        <w:t>Lactate Standard:</w:t>
      </w:r>
      <w:r w:rsidR="005747D9">
        <w:rPr>
          <w:rFonts w:ascii="Century Gothic" w:hAnsi="Century Gothic"/>
          <w:b/>
          <w:bCs/>
          <w:color w:val="auto"/>
          <w:sz w:val="16"/>
          <w:szCs w:val="16"/>
        </w:rPr>
        <w:t xml:space="preserve"> </w:t>
      </w:r>
      <w:r w:rsidRPr="003603F2">
        <w:rPr>
          <w:rFonts w:ascii="Century Gothic" w:hAnsi="Century Gothic"/>
          <w:color w:val="auto"/>
          <w:sz w:val="16"/>
          <w:szCs w:val="16"/>
        </w:rPr>
        <w:t>Ready to use as supplied. Keep on ice while in use. Aliquot standard so that you have enough to perform the desired number of assays. Store at -20°C.</w:t>
      </w:r>
    </w:p>
    <w:p w14:paraId="27B73A08" w14:textId="6A95AC6F" w:rsidR="007B1648" w:rsidRDefault="007B1648" w:rsidP="008F5845">
      <w:pPr>
        <w:pStyle w:val="Bulletpoints"/>
        <w:numPr>
          <w:ilvl w:val="0"/>
          <w:numId w:val="0"/>
        </w:numPr>
        <w:spacing w:before="0" w:after="0" w:line="240" w:lineRule="auto"/>
        <w:ind w:left="357" w:hanging="357"/>
        <w:rPr>
          <w:rFonts w:ascii="Century Gothic" w:hAnsi="Century Gothic"/>
          <w:b/>
          <w:bCs/>
          <w:color w:val="auto"/>
          <w:sz w:val="16"/>
          <w:szCs w:val="16"/>
        </w:rPr>
      </w:pPr>
    </w:p>
    <w:p w14:paraId="4CB2019E" w14:textId="5FC505A3" w:rsidR="003603F2" w:rsidRDefault="003603F2" w:rsidP="003603F2">
      <w:pPr>
        <w:pStyle w:val="Bulletpoints"/>
        <w:numPr>
          <w:ilvl w:val="0"/>
          <w:numId w:val="0"/>
        </w:numPr>
        <w:spacing w:before="0" w:after="0" w:line="240" w:lineRule="auto"/>
        <w:ind w:left="357" w:hanging="357"/>
        <w:rPr>
          <w:rFonts w:ascii="Century Gothic" w:hAnsi="Century Gothic"/>
          <w:b/>
          <w:bCs/>
          <w:color w:val="auto"/>
          <w:sz w:val="16"/>
          <w:szCs w:val="16"/>
          <w:u w:val="single"/>
        </w:rPr>
      </w:pPr>
      <w:r>
        <w:rPr>
          <w:rFonts w:ascii="Century Gothic" w:hAnsi="Century Gothic"/>
          <w:b/>
          <w:bCs/>
          <w:color w:val="auto"/>
          <w:sz w:val="16"/>
          <w:szCs w:val="16"/>
          <w:u w:val="single"/>
        </w:rPr>
        <w:t>Standard Preparation</w:t>
      </w:r>
    </w:p>
    <w:p w14:paraId="55582357" w14:textId="77777777" w:rsidR="003603F2" w:rsidRPr="003603F2" w:rsidRDefault="003603F2" w:rsidP="00634557">
      <w:pPr>
        <w:numPr>
          <w:ilvl w:val="0"/>
          <w:numId w:val="18"/>
        </w:numPr>
        <w:spacing w:before="60" w:after="60" w:line="276" w:lineRule="auto"/>
        <w:ind w:left="357" w:hanging="357"/>
        <w:rPr>
          <w:sz w:val="16"/>
          <w:szCs w:val="16"/>
        </w:rPr>
      </w:pPr>
      <w:r w:rsidRPr="003603F2">
        <w:rPr>
          <w:sz w:val="16"/>
          <w:szCs w:val="16"/>
        </w:rPr>
        <w:t>Always prepare a fresh set of standards for every use.</w:t>
      </w:r>
    </w:p>
    <w:p w14:paraId="3150A263" w14:textId="77777777" w:rsidR="003603F2" w:rsidRPr="003603F2" w:rsidRDefault="003603F2" w:rsidP="00634557">
      <w:pPr>
        <w:numPr>
          <w:ilvl w:val="0"/>
          <w:numId w:val="18"/>
        </w:numPr>
        <w:spacing w:before="60" w:after="60" w:line="276" w:lineRule="auto"/>
        <w:ind w:left="357" w:hanging="357"/>
        <w:rPr>
          <w:sz w:val="16"/>
          <w:szCs w:val="16"/>
        </w:rPr>
      </w:pPr>
      <w:r w:rsidRPr="003603F2">
        <w:rPr>
          <w:sz w:val="16"/>
          <w:szCs w:val="16"/>
        </w:rPr>
        <w:t>Diluted standard solution is unstable and must be used within 4 hours.</w:t>
      </w:r>
    </w:p>
    <w:p w14:paraId="46F88565" w14:textId="741688EE" w:rsidR="003603F2" w:rsidRPr="003603F2" w:rsidRDefault="003603F2" w:rsidP="006A3F81">
      <w:pPr>
        <w:spacing w:before="60" w:after="60" w:line="276" w:lineRule="auto"/>
        <w:jc w:val="both"/>
        <w:rPr>
          <w:rFonts w:cs="Arial"/>
          <w:sz w:val="16"/>
          <w:szCs w:val="16"/>
        </w:rPr>
      </w:pPr>
      <w:r w:rsidRPr="003603F2">
        <w:rPr>
          <w:rFonts w:cs="Arial"/>
          <w:sz w:val="16"/>
          <w:szCs w:val="16"/>
        </w:rPr>
        <w:t xml:space="preserve">Prepare </w:t>
      </w:r>
      <w:r w:rsidR="005747D9">
        <w:rPr>
          <w:rFonts w:cs="Arial"/>
          <w:sz w:val="16"/>
          <w:szCs w:val="16"/>
        </w:rPr>
        <w:t>500</w:t>
      </w:r>
      <w:r w:rsidRPr="003603F2">
        <w:rPr>
          <w:rFonts w:cs="Arial"/>
          <w:sz w:val="16"/>
          <w:szCs w:val="16"/>
        </w:rPr>
        <w:t> </w:t>
      </w:r>
      <w:r w:rsidR="005747D9" w:rsidRPr="003603F2">
        <w:rPr>
          <w:rFonts w:cs="Arial"/>
          <w:sz w:val="16"/>
          <w:szCs w:val="16"/>
        </w:rPr>
        <w:t>µ</w:t>
      </w:r>
      <w:r w:rsidRPr="003603F2">
        <w:rPr>
          <w:rFonts w:cs="Arial"/>
          <w:sz w:val="16"/>
          <w:szCs w:val="16"/>
        </w:rPr>
        <w:t xml:space="preserve">L of 1 nmol/µL Lactate standard by adding 5 µL of the 100 nmol/ µL Lactate Standard to 495 µL of </w:t>
      </w:r>
      <w:r w:rsidR="00E46F8C" w:rsidRPr="00E46F8C">
        <w:rPr>
          <w:rFonts w:cs="Arial"/>
          <w:sz w:val="16"/>
          <w:szCs w:val="16"/>
        </w:rPr>
        <w:t>Assay Buffer II/</w:t>
      </w:r>
      <w:r w:rsidRPr="003603F2">
        <w:rPr>
          <w:rFonts w:cs="Arial"/>
          <w:sz w:val="16"/>
          <w:szCs w:val="16"/>
        </w:rPr>
        <w:t>Lactate Assay Buffer.</w:t>
      </w:r>
    </w:p>
    <w:p w14:paraId="472250C1" w14:textId="5B1D26DB" w:rsidR="003603F2" w:rsidRDefault="006A3F81" w:rsidP="006A3F81">
      <w:pPr>
        <w:spacing w:before="60" w:after="60" w:line="276" w:lineRule="auto"/>
        <w:rPr>
          <w:rFonts w:cs="Arial"/>
          <w:sz w:val="16"/>
          <w:szCs w:val="16"/>
        </w:rPr>
      </w:pPr>
      <w:r w:rsidRPr="003603F2">
        <w:rPr>
          <w:b/>
          <w:sz w:val="16"/>
          <w:szCs w:val="16"/>
        </w:rPr>
        <w:t>For the colorimetric assay:</w:t>
      </w:r>
      <w:r>
        <w:rPr>
          <w:b/>
          <w:sz w:val="16"/>
          <w:szCs w:val="16"/>
        </w:rPr>
        <w:t xml:space="preserve"> </w:t>
      </w:r>
      <w:r w:rsidR="003603F2" w:rsidRPr="003603F2">
        <w:rPr>
          <w:rFonts w:cs="Arial"/>
          <w:sz w:val="16"/>
          <w:szCs w:val="16"/>
        </w:rPr>
        <w:t>Using 1 nmol/µL Lactate Standard, prepare standard curve dilution as described in the table in a microplate or microcentrifuge tubes</w:t>
      </w:r>
      <w:r>
        <w:rPr>
          <w:rFonts w:cs="Arial"/>
          <w:sz w:val="16"/>
          <w:szCs w:val="16"/>
        </w:rPr>
        <w:t>.</w:t>
      </w:r>
    </w:p>
    <w:p w14:paraId="73FC88F8" w14:textId="20D48D0E" w:rsidR="006A3F81" w:rsidRPr="003603F2" w:rsidRDefault="006A3F81" w:rsidP="006A3F81">
      <w:pPr>
        <w:spacing w:before="60" w:after="60" w:line="276" w:lineRule="auto"/>
        <w:jc w:val="both"/>
        <w:rPr>
          <w:noProof/>
          <w:sz w:val="16"/>
          <w:szCs w:val="16"/>
        </w:rPr>
      </w:pPr>
      <w:r w:rsidRPr="003603F2">
        <w:rPr>
          <w:b/>
          <w:noProof/>
          <w:sz w:val="16"/>
          <w:szCs w:val="16"/>
        </w:rPr>
        <w:t>For the flurometric assay:</w:t>
      </w:r>
      <w:r w:rsidRPr="006A3F81">
        <w:rPr>
          <w:noProof/>
          <w:sz w:val="16"/>
          <w:szCs w:val="16"/>
        </w:rPr>
        <w:t xml:space="preserve"> </w:t>
      </w:r>
      <w:r w:rsidRPr="003603F2">
        <w:rPr>
          <w:noProof/>
          <w:sz w:val="16"/>
          <w:szCs w:val="16"/>
        </w:rPr>
        <w:t>Prepare 1 mL of 0.01 nmol/</w:t>
      </w:r>
      <w:r w:rsidRPr="003603F2">
        <w:rPr>
          <w:rFonts w:cs="Arial"/>
          <w:noProof/>
          <w:sz w:val="16"/>
          <w:szCs w:val="16"/>
        </w:rPr>
        <w:t>µ</w:t>
      </w:r>
      <w:r w:rsidRPr="003603F2">
        <w:rPr>
          <w:noProof/>
          <w:sz w:val="16"/>
          <w:szCs w:val="16"/>
        </w:rPr>
        <w:t>L Lactate Standard by diluting 10 µL of 1 nmol/</w:t>
      </w:r>
      <w:r w:rsidRPr="003603F2">
        <w:rPr>
          <w:rFonts w:cs="Arial"/>
          <w:noProof/>
          <w:sz w:val="16"/>
          <w:szCs w:val="16"/>
        </w:rPr>
        <w:t>µ</w:t>
      </w:r>
      <w:r w:rsidRPr="003603F2">
        <w:rPr>
          <w:noProof/>
          <w:sz w:val="16"/>
          <w:szCs w:val="16"/>
        </w:rPr>
        <w:t xml:space="preserve">L standard to 990 </w:t>
      </w:r>
      <w:r w:rsidRPr="003603F2">
        <w:rPr>
          <w:rFonts w:cs="Arial"/>
          <w:noProof/>
          <w:sz w:val="16"/>
          <w:szCs w:val="16"/>
        </w:rPr>
        <w:t>µ</w:t>
      </w:r>
      <w:r w:rsidRPr="003603F2">
        <w:rPr>
          <w:noProof/>
          <w:sz w:val="16"/>
          <w:szCs w:val="16"/>
        </w:rPr>
        <w:t xml:space="preserve">L of </w:t>
      </w:r>
      <w:r w:rsidR="00E46F8C" w:rsidRPr="00E46F8C">
        <w:rPr>
          <w:noProof/>
          <w:sz w:val="16"/>
          <w:szCs w:val="16"/>
        </w:rPr>
        <w:t>Assay Buffer II/</w:t>
      </w:r>
      <w:r w:rsidRPr="003603F2">
        <w:rPr>
          <w:noProof/>
          <w:sz w:val="16"/>
          <w:szCs w:val="16"/>
        </w:rPr>
        <w:t>Lactate Assay Buffer.</w:t>
      </w:r>
      <w:r>
        <w:rPr>
          <w:noProof/>
          <w:sz w:val="16"/>
          <w:szCs w:val="16"/>
        </w:rPr>
        <w:t xml:space="preserve"> </w:t>
      </w:r>
      <w:r w:rsidRPr="003603F2">
        <w:rPr>
          <w:noProof/>
          <w:sz w:val="16"/>
          <w:szCs w:val="16"/>
        </w:rPr>
        <w:t>Using 0.01 nmol/</w:t>
      </w:r>
      <w:r w:rsidRPr="003603F2">
        <w:rPr>
          <w:rFonts w:cs="Arial"/>
          <w:noProof/>
          <w:sz w:val="16"/>
          <w:szCs w:val="16"/>
        </w:rPr>
        <w:t>µ</w:t>
      </w:r>
      <w:r w:rsidRPr="003603F2">
        <w:rPr>
          <w:noProof/>
          <w:sz w:val="16"/>
          <w:szCs w:val="16"/>
        </w:rPr>
        <w:t>L standard, prepare standard curve dilution as described in the table in a microplate or microcentrifuge tubes:</w:t>
      </w:r>
    </w:p>
    <w:p w14:paraId="0A80C685" w14:textId="77777777" w:rsidR="003603F2" w:rsidRPr="003603F2" w:rsidRDefault="003603F2" w:rsidP="003603F2">
      <w:pPr>
        <w:tabs>
          <w:tab w:val="left" w:pos="900"/>
        </w:tabs>
        <w:spacing w:before="60" w:after="60" w:line="276" w:lineRule="auto"/>
        <w:ind w:left="360"/>
        <w:rPr>
          <w:rFonts w:cs="Arial"/>
          <w:sz w:val="16"/>
          <w:szCs w:val="16"/>
        </w:rPr>
      </w:pPr>
    </w:p>
    <w:tbl>
      <w:tblPr>
        <w:tblW w:w="7143" w:type="dxa"/>
        <w:jc w:val="center"/>
        <w:tblLook w:val="04A0" w:firstRow="1" w:lastRow="0" w:firstColumn="1" w:lastColumn="0" w:noHBand="0" w:noVBand="1"/>
      </w:tblPr>
      <w:tblGrid>
        <w:gridCol w:w="1020"/>
        <w:gridCol w:w="1020"/>
        <w:gridCol w:w="964"/>
        <w:gridCol w:w="1077"/>
        <w:gridCol w:w="1531"/>
        <w:gridCol w:w="1531"/>
      </w:tblGrid>
      <w:tr w:rsidR="006A3F81" w:rsidRPr="003603F2" w14:paraId="6FB2E29F" w14:textId="451237BB" w:rsidTr="006A3F81">
        <w:trPr>
          <w:trHeight w:val="283"/>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C9DF5" w14:textId="77777777" w:rsidR="006A3F81" w:rsidRPr="003603F2" w:rsidRDefault="006A3F81" w:rsidP="003603F2">
            <w:pPr>
              <w:spacing w:before="0" w:after="0"/>
              <w:jc w:val="center"/>
              <w:rPr>
                <w:rFonts w:eastAsia="Times New Roman" w:cs="Arial"/>
                <w:b/>
                <w:bCs/>
                <w:sz w:val="16"/>
                <w:szCs w:val="16"/>
              </w:rPr>
            </w:pPr>
            <w:r w:rsidRPr="003603F2">
              <w:rPr>
                <w:rFonts w:eastAsia="Times New Roman" w:cs="Arial"/>
                <w:b/>
                <w:bCs/>
                <w:sz w:val="16"/>
                <w:szCs w:val="16"/>
              </w:rPr>
              <w:t>Standard</w:t>
            </w:r>
          </w:p>
          <w:p w14:paraId="5B5477F9" w14:textId="77777777" w:rsidR="006A3F81" w:rsidRPr="003603F2" w:rsidRDefault="006A3F81" w:rsidP="003603F2">
            <w:pPr>
              <w:spacing w:before="0" w:after="0"/>
              <w:jc w:val="center"/>
              <w:rPr>
                <w:rFonts w:eastAsia="Times New Roman" w:cs="Arial"/>
                <w:b/>
                <w:bCs/>
                <w:sz w:val="16"/>
                <w:szCs w:val="16"/>
              </w:rPr>
            </w:pPr>
            <w:r w:rsidRPr="003603F2">
              <w:rPr>
                <w:rFonts w:eastAsia="Times New Roman" w:cs="Arial"/>
                <w:b/>
                <w:bCs/>
                <w:sz w:val="16"/>
                <w:szCs w:val="16"/>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28B7F98" w14:textId="77777777" w:rsidR="006A3F81" w:rsidRPr="003603F2" w:rsidRDefault="006A3F81" w:rsidP="003603F2">
            <w:pPr>
              <w:spacing w:before="0" w:after="0"/>
              <w:jc w:val="center"/>
              <w:rPr>
                <w:rFonts w:eastAsia="Times New Roman" w:cs="Arial"/>
                <w:b/>
                <w:bCs/>
                <w:sz w:val="16"/>
                <w:szCs w:val="16"/>
              </w:rPr>
            </w:pPr>
            <w:r w:rsidRPr="003603F2">
              <w:rPr>
                <w:rFonts w:eastAsia="Times New Roman" w:cs="Arial"/>
                <w:b/>
                <w:bCs/>
                <w:sz w:val="16"/>
                <w:szCs w:val="16"/>
              </w:rPr>
              <w:t>Volume of Standard</w:t>
            </w:r>
          </w:p>
          <w:p w14:paraId="4CAAD8E3" w14:textId="77777777" w:rsidR="006A3F81" w:rsidRPr="003603F2" w:rsidRDefault="006A3F81" w:rsidP="003603F2">
            <w:pPr>
              <w:spacing w:before="0" w:after="0"/>
              <w:jc w:val="center"/>
              <w:rPr>
                <w:rFonts w:eastAsia="Times New Roman" w:cs="Arial"/>
                <w:b/>
                <w:bCs/>
                <w:sz w:val="16"/>
                <w:szCs w:val="16"/>
              </w:rPr>
            </w:pPr>
            <w:r w:rsidRPr="003603F2">
              <w:rPr>
                <w:rFonts w:eastAsia="Times New Roman" w:cs="Arial"/>
                <w:b/>
                <w:bCs/>
                <w:sz w:val="16"/>
                <w:szCs w:val="16"/>
              </w:rPr>
              <w:t>(µL)</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514F612B" w14:textId="102E6F72" w:rsidR="006A3F81" w:rsidRPr="003603F2" w:rsidRDefault="00E46F8C" w:rsidP="003603F2">
            <w:pPr>
              <w:spacing w:before="0" w:after="0"/>
              <w:jc w:val="center"/>
              <w:rPr>
                <w:rFonts w:eastAsia="Times New Roman" w:cs="Arial"/>
                <w:b/>
                <w:bCs/>
                <w:sz w:val="16"/>
                <w:szCs w:val="16"/>
              </w:rPr>
            </w:pPr>
            <w:r w:rsidRPr="00E46F8C">
              <w:rPr>
                <w:rFonts w:eastAsia="Times New Roman" w:cs="Arial"/>
                <w:b/>
                <w:bCs/>
                <w:sz w:val="16"/>
                <w:szCs w:val="16"/>
              </w:rPr>
              <w:t>Assay Buffer II/</w:t>
            </w:r>
            <w:r w:rsidR="006A3F81" w:rsidRPr="003603F2">
              <w:rPr>
                <w:rFonts w:eastAsia="Times New Roman" w:cs="Arial"/>
                <w:b/>
                <w:bCs/>
                <w:sz w:val="16"/>
                <w:szCs w:val="16"/>
              </w:rPr>
              <w:t>Assay Buffer</w:t>
            </w:r>
          </w:p>
          <w:p w14:paraId="6D4F8D41" w14:textId="77777777" w:rsidR="006A3F81" w:rsidRPr="003603F2" w:rsidRDefault="006A3F81" w:rsidP="003603F2">
            <w:pPr>
              <w:spacing w:before="0" w:after="0"/>
              <w:jc w:val="center"/>
              <w:rPr>
                <w:rFonts w:eastAsia="Times New Roman" w:cs="Arial"/>
                <w:b/>
                <w:bCs/>
                <w:sz w:val="16"/>
                <w:szCs w:val="16"/>
              </w:rPr>
            </w:pPr>
            <w:r w:rsidRPr="003603F2">
              <w:rPr>
                <w:rFonts w:eastAsia="Times New Roman" w:cs="Arial"/>
                <w:b/>
                <w:bCs/>
                <w:sz w:val="16"/>
                <w:szCs w:val="16"/>
              </w:rPr>
              <w:t>(µL)</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FEAE044" w14:textId="77777777" w:rsidR="006A3F81" w:rsidRPr="003603F2" w:rsidRDefault="006A3F81" w:rsidP="003603F2">
            <w:pPr>
              <w:spacing w:before="0" w:after="0"/>
              <w:jc w:val="center"/>
              <w:rPr>
                <w:rFonts w:eastAsia="Times New Roman" w:cs="Arial"/>
                <w:b/>
                <w:bCs/>
                <w:sz w:val="16"/>
                <w:szCs w:val="16"/>
              </w:rPr>
            </w:pPr>
            <w:r w:rsidRPr="003603F2">
              <w:rPr>
                <w:rFonts w:eastAsia="Times New Roman" w:cs="Arial"/>
                <w:b/>
                <w:bCs/>
                <w:sz w:val="16"/>
                <w:szCs w:val="16"/>
              </w:rPr>
              <w:t>Final volume standard in well (µL)</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5E68B7C7" w14:textId="77777777" w:rsidR="006A3F81" w:rsidRDefault="006A3F81" w:rsidP="003603F2">
            <w:pPr>
              <w:spacing w:before="0" w:after="0"/>
              <w:jc w:val="center"/>
              <w:rPr>
                <w:rFonts w:eastAsia="Times New Roman" w:cs="Arial"/>
                <w:b/>
                <w:bCs/>
                <w:sz w:val="16"/>
                <w:szCs w:val="16"/>
              </w:rPr>
            </w:pPr>
            <w:r w:rsidRPr="003603F2">
              <w:rPr>
                <w:rFonts w:eastAsia="Times New Roman" w:cs="Arial"/>
                <w:b/>
                <w:bCs/>
                <w:sz w:val="16"/>
                <w:szCs w:val="16"/>
              </w:rPr>
              <w:t>End [L-Lactate] in well</w:t>
            </w:r>
          </w:p>
          <w:p w14:paraId="10AA48AE" w14:textId="517C1C88" w:rsidR="006A3F81" w:rsidRPr="003603F2" w:rsidRDefault="006A3F81" w:rsidP="003603F2">
            <w:pPr>
              <w:spacing w:before="0" w:after="0"/>
              <w:jc w:val="center"/>
              <w:rPr>
                <w:rFonts w:eastAsia="Times New Roman" w:cs="Arial"/>
                <w:b/>
                <w:bCs/>
                <w:sz w:val="16"/>
                <w:szCs w:val="16"/>
              </w:rPr>
            </w:pPr>
            <w:r>
              <w:rPr>
                <w:rFonts w:eastAsia="Times New Roman" w:cs="Arial"/>
                <w:b/>
                <w:bCs/>
                <w:sz w:val="16"/>
                <w:szCs w:val="16"/>
              </w:rPr>
              <w:t>(Colorimetric)</w:t>
            </w:r>
          </w:p>
        </w:tc>
        <w:tc>
          <w:tcPr>
            <w:tcW w:w="1531" w:type="dxa"/>
            <w:tcBorders>
              <w:top w:val="single" w:sz="4" w:space="0" w:color="auto"/>
              <w:left w:val="nil"/>
              <w:bottom w:val="single" w:sz="4" w:space="0" w:color="auto"/>
              <w:right w:val="single" w:sz="4" w:space="0" w:color="auto"/>
            </w:tcBorders>
            <w:vAlign w:val="center"/>
          </w:tcPr>
          <w:p w14:paraId="6298BE1C" w14:textId="77777777" w:rsidR="006A3F81" w:rsidRDefault="006A3F81" w:rsidP="006A3F81">
            <w:pPr>
              <w:spacing w:before="0" w:after="0"/>
              <w:jc w:val="center"/>
              <w:rPr>
                <w:rFonts w:eastAsia="Times New Roman" w:cs="Arial"/>
                <w:b/>
                <w:bCs/>
                <w:sz w:val="16"/>
                <w:szCs w:val="16"/>
              </w:rPr>
            </w:pPr>
            <w:r w:rsidRPr="003603F2">
              <w:rPr>
                <w:rFonts w:eastAsia="Times New Roman" w:cs="Arial"/>
                <w:b/>
                <w:bCs/>
                <w:sz w:val="16"/>
                <w:szCs w:val="16"/>
              </w:rPr>
              <w:t>End [L-Lactate] in well</w:t>
            </w:r>
          </w:p>
          <w:p w14:paraId="66F0CDA8" w14:textId="5F5178D4" w:rsidR="006A3F81" w:rsidRPr="003603F2" w:rsidRDefault="006A3F81" w:rsidP="006A3F81">
            <w:pPr>
              <w:spacing w:before="0" w:after="0"/>
              <w:jc w:val="center"/>
              <w:rPr>
                <w:rFonts w:eastAsia="Times New Roman" w:cs="Arial"/>
                <w:b/>
                <w:bCs/>
                <w:sz w:val="16"/>
                <w:szCs w:val="16"/>
              </w:rPr>
            </w:pPr>
            <w:r>
              <w:rPr>
                <w:rFonts w:eastAsia="Times New Roman" w:cs="Arial"/>
                <w:b/>
                <w:bCs/>
                <w:sz w:val="16"/>
                <w:szCs w:val="16"/>
              </w:rPr>
              <w:t>(Fluorometric)</w:t>
            </w:r>
          </w:p>
        </w:tc>
      </w:tr>
      <w:tr w:rsidR="006A3F81" w:rsidRPr="003603F2" w14:paraId="563F55EF" w14:textId="3F0EA63C" w:rsidTr="006A3F81">
        <w:trPr>
          <w:trHeight w:val="28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CACDC6E"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14:paraId="4E914CBD"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0</w:t>
            </w:r>
          </w:p>
        </w:tc>
        <w:tc>
          <w:tcPr>
            <w:tcW w:w="964" w:type="dxa"/>
            <w:tcBorders>
              <w:top w:val="nil"/>
              <w:left w:val="nil"/>
              <w:bottom w:val="single" w:sz="4" w:space="0" w:color="auto"/>
              <w:right w:val="single" w:sz="4" w:space="0" w:color="auto"/>
            </w:tcBorders>
            <w:shd w:val="clear" w:color="auto" w:fill="auto"/>
            <w:vAlign w:val="center"/>
            <w:hideMark/>
          </w:tcPr>
          <w:p w14:paraId="3739D444"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150</w:t>
            </w:r>
          </w:p>
        </w:tc>
        <w:tc>
          <w:tcPr>
            <w:tcW w:w="1077" w:type="dxa"/>
            <w:tcBorders>
              <w:top w:val="nil"/>
              <w:left w:val="nil"/>
              <w:bottom w:val="single" w:sz="4" w:space="0" w:color="auto"/>
              <w:right w:val="single" w:sz="4" w:space="0" w:color="auto"/>
            </w:tcBorders>
            <w:shd w:val="clear" w:color="auto" w:fill="auto"/>
            <w:vAlign w:val="center"/>
            <w:hideMark/>
          </w:tcPr>
          <w:p w14:paraId="4090F3DE"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50</w:t>
            </w:r>
          </w:p>
        </w:tc>
        <w:tc>
          <w:tcPr>
            <w:tcW w:w="1531" w:type="dxa"/>
            <w:tcBorders>
              <w:top w:val="nil"/>
              <w:left w:val="nil"/>
              <w:bottom w:val="single" w:sz="4" w:space="0" w:color="auto"/>
              <w:right w:val="single" w:sz="4" w:space="0" w:color="auto"/>
            </w:tcBorders>
            <w:shd w:val="clear" w:color="auto" w:fill="auto"/>
            <w:vAlign w:val="center"/>
          </w:tcPr>
          <w:p w14:paraId="13E86A36"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0 nmol/well</w:t>
            </w:r>
          </w:p>
        </w:tc>
        <w:tc>
          <w:tcPr>
            <w:tcW w:w="1531" w:type="dxa"/>
            <w:tcBorders>
              <w:top w:val="nil"/>
              <w:left w:val="nil"/>
              <w:bottom w:val="single" w:sz="4" w:space="0" w:color="auto"/>
              <w:right w:val="single" w:sz="4" w:space="0" w:color="auto"/>
            </w:tcBorders>
            <w:vAlign w:val="center"/>
          </w:tcPr>
          <w:p w14:paraId="300C1D78" w14:textId="2F1DCE35" w:rsidR="006A3F81" w:rsidRPr="003603F2" w:rsidRDefault="006A3F81" w:rsidP="006A3F81">
            <w:pPr>
              <w:spacing w:before="0" w:after="0"/>
              <w:jc w:val="center"/>
              <w:rPr>
                <w:rFonts w:eastAsia="Times New Roman" w:cs="Arial"/>
                <w:sz w:val="16"/>
                <w:szCs w:val="16"/>
              </w:rPr>
            </w:pPr>
            <w:r>
              <w:rPr>
                <w:rFonts w:eastAsia="Times New Roman" w:cs="Arial"/>
                <w:sz w:val="16"/>
                <w:szCs w:val="16"/>
              </w:rPr>
              <w:t>0 nmol/well</w:t>
            </w:r>
          </w:p>
        </w:tc>
      </w:tr>
      <w:tr w:rsidR="006A3F81" w:rsidRPr="003603F2" w14:paraId="6FADA1D0" w14:textId="5BD35DFB" w:rsidTr="006A3F81">
        <w:trPr>
          <w:trHeight w:val="28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6D09421"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14:paraId="1ACF9BD2"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6</w:t>
            </w:r>
          </w:p>
        </w:tc>
        <w:tc>
          <w:tcPr>
            <w:tcW w:w="964" w:type="dxa"/>
            <w:tcBorders>
              <w:top w:val="nil"/>
              <w:left w:val="nil"/>
              <w:bottom w:val="single" w:sz="4" w:space="0" w:color="auto"/>
              <w:right w:val="single" w:sz="4" w:space="0" w:color="auto"/>
            </w:tcBorders>
            <w:shd w:val="clear" w:color="auto" w:fill="auto"/>
            <w:vAlign w:val="center"/>
          </w:tcPr>
          <w:p w14:paraId="299974FF"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144</w:t>
            </w:r>
          </w:p>
        </w:tc>
        <w:tc>
          <w:tcPr>
            <w:tcW w:w="1077" w:type="dxa"/>
            <w:tcBorders>
              <w:top w:val="nil"/>
              <w:left w:val="nil"/>
              <w:bottom w:val="single" w:sz="4" w:space="0" w:color="auto"/>
              <w:right w:val="single" w:sz="4" w:space="0" w:color="auto"/>
            </w:tcBorders>
            <w:shd w:val="clear" w:color="auto" w:fill="auto"/>
            <w:vAlign w:val="center"/>
            <w:hideMark/>
          </w:tcPr>
          <w:p w14:paraId="7F2A2CD4"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50</w:t>
            </w:r>
          </w:p>
        </w:tc>
        <w:tc>
          <w:tcPr>
            <w:tcW w:w="1531" w:type="dxa"/>
            <w:tcBorders>
              <w:top w:val="nil"/>
              <w:left w:val="nil"/>
              <w:bottom w:val="single" w:sz="4" w:space="0" w:color="auto"/>
              <w:right w:val="single" w:sz="4" w:space="0" w:color="auto"/>
            </w:tcBorders>
            <w:shd w:val="clear" w:color="auto" w:fill="auto"/>
            <w:vAlign w:val="center"/>
          </w:tcPr>
          <w:p w14:paraId="1006CB30"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2 nmol/well</w:t>
            </w:r>
          </w:p>
        </w:tc>
        <w:tc>
          <w:tcPr>
            <w:tcW w:w="1531" w:type="dxa"/>
            <w:tcBorders>
              <w:top w:val="nil"/>
              <w:left w:val="nil"/>
              <w:bottom w:val="single" w:sz="4" w:space="0" w:color="auto"/>
              <w:right w:val="single" w:sz="4" w:space="0" w:color="auto"/>
            </w:tcBorders>
            <w:vAlign w:val="center"/>
          </w:tcPr>
          <w:p w14:paraId="56C95AC5" w14:textId="23CD43FD" w:rsidR="006A3F81" w:rsidRPr="003603F2" w:rsidRDefault="006A3F81" w:rsidP="006A3F81">
            <w:pPr>
              <w:spacing w:before="0" w:after="0"/>
              <w:jc w:val="center"/>
              <w:rPr>
                <w:rFonts w:eastAsia="Times New Roman" w:cs="Arial"/>
                <w:sz w:val="16"/>
                <w:szCs w:val="16"/>
              </w:rPr>
            </w:pPr>
            <w:r>
              <w:rPr>
                <w:rFonts w:eastAsia="Times New Roman" w:cs="Arial"/>
                <w:sz w:val="16"/>
                <w:szCs w:val="16"/>
              </w:rPr>
              <w:t>0.02 nmol/well</w:t>
            </w:r>
          </w:p>
        </w:tc>
      </w:tr>
      <w:tr w:rsidR="006A3F81" w:rsidRPr="003603F2" w14:paraId="63D124B6" w14:textId="05AC29B0" w:rsidTr="006A3F81">
        <w:trPr>
          <w:trHeight w:val="28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259D4C"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3</w:t>
            </w:r>
          </w:p>
        </w:tc>
        <w:tc>
          <w:tcPr>
            <w:tcW w:w="1020" w:type="dxa"/>
            <w:tcBorders>
              <w:top w:val="nil"/>
              <w:left w:val="nil"/>
              <w:bottom w:val="single" w:sz="4" w:space="0" w:color="auto"/>
              <w:right w:val="single" w:sz="4" w:space="0" w:color="auto"/>
            </w:tcBorders>
            <w:shd w:val="clear" w:color="auto" w:fill="auto"/>
            <w:vAlign w:val="center"/>
            <w:hideMark/>
          </w:tcPr>
          <w:p w14:paraId="05106CD1"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12</w:t>
            </w:r>
          </w:p>
        </w:tc>
        <w:tc>
          <w:tcPr>
            <w:tcW w:w="964" w:type="dxa"/>
            <w:tcBorders>
              <w:top w:val="nil"/>
              <w:left w:val="nil"/>
              <w:bottom w:val="single" w:sz="4" w:space="0" w:color="auto"/>
              <w:right w:val="single" w:sz="4" w:space="0" w:color="auto"/>
            </w:tcBorders>
            <w:shd w:val="clear" w:color="auto" w:fill="auto"/>
            <w:vAlign w:val="center"/>
          </w:tcPr>
          <w:p w14:paraId="622B394F"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138</w:t>
            </w:r>
          </w:p>
        </w:tc>
        <w:tc>
          <w:tcPr>
            <w:tcW w:w="1077" w:type="dxa"/>
            <w:tcBorders>
              <w:top w:val="nil"/>
              <w:left w:val="nil"/>
              <w:bottom w:val="single" w:sz="4" w:space="0" w:color="auto"/>
              <w:right w:val="single" w:sz="4" w:space="0" w:color="auto"/>
            </w:tcBorders>
            <w:shd w:val="clear" w:color="auto" w:fill="auto"/>
            <w:vAlign w:val="center"/>
            <w:hideMark/>
          </w:tcPr>
          <w:p w14:paraId="2F426C0F"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50</w:t>
            </w:r>
          </w:p>
        </w:tc>
        <w:tc>
          <w:tcPr>
            <w:tcW w:w="1531" w:type="dxa"/>
            <w:tcBorders>
              <w:top w:val="nil"/>
              <w:left w:val="nil"/>
              <w:bottom w:val="single" w:sz="4" w:space="0" w:color="auto"/>
              <w:right w:val="single" w:sz="4" w:space="0" w:color="auto"/>
            </w:tcBorders>
            <w:shd w:val="clear" w:color="auto" w:fill="auto"/>
            <w:vAlign w:val="center"/>
          </w:tcPr>
          <w:p w14:paraId="2238458E"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4 nmol/well</w:t>
            </w:r>
          </w:p>
        </w:tc>
        <w:tc>
          <w:tcPr>
            <w:tcW w:w="1531" w:type="dxa"/>
            <w:tcBorders>
              <w:top w:val="nil"/>
              <w:left w:val="nil"/>
              <w:bottom w:val="single" w:sz="4" w:space="0" w:color="auto"/>
              <w:right w:val="single" w:sz="4" w:space="0" w:color="auto"/>
            </w:tcBorders>
            <w:vAlign w:val="center"/>
          </w:tcPr>
          <w:p w14:paraId="38C7EA8D" w14:textId="42EA4838" w:rsidR="006A3F81" w:rsidRPr="003603F2" w:rsidRDefault="006A3F81" w:rsidP="006A3F81">
            <w:pPr>
              <w:spacing w:before="0" w:after="0"/>
              <w:jc w:val="center"/>
              <w:rPr>
                <w:rFonts w:eastAsia="Times New Roman" w:cs="Arial"/>
                <w:sz w:val="16"/>
                <w:szCs w:val="16"/>
              </w:rPr>
            </w:pPr>
            <w:r>
              <w:rPr>
                <w:rFonts w:eastAsia="Times New Roman" w:cs="Arial"/>
                <w:sz w:val="16"/>
                <w:szCs w:val="16"/>
              </w:rPr>
              <w:t>0.04 nmol/well</w:t>
            </w:r>
          </w:p>
        </w:tc>
      </w:tr>
      <w:tr w:rsidR="006A3F81" w:rsidRPr="003603F2" w14:paraId="7705289F" w14:textId="687E041A" w:rsidTr="006A3F81">
        <w:trPr>
          <w:trHeight w:val="28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97A48EF"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4</w:t>
            </w:r>
          </w:p>
        </w:tc>
        <w:tc>
          <w:tcPr>
            <w:tcW w:w="1020" w:type="dxa"/>
            <w:tcBorders>
              <w:top w:val="nil"/>
              <w:left w:val="nil"/>
              <w:bottom w:val="single" w:sz="4" w:space="0" w:color="auto"/>
              <w:right w:val="single" w:sz="4" w:space="0" w:color="auto"/>
            </w:tcBorders>
            <w:shd w:val="clear" w:color="auto" w:fill="auto"/>
            <w:vAlign w:val="center"/>
            <w:hideMark/>
          </w:tcPr>
          <w:p w14:paraId="134CEB78"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18</w:t>
            </w:r>
          </w:p>
        </w:tc>
        <w:tc>
          <w:tcPr>
            <w:tcW w:w="964" w:type="dxa"/>
            <w:tcBorders>
              <w:top w:val="nil"/>
              <w:left w:val="nil"/>
              <w:bottom w:val="single" w:sz="4" w:space="0" w:color="auto"/>
              <w:right w:val="single" w:sz="4" w:space="0" w:color="auto"/>
            </w:tcBorders>
            <w:shd w:val="clear" w:color="auto" w:fill="auto"/>
            <w:vAlign w:val="center"/>
          </w:tcPr>
          <w:p w14:paraId="08F20AA0"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132</w:t>
            </w:r>
          </w:p>
        </w:tc>
        <w:tc>
          <w:tcPr>
            <w:tcW w:w="1077" w:type="dxa"/>
            <w:tcBorders>
              <w:top w:val="nil"/>
              <w:left w:val="nil"/>
              <w:bottom w:val="single" w:sz="4" w:space="0" w:color="auto"/>
              <w:right w:val="single" w:sz="4" w:space="0" w:color="auto"/>
            </w:tcBorders>
            <w:shd w:val="clear" w:color="auto" w:fill="auto"/>
            <w:vAlign w:val="center"/>
            <w:hideMark/>
          </w:tcPr>
          <w:p w14:paraId="488E6029"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50</w:t>
            </w:r>
          </w:p>
        </w:tc>
        <w:tc>
          <w:tcPr>
            <w:tcW w:w="1531" w:type="dxa"/>
            <w:tcBorders>
              <w:top w:val="nil"/>
              <w:left w:val="nil"/>
              <w:bottom w:val="single" w:sz="4" w:space="0" w:color="auto"/>
              <w:right w:val="single" w:sz="4" w:space="0" w:color="auto"/>
            </w:tcBorders>
            <w:shd w:val="clear" w:color="auto" w:fill="auto"/>
            <w:vAlign w:val="center"/>
          </w:tcPr>
          <w:p w14:paraId="190BDC0A"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6 nmol/well</w:t>
            </w:r>
          </w:p>
        </w:tc>
        <w:tc>
          <w:tcPr>
            <w:tcW w:w="1531" w:type="dxa"/>
            <w:tcBorders>
              <w:top w:val="nil"/>
              <w:left w:val="nil"/>
              <w:bottom w:val="single" w:sz="4" w:space="0" w:color="auto"/>
              <w:right w:val="single" w:sz="4" w:space="0" w:color="auto"/>
            </w:tcBorders>
            <w:vAlign w:val="center"/>
          </w:tcPr>
          <w:p w14:paraId="45705454" w14:textId="2B09B8F4" w:rsidR="006A3F81" w:rsidRPr="003603F2" w:rsidRDefault="006A3F81" w:rsidP="006A3F81">
            <w:pPr>
              <w:spacing w:before="0" w:after="0"/>
              <w:jc w:val="center"/>
              <w:rPr>
                <w:rFonts w:eastAsia="Times New Roman" w:cs="Arial"/>
                <w:sz w:val="16"/>
                <w:szCs w:val="16"/>
              </w:rPr>
            </w:pPr>
            <w:r>
              <w:rPr>
                <w:rFonts w:eastAsia="Times New Roman" w:cs="Arial"/>
                <w:sz w:val="16"/>
                <w:szCs w:val="16"/>
              </w:rPr>
              <w:t>0.06 nmol/well</w:t>
            </w:r>
          </w:p>
        </w:tc>
      </w:tr>
      <w:tr w:rsidR="006A3F81" w:rsidRPr="003603F2" w14:paraId="0411FCF8" w14:textId="015FF02A" w:rsidTr="006A3F81">
        <w:trPr>
          <w:trHeight w:val="28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BF4566C"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5</w:t>
            </w:r>
          </w:p>
        </w:tc>
        <w:tc>
          <w:tcPr>
            <w:tcW w:w="1020" w:type="dxa"/>
            <w:tcBorders>
              <w:top w:val="nil"/>
              <w:left w:val="nil"/>
              <w:bottom w:val="single" w:sz="4" w:space="0" w:color="auto"/>
              <w:right w:val="single" w:sz="4" w:space="0" w:color="auto"/>
            </w:tcBorders>
            <w:shd w:val="clear" w:color="auto" w:fill="auto"/>
            <w:vAlign w:val="center"/>
            <w:hideMark/>
          </w:tcPr>
          <w:p w14:paraId="07A42E0D"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24</w:t>
            </w:r>
          </w:p>
        </w:tc>
        <w:tc>
          <w:tcPr>
            <w:tcW w:w="964" w:type="dxa"/>
            <w:tcBorders>
              <w:top w:val="nil"/>
              <w:left w:val="nil"/>
              <w:bottom w:val="single" w:sz="4" w:space="0" w:color="auto"/>
              <w:right w:val="single" w:sz="4" w:space="0" w:color="auto"/>
            </w:tcBorders>
            <w:shd w:val="clear" w:color="auto" w:fill="auto"/>
            <w:vAlign w:val="center"/>
          </w:tcPr>
          <w:p w14:paraId="408760C5"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126</w:t>
            </w:r>
          </w:p>
        </w:tc>
        <w:tc>
          <w:tcPr>
            <w:tcW w:w="1077" w:type="dxa"/>
            <w:tcBorders>
              <w:top w:val="nil"/>
              <w:left w:val="nil"/>
              <w:bottom w:val="single" w:sz="4" w:space="0" w:color="auto"/>
              <w:right w:val="single" w:sz="4" w:space="0" w:color="auto"/>
            </w:tcBorders>
            <w:shd w:val="clear" w:color="auto" w:fill="auto"/>
            <w:vAlign w:val="center"/>
            <w:hideMark/>
          </w:tcPr>
          <w:p w14:paraId="24983A50"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50</w:t>
            </w:r>
          </w:p>
        </w:tc>
        <w:tc>
          <w:tcPr>
            <w:tcW w:w="1531" w:type="dxa"/>
            <w:tcBorders>
              <w:top w:val="nil"/>
              <w:left w:val="nil"/>
              <w:bottom w:val="single" w:sz="4" w:space="0" w:color="auto"/>
              <w:right w:val="single" w:sz="4" w:space="0" w:color="auto"/>
            </w:tcBorders>
            <w:shd w:val="clear" w:color="auto" w:fill="auto"/>
            <w:vAlign w:val="center"/>
          </w:tcPr>
          <w:p w14:paraId="7F01D33E"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8 nmol/well</w:t>
            </w:r>
          </w:p>
        </w:tc>
        <w:tc>
          <w:tcPr>
            <w:tcW w:w="1531" w:type="dxa"/>
            <w:tcBorders>
              <w:top w:val="nil"/>
              <w:left w:val="nil"/>
              <w:bottom w:val="single" w:sz="4" w:space="0" w:color="auto"/>
              <w:right w:val="single" w:sz="4" w:space="0" w:color="auto"/>
            </w:tcBorders>
            <w:vAlign w:val="center"/>
          </w:tcPr>
          <w:p w14:paraId="588D1FF9" w14:textId="7134E73A" w:rsidR="006A3F81" w:rsidRPr="003603F2" w:rsidRDefault="006A3F81" w:rsidP="006A3F81">
            <w:pPr>
              <w:spacing w:before="0" w:after="0"/>
              <w:jc w:val="center"/>
              <w:rPr>
                <w:rFonts w:eastAsia="Times New Roman" w:cs="Arial"/>
                <w:sz w:val="16"/>
                <w:szCs w:val="16"/>
              </w:rPr>
            </w:pPr>
            <w:r>
              <w:rPr>
                <w:rFonts w:eastAsia="Times New Roman" w:cs="Arial"/>
                <w:sz w:val="16"/>
                <w:szCs w:val="16"/>
              </w:rPr>
              <w:t>0.08 nmol/well</w:t>
            </w:r>
          </w:p>
        </w:tc>
      </w:tr>
      <w:tr w:rsidR="006A3F81" w:rsidRPr="003603F2" w14:paraId="5A2B9D7C" w14:textId="39106D73" w:rsidTr="006A3F81">
        <w:trPr>
          <w:trHeight w:val="283"/>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1226AEB"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6</w:t>
            </w:r>
          </w:p>
        </w:tc>
        <w:tc>
          <w:tcPr>
            <w:tcW w:w="1020" w:type="dxa"/>
            <w:tcBorders>
              <w:top w:val="nil"/>
              <w:left w:val="nil"/>
              <w:bottom w:val="single" w:sz="4" w:space="0" w:color="auto"/>
              <w:right w:val="single" w:sz="4" w:space="0" w:color="auto"/>
            </w:tcBorders>
            <w:shd w:val="clear" w:color="auto" w:fill="auto"/>
            <w:vAlign w:val="center"/>
            <w:hideMark/>
          </w:tcPr>
          <w:p w14:paraId="606C9562"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30</w:t>
            </w:r>
          </w:p>
        </w:tc>
        <w:tc>
          <w:tcPr>
            <w:tcW w:w="964" w:type="dxa"/>
            <w:tcBorders>
              <w:top w:val="nil"/>
              <w:left w:val="nil"/>
              <w:bottom w:val="single" w:sz="4" w:space="0" w:color="auto"/>
              <w:right w:val="single" w:sz="4" w:space="0" w:color="auto"/>
            </w:tcBorders>
            <w:shd w:val="clear" w:color="auto" w:fill="auto"/>
            <w:vAlign w:val="center"/>
          </w:tcPr>
          <w:p w14:paraId="40ABAC8A"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120</w:t>
            </w:r>
          </w:p>
        </w:tc>
        <w:tc>
          <w:tcPr>
            <w:tcW w:w="1077" w:type="dxa"/>
            <w:tcBorders>
              <w:top w:val="nil"/>
              <w:left w:val="nil"/>
              <w:bottom w:val="single" w:sz="4" w:space="0" w:color="auto"/>
              <w:right w:val="single" w:sz="4" w:space="0" w:color="auto"/>
            </w:tcBorders>
            <w:shd w:val="clear" w:color="auto" w:fill="auto"/>
            <w:vAlign w:val="center"/>
            <w:hideMark/>
          </w:tcPr>
          <w:p w14:paraId="1506FF1B"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50</w:t>
            </w:r>
          </w:p>
        </w:tc>
        <w:tc>
          <w:tcPr>
            <w:tcW w:w="1531" w:type="dxa"/>
            <w:tcBorders>
              <w:top w:val="nil"/>
              <w:left w:val="nil"/>
              <w:bottom w:val="single" w:sz="4" w:space="0" w:color="auto"/>
              <w:right w:val="single" w:sz="4" w:space="0" w:color="auto"/>
            </w:tcBorders>
            <w:shd w:val="clear" w:color="auto" w:fill="auto"/>
            <w:vAlign w:val="center"/>
            <w:hideMark/>
          </w:tcPr>
          <w:p w14:paraId="48756189" w14:textId="77777777" w:rsidR="006A3F81" w:rsidRPr="003603F2" w:rsidRDefault="006A3F81" w:rsidP="003603F2">
            <w:pPr>
              <w:spacing w:before="0" w:after="0"/>
              <w:jc w:val="center"/>
              <w:rPr>
                <w:rFonts w:eastAsia="Times New Roman" w:cs="Arial"/>
                <w:sz w:val="16"/>
                <w:szCs w:val="16"/>
              </w:rPr>
            </w:pPr>
            <w:r w:rsidRPr="003603F2">
              <w:rPr>
                <w:rFonts w:eastAsia="Times New Roman" w:cs="Arial"/>
                <w:sz w:val="16"/>
                <w:szCs w:val="16"/>
              </w:rPr>
              <w:t>10 nmol/well</w:t>
            </w:r>
          </w:p>
        </w:tc>
        <w:tc>
          <w:tcPr>
            <w:tcW w:w="1531" w:type="dxa"/>
            <w:tcBorders>
              <w:top w:val="nil"/>
              <w:left w:val="nil"/>
              <w:bottom w:val="single" w:sz="4" w:space="0" w:color="auto"/>
              <w:right w:val="single" w:sz="4" w:space="0" w:color="auto"/>
            </w:tcBorders>
            <w:vAlign w:val="center"/>
          </w:tcPr>
          <w:p w14:paraId="4643997D" w14:textId="6A6BD8C4" w:rsidR="006A3F81" w:rsidRPr="003603F2" w:rsidRDefault="006A3F81" w:rsidP="006A3F81">
            <w:pPr>
              <w:spacing w:before="0" w:after="0"/>
              <w:jc w:val="center"/>
              <w:rPr>
                <w:rFonts w:eastAsia="Times New Roman" w:cs="Arial"/>
                <w:sz w:val="16"/>
                <w:szCs w:val="16"/>
              </w:rPr>
            </w:pPr>
            <w:r>
              <w:rPr>
                <w:rFonts w:eastAsia="Times New Roman" w:cs="Arial"/>
                <w:sz w:val="16"/>
                <w:szCs w:val="16"/>
              </w:rPr>
              <w:t>0.1 nmol/well</w:t>
            </w:r>
          </w:p>
        </w:tc>
      </w:tr>
    </w:tbl>
    <w:p w14:paraId="56457A48" w14:textId="77777777" w:rsidR="003603F2" w:rsidRPr="003603F2" w:rsidRDefault="003603F2" w:rsidP="003603F2">
      <w:pPr>
        <w:spacing w:before="10" w:afterLines="30" w:after="72" w:line="23" w:lineRule="atLeast"/>
        <w:rPr>
          <w:rFonts w:cs="Arial"/>
          <w:sz w:val="16"/>
          <w:szCs w:val="16"/>
        </w:rPr>
      </w:pPr>
    </w:p>
    <w:p w14:paraId="42710D00" w14:textId="77777777" w:rsidR="003603F2" w:rsidRPr="006A3F81" w:rsidRDefault="003603F2" w:rsidP="006A3F81">
      <w:pPr>
        <w:tabs>
          <w:tab w:val="left" w:pos="900"/>
        </w:tabs>
        <w:spacing w:before="60" w:after="60" w:line="276" w:lineRule="auto"/>
        <w:rPr>
          <w:rFonts w:cs="Arial"/>
          <w:sz w:val="16"/>
          <w:szCs w:val="16"/>
        </w:rPr>
      </w:pPr>
      <w:r w:rsidRPr="006A3F81">
        <w:rPr>
          <w:rFonts w:cs="Arial"/>
          <w:sz w:val="16"/>
          <w:szCs w:val="16"/>
        </w:rPr>
        <w:t>Each dilution has enough amount of standard to set up duplicate reading (2 x 50 µL).</w:t>
      </w:r>
    </w:p>
    <w:p w14:paraId="70DDFC7A" w14:textId="77777777" w:rsidR="003603F2" w:rsidRPr="003603F2" w:rsidRDefault="003603F2" w:rsidP="006A3F81">
      <w:pPr>
        <w:spacing w:before="60" w:after="60" w:line="276" w:lineRule="auto"/>
        <w:rPr>
          <w:rFonts w:cs="Arial"/>
          <w:bCs/>
          <w:i/>
          <w:sz w:val="16"/>
          <w:szCs w:val="16"/>
        </w:rPr>
      </w:pPr>
      <w:r w:rsidRPr="003603F2">
        <w:rPr>
          <w:rFonts w:cs="Arial"/>
          <w:b/>
          <w:bCs/>
          <w:i/>
          <w:sz w:val="16"/>
          <w:szCs w:val="16"/>
        </w:rPr>
        <w:t>NOTE:</w:t>
      </w:r>
      <w:r w:rsidRPr="003603F2">
        <w:rPr>
          <w:rFonts w:cs="Arial"/>
          <w:bCs/>
          <w:i/>
          <w:sz w:val="16"/>
          <w:szCs w:val="16"/>
        </w:rPr>
        <w:t xml:space="preserve"> If your sample readings fall out the range of your fluorometric standard curve, you might need to adjust the dilutions and create a new standard curve.</w:t>
      </w:r>
    </w:p>
    <w:p w14:paraId="30520660" w14:textId="77777777" w:rsidR="00634557" w:rsidRDefault="00634557" w:rsidP="00634557">
      <w:pPr>
        <w:pStyle w:val="Bulletpoints"/>
        <w:numPr>
          <w:ilvl w:val="0"/>
          <w:numId w:val="0"/>
        </w:numPr>
        <w:spacing w:before="0" w:after="0" w:line="240" w:lineRule="auto"/>
        <w:ind w:left="357" w:hanging="357"/>
        <w:rPr>
          <w:rFonts w:ascii="Century Gothic" w:hAnsi="Century Gothic"/>
          <w:b/>
          <w:bCs/>
          <w:color w:val="auto"/>
          <w:sz w:val="16"/>
          <w:szCs w:val="16"/>
          <w:u w:val="single"/>
        </w:rPr>
      </w:pPr>
    </w:p>
    <w:p w14:paraId="74E0A74E" w14:textId="7BD96925" w:rsidR="003603F2" w:rsidRDefault="00634557" w:rsidP="00DC48D9">
      <w:pPr>
        <w:pStyle w:val="Bulletpoints"/>
        <w:numPr>
          <w:ilvl w:val="0"/>
          <w:numId w:val="0"/>
        </w:numPr>
        <w:spacing w:before="0" w:after="0" w:line="240" w:lineRule="auto"/>
        <w:ind w:left="357" w:hanging="357"/>
        <w:rPr>
          <w:rFonts w:ascii="Century Gothic" w:hAnsi="Century Gothic"/>
          <w:b/>
          <w:bCs/>
          <w:color w:val="auto"/>
          <w:sz w:val="16"/>
          <w:szCs w:val="16"/>
          <w:u w:val="single"/>
        </w:rPr>
      </w:pPr>
      <w:r>
        <w:rPr>
          <w:rFonts w:ascii="Century Gothic" w:hAnsi="Century Gothic"/>
          <w:b/>
          <w:bCs/>
          <w:color w:val="auto"/>
          <w:sz w:val="16"/>
          <w:szCs w:val="16"/>
          <w:u w:val="single"/>
        </w:rPr>
        <w:t>Sample Preparation</w:t>
      </w:r>
    </w:p>
    <w:p w14:paraId="52C31177" w14:textId="77777777" w:rsidR="00634557" w:rsidRPr="00634557" w:rsidRDefault="00634557" w:rsidP="00634557">
      <w:pPr>
        <w:pStyle w:val="Bulletpoints"/>
        <w:numPr>
          <w:ilvl w:val="0"/>
          <w:numId w:val="0"/>
        </w:numPr>
        <w:spacing w:before="0" w:after="0"/>
        <w:ind w:left="357" w:hanging="357"/>
        <w:rPr>
          <w:rFonts w:ascii="Century Gothic" w:hAnsi="Century Gothic"/>
          <w:color w:val="auto"/>
          <w:sz w:val="16"/>
          <w:szCs w:val="16"/>
        </w:rPr>
      </w:pPr>
      <w:r w:rsidRPr="00634557">
        <w:rPr>
          <w:rFonts w:ascii="Century Gothic" w:hAnsi="Century Gothic"/>
          <w:color w:val="auto"/>
          <w:sz w:val="16"/>
          <w:szCs w:val="16"/>
        </w:rPr>
        <w:t>•</w:t>
      </w:r>
      <w:r w:rsidRPr="00634557">
        <w:rPr>
          <w:rFonts w:ascii="Century Gothic" w:hAnsi="Century Gothic"/>
          <w:color w:val="auto"/>
          <w:sz w:val="16"/>
          <w:szCs w:val="16"/>
        </w:rPr>
        <w:tab/>
        <w:t>We recommend performing several dilutions of your sample to ensure the readings are within the standard value range.</w:t>
      </w:r>
    </w:p>
    <w:p w14:paraId="52557801" w14:textId="2081E91C" w:rsidR="003603F2" w:rsidRPr="00634557" w:rsidRDefault="00634557" w:rsidP="00634557">
      <w:pPr>
        <w:pStyle w:val="Bulletpoints"/>
        <w:numPr>
          <w:ilvl w:val="0"/>
          <w:numId w:val="0"/>
        </w:numPr>
        <w:spacing w:before="0" w:after="0" w:line="240" w:lineRule="auto"/>
        <w:ind w:left="357" w:hanging="357"/>
        <w:rPr>
          <w:rFonts w:ascii="Century Gothic" w:hAnsi="Century Gothic"/>
          <w:color w:val="auto"/>
          <w:sz w:val="16"/>
          <w:szCs w:val="16"/>
        </w:rPr>
      </w:pPr>
      <w:r w:rsidRPr="00634557">
        <w:rPr>
          <w:rFonts w:ascii="Century Gothic" w:hAnsi="Century Gothic"/>
          <w:color w:val="auto"/>
          <w:sz w:val="16"/>
          <w:szCs w:val="16"/>
        </w:rPr>
        <w:t>•</w:t>
      </w:r>
      <w:r w:rsidRPr="00634557">
        <w:rPr>
          <w:rFonts w:ascii="Century Gothic" w:hAnsi="Century Gothic"/>
          <w:color w:val="auto"/>
          <w:sz w:val="16"/>
          <w:szCs w:val="16"/>
        </w:rPr>
        <w:tab/>
        <w:t xml:space="preserve">We recommend that you use fresh samples. If you cannot perform the assay at the same time, we suggest that you complete the Sample Preparation step as well as the deproteinization step before storing the samples. Alternatively, if that is not possible, we suggest that you snap freeze samples in liquid nitrogen upon extraction and store the </w:t>
      </w:r>
      <w:r w:rsidRPr="00634557">
        <w:rPr>
          <w:rFonts w:ascii="Century Gothic" w:hAnsi="Century Gothic"/>
          <w:color w:val="auto"/>
          <w:sz w:val="16"/>
          <w:szCs w:val="16"/>
        </w:rPr>
        <w:lastRenderedPageBreak/>
        <w:t>samples immediately at -80°C. When you are ready to test your samples, thaw them on ice. Be aware however that this might affect the stability of your samples and the readings can be lower than expected.</w:t>
      </w:r>
    </w:p>
    <w:p w14:paraId="7517DF30" w14:textId="2FDA2BCD" w:rsidR="00634557" w:rsidRDefault="00634557" w:rsidP="008F5845">
      <w:pPr>
        <w:pStyle w:val="Bulletpoints"/>
        <w:numPr>
          <w:ilvl w:val="0"/>
          <w:numId w:val="0"/>
        </w:numPr>
        <w:spacing w:before="0" w:after="0" w:line="240" w:lineRule="auto"/>
        <w:ind w:left="357" w:hanging="357"/>
        <w:rPr>
          <w:rFonts w:ascii="Century Gothic" w:hAnsi="Century Gothic"/>
          <w:b/>
          <w:bCs/>
          <w:color w:val="auto"/>
          <w:sz w:val="16"/>
          <w:szCs w:val="16"/>
          <w:u w:val="single"/>
        </w:rPr>
      </w:pPr>
    </w:p>
    <w:p w14:paraId="59C2F328" w14:textId="10B9DD9D" w:rsidR="00634557" w:rsidRPr="00006F01" w:rsidRDefault="00634557" w:rsidP="00634557">
      <w:pPr>
        <w:pStyle w:val="Bulletpoints"/>
        <w:numPr>
          <w:ilvl w:val="0"/>
          <w:numId w:val="0"/>
        </w:numPr>
        <w:spacing w:before="0" w:after="0"/>
        <w:rPr>
          <w:rFonts w:ascii="Century Gothic" w:hAnsi="Century Gothic"/>
          <w:b/>
          <w:bCs/>
          <w:color w:val="auto"/>
          <w:sz w:val="16"/>
          <w:szCs w:val="16"/>
        </w:rPr>
      </w:pPr>
      <w:r w:rsidRPr="00006F01">
        <w:rPr>
          <w:rFonts w:ascii="Century Gothic" w:hAnsi="Century Gothic"/>
          <w:b/>
          <w:bCs/>
          <w:color w:val="auto"/>
          <w:sz w:val="16"/>
          <w:szCs w:val="16"/>
        </w:rPr>
        <w:t>Cell (adherent or suspension) samples:</w:t>
      </w:r>
    </w:p>
    <w:p w14:paraId="26F728D0" w14:textId="0F08338C"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Harvest the amount of cells necessary for each assay (initial recommendation = 2 x 10</w:t>
      </w:r>
      <w:r w:rsidRPr="00DC48D9">
        <w:rPr>
          <w:rFonts w:ascii="Century Gothic" w:hAnsi="Century Gothic"/>
          <w:color w:val="auto"/>
          <w:sz w:val="16"/>
          <w:szCs w:val="16"/>
          <w:vertAlign w:val="superscript"/>
        </w:rPr>
        <w:t>6</w:t>
      </w:r>
      <w:r w:rsidRPr="00634557">
        <w:rPr>
          <w:rFonts w:ascii="Century Gothic" w:hAnsi="Century Gothic"/>
          <w:color w:val="auto"/>
          <w:sz w:val="16"/>
          <w:szCs w:val="16"/>
        </w:rPr>
        <w:t xml:space="preserve"> cells).</w:t>
      </w:r>
    </w:p>
    <w:p w14:paraId="72E580E3" w14:textId="5A08B2D6"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Wash cells with cold PBS.</w:t>
      </w:r>
    </w:p>
    <w:p w14:paraId="698E6FAF" w14:textId="74DE30AE"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 xml:space="preserve">Resuspend the cell pellet in 4x volumes of </w:t>
      </w:r>
      <w:r w:rsidR="00E46F8C" w:rsidRPr="00E46F8C">
        <w:rPr>
          <w:rFonts w:ascii="Century Gothic" w:hAnsi="Century Gothic"/>
          <w:color w:val="auto"/>
          <w:sz w:val="16"/>
          <w:szCs w:val="16"/>
        </w:rPr>
        <w:t>Assay Buffer II/</w:t>
      </w:r>
      <w:r w:rsidRPr="00634557">
        <w:rPr>
          <w:rFonts w:ascii="Century Gothic" w:hAnsi="Century Gothic"/>
          <w:color w:val="auto"/>
          <w:sz w:val="16"/>
          <w:szCs w:val="16"/>
        </w:rPr>
        <w:t xml:space="preserve">Lactate Assay Buffer (~200 µL). </w:t>
      </w:r>
    </w:p>
    <w:p w14:paraId="185F8A15" w14:textId="3F7799E3"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Homogenize cells quickly by pipetting up and down a few times.</w:t>
      </w:r>
    </w:p>
    <w:p w14:paraId="2441049F" w14:textId="016321BB"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Centrifuge 2 – 5 minutes at 4°C at top speed in a cold microcentrifuge to remove any insoluble material.</w:t>
      </w:r>
    </w:p>
    <w:p w14:paraId="6D5B1C0E" w14:textId="2E47E8B8"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Collect supernatant and transfer to a clean tube.</w:t>
      </w:r>
    </w:p>
    <w:p w14:paraId="5B502C30" w14:textId="35A62470"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Keep on ice.</w:t>
      </w:r>
    </w:p>
    <w:p w14:paraId="2DBC04E1" w14:textId="206036EF" w:rsidR="00634557" w:rsidRPr="00634557" w:rsidRDefault="00634557" w:rsidP="00006F01">
      <w:pPr>
        <w:pStyle w:val="Bulletpoints"/>
        <w:numPr>
          <w:ilvl w:val="0"/>
          <w:numId w:val="19"/>
        </w:numPr>
        <w:spacing w:before="0" w:after="0"/>
        <w:rPr>
          <w:rFonts w:ascii="Century Gothic" w:hAnsi="Century Gothic"/>
          <w:color w:val="auto"/>
          <w:sz w:val="16"/>
          <w:szCs w:val="16"/>
        </w:rPr>
      </w:pPr>
      <w:r w:rsidRPr="00634557">
        <w:rPr>
          <w:rFonts w:ascii="Century Gothic" w:hAnsi="Century Gothic"/>
          <w:color w:val="auto"/>
          <w:sz w:val="16"/>
          <w:szCs w:val="16"/>
        </w:rPr>
        <w:t xml:space="preserve">Cell samples may contain endogenous LDH that will degrade lactate. Remove enzyme from sample by using Deproteinizing Sample Preparation Kit – TCA (ab204708). Alternatively, you can perform a PCA/KOH deproteinization step following the protocol described </w:t>
      </w:r>
      <w:r w:rsidR="00006F01">
        <w:rPr>
          <w:rFonts w:ascii="Century Gothic" w:hAnsi="Century Gothic"/>
          <w:color w:val="auto"/>
          <w:sz w:val="16"/>
          <w:szCs w:val="16"/>
        </w:rPr>
        <w:t>below</w:t>
      </w:r>
      <w:r w:rsidRPr="00634557">
        <w:rPr>
          <w:rFonts w:ascii="Century Gothic" w:hAnsi="Century Gothic"/>
          <w:color w:val="auto"/>
          <w:sz w:val="16"/>
          <w:szCs w:val="16"/>
        </w:rPr>
        <w:t>. </w:t>
      </w:r>
    </w:p>
    <w:p w14:paraId="5CB04059" w14:textId="77777777" w:rsidR="00634557" w:rsidRDefault="00634557" w:rsidP="00634557">
      <w:pPr>
        <w:pStyle w:val="Bulletpoints"/>
        <w:numPr>
          <w:ilvl w:val="0"/>
          <w:numId w:val="0"/>
        </w:numPr>
        <w:spacing w:before="0" w:after="0"/>
        <w:rPr>
          <w:rFonts w:ascii="Century Gothic" w:hAnsi="Century Gothic"/>
          <w:color w:val="auto"/>
          <w:sz w:val="16"/>
          <w:szCs w:val="16"/>
        </w:rPr>
      </w:pPr>
    </w:p>
    <w:p w14:paraId="2114049B" w14:textId="0FF8338A" w:rsidR="00634557" w:rsidRPr="00006F01" w:rsidRDefault="00634557" w:rsidP="00634557">
      <w:pPr>
        <w:pStyle w:val="Bulletpoints"/>
        <w:numPr>
          <w:ilvl w:val="0"/>
          <w:numId w:val="0"/>
        </w:numPr>
        <w:spacing w:before="0" w:after="0"/>
        <w:rPr>
          <w:rFonts w:ascii="Century Gothic" w:hAnsi="Century Gothic"/>
          <w:b/>
          <w:bCs/>
          <w:color w:val="auto"/>
          <w:sz w:val="16"/>
          <w:szCs w:val="16"/>
        </w:rPr>
      </w:pPr>
      <w:r w:rsidRPr="00006F01">
        <w:rPr>
          <w:rFonts w:ascii="Century Gothic" w:hAnsi="Century Gothic"/>
          <w:b/>
          <w:bCs/>
          <w:color w:val="auto"/>
          <w:sz w:val="16"/>
          <w:szCs w:val="16"/>
        </w:rPr>
        <w:t>Tissue samples:</w:t>
      </w:r>
    </w:p>
    <w:p w14:paraId="1801721F" w14:textId="5893BFAC" w:rsidR="00634557" w:rsidRPr="00634557" w:rsidRDefault="00634557" w:rsidP="00006F01">
      <w:pPr>
        <w:pStyle w:val="Bulletpoints"/>
        <w:numPr>
          <w:ilvl w:val="0"/>
          <w:numId w:val="20"/>
        </w:numPr>
        <w:spacing w:before="0" w:after="0"/>
        <w:rPr>
          <w:rFonts w:ascii="Century Gothic" w:hAnsi="Century Gothic"/>
          <w:color w:val="auto"/>
          <w:sz w:val="16"/>
          <w:szCs w:val="16"/>
        </w:rPr>
      </w:pPr>
      <w:r w:rsidRPr="00634557">
        <w:rPr>
          <w:rFonts w:ascii="Century Gothic" w:hAnsi="Century Gothic"/>
          <w:color w:val="auto"/>
          <w:sz w:val="16"/>
          <w:szCs w:val="16"/>
        </w:rPr>
        <w:t>Harvest the necessary amount of tissue necessary for each assay (initial recommendation = 10 mg tissue)</w:t>
      </w:r>
    </w:p>
    <w:p w14:paraId="0A83D180" w14:textId="0D86CE62" w:rsidR="00634557" w:rsidRPr="00634557" w:rsidRDefault="00634557" w:rsidP="00006F01">
      <w:pPr>
        <w:pStyle w:val="Bulletpoints"/>
        <w:numPr>
          <w:ilvl w:val="0"/>
          <w:numId w:val="20"/>
        </w:numPr>
        <w:spacing w:before="0" w:after="0"/>
        <w:rPr>
          <w:rFonts w:ascii="Century Gothic" w:hAnsi="Century Gothic"/>
          <w:color w:val="auto"/>
          <w:sz w:val="16"/>
          <w:szCs w:val="16"/>
        </w:rPr>
      </w:pPr>
      <w:r w:rsidRPr="00634557">
        <w:rPr>
          <w:rFonts w:ascii="Century Gothic" w:hAnsi="Century Gothic"/>
          <w:color w:val="auto"/>
          <w:sz w:val="16"/>
          <w:szCs w:val="16"/>
        </w:rPr>
        <w:t>Wash tissue in cold PBS.</w:t>
      </w:r>
    </w:p>
    <w:p w14:paraId="7E08E4DA" w14:textId="7E358F90" w:rsidR="00634557" w:rsidRPr="00634557" w:rsidRDefault="00634557" w:rsidP="00006F01">
      <w:pPr>
        <w:pStyle w:val="Bulletpoints"/>
        <w:numPr>
          <w:ilvl w:val="0"/>
          <w:numId w:val="20"/>
        </w:numPr>
        <w:spacing w:before="0" w:after="0"/>
        <w:rPr>
          <w:rFonts w:ascii="Century Gothic" w:hAnsi="Century Gothic"/>
          <w:color w:val="auto"/>
          <w:sz w:val="16"/>
          <w:szCs w:val="16"/>
        </w:rPr>
      </w:pPr>
      <w:r w:rsidRPr="00634557">
        <w:rPr>
          <w:rFonts w:ascii="Century Gothic" w:hAnsi="Century Gothic"/>
          <w:color w:val="auto"/>
          <w:sz w:val="16"/>
          <w:szCs w:val="16"/>
        </w:rPr>
        <w:t xml:space="preserve">Resuspend tissue in 4 – 6X volumes of </w:t>
      </w:r>
      <w:r w:rsidR="00E46F8C" w:rsidRPr="00E46F8C">
        <w:rPr>
          <w:rFonts w:ascii="Century Gothic" w:hAnsi="Century Gothic"/>
          <w:color w:val="auto"/>
          <w:sz w:val="16"/>
          <w:szCs w:val="16"/>
        </w:rPr>
        <w:t>Assay Buffer II/</w:t>
      </w:r>
      <w:r w:rsidRPr="00634557">
        <w:rPr>
          <w:rFonts w:ascii="Century Gothic" w:hAnsi="Century Gothic"/>
          <w:color w:val="auto"/>
          <w:sz w:val="16"/>
          <w:szCs w:val="16"/>
        </w:rPr>
        <w:t>Lactate Assay Buffer using a Dounce homogenizer sitting on ice, with 10 – 15 passes.</w:t>
      </w:r>
    </w:p>
    <w:p w14:paraId="364078BB" w14:textId="1FF4BAF6" w:rsidR="00634557" w:rsidRPr="00634557" w:rsidRDefault="00634557" w:rsidP="00006F01">
      <w:pPr>
        <w:pStyle w:val="Bulletpoints"/>
        <w:numPr>
          <w:ilvl w:val="0"/>
          <w:numId w:val="20"/>
        </w:numPr>
        <w:spacing w:before="0" w:after="0"/>
        <w:rPr>
          <w:rFonts w:ascii="Century Gothic" w:hAnsi="Century Gothic"/>
          <w:color w:val="auto"/>
          <w:sz w:val="16"/>
          <w:szCs w:val="16"/>
        </w:rPr>
      </w:pPr>
      <w:r w:rsidRPr="00634557">
        <w:rPr>
          <w:rFonts w:ascii="Century Gothic" w:hAnsi="Century Gothic"/>
          <w:color w:val="auto"/>
          <w:sz w:val="16"/>
          <w:szCs w:val="16"/>
        </w:rPr>
        <w:t>Centrifuge samples for 2 – 5 minutes at top speed at 4°C in a cold microcentrifuge to remove any insoluble material.</w:t>
      </w:r>
    </w:p>
    <w:p w14:paraId="62646962" w14:textId="5497C435" w:rsidR="00634557" w:rsidRPr="00634557" w:rsidRDefault="00634557" w:rsidP="00006F01">
      <w:pPr>
        <w:pStyle w:val="Bulletpoints"/>
        <w:numPr>
          <w:ilvl w:val="0"/>
          <w:numId w:val="20"/>
        </w:numPr>
        <w:spacing w:before="0" w:after="0"/>
        <w:rPr>
          <w:rFonts w:ascii="Century Gothic" w:hAnsi="Century Gothic"/>
          <w:color w:val="auto"/>
          <w:sz w:val="16"/>
          <w:szCs w:val="16"/>
        </w:rPr>
      </w:pPr>
      <w:r w:rsidRPr="00634557">
        <w:rPr>
          <w:rFonts w:ascii="Century Gothic" w:hAnsi="Century Gothic"/>
          <w:color w:val="auto"/>
          <w:sz w:val="16"/>
          <w:szCs w:val="16"/>
        </w:rPr>
        <w:t>Collect supernatant and transfer to a clean tube.</w:t>
      </w:r>
    </w:p>
    <w:p w14:paraId="412BD16F" w14:textId="30A19A63" w:rsidR="00634557" w:rsidRPr="00634557" w:rsidRDefault="00634557" w:rsidP="00006F01">
      <w:pPr>
        <w:pStyle w:val="Bulletpoints"/>
        <w:numPr>
          <w:ilvl w:val="0"/>
          <w:numId w:val="20"/>
        </w:numPr>
        <w:spacing w:before="0" w:after="0"/>
        <w:rPr>
          <w:rFonts w:ascii="Century Gothic" w:hAnsi="Century Gothic"/>
          <w:color w:val="auto"/>
          <w:sz w:val="16"/>
          <w:szCs w:val="16"/>
        </w:rPr>
      </w:pPr>
      <w:r w:rsidRPr="00634557">
        <w:rPr>
          <w:rFonts w:ascii="Century Gothic" w:hAnsi="Century Gothic"/>
          <w:color w:val="auto"/>
          <w:sz w:val="16"/>
          <w:szCs w:val="16"/>
        </w:rPr>
        <w:t>Keep on ice.</w:t>
      </w:r>
    </w:p>
    <w:p w14:paraId="490E5A54" w14:textId="2CF726CA" w:rsidR="00634557" w:rsidRPr="00634557" w:rsidRDefault="00634557" w:rsidP="00006F01">
      <w:pPr>
        <w:pStyle w:val="Bulletpoints"/>
        <w:numPr>
          <w:ilvl w:val="0"/>
          <w:numId w:val="20"/>
        </w:numPr>
        <w:spacing w:before="0" w:after="0"/>
        <w:rPr>
          <w:rFonts w:ascii="Century Gothic" w:hAnsi="Century Gothic"/>
          <w:color w:val="auto"/>
          <w:sz w:val="16"/>
          <w:szCs w:val="16"/>
        </w:rPr>
      </w:pPr>
      <w:r w:rsidRPr="00634557">
        <w:rPr>
          <w:rFonts w:ascii="Century Gothic" w:hAnsi="Century Gothic"/>
          <w:color w:val="auto"/>
          <w:sz w:val="16"/>
          <w:szCs w:val="16"/>
        </w:rPr>
        <w:t xml:space="preserve">Tissue samples may contain endogenous LDH that will degrade lactate. Remove enzyme from sample by using Deproteinizing Sample Preparation Kit – TCA (ab204708). Alternatively, you can perform a PCA/KOH deproteinization step following the protocol described </w:t>
      </w:r>
      <w:r w:rsidR="00006F01">
        <w:rPr>
          <w:rFonts w:ascii="Century Gothic" w:hAnsi="Century Gothic"/>
          <w:color w:val="auto"/>
          <w:sz w:val="16"/>
          <w:szCs w:val="16"/>
        </w:rPr>
        <w:t>below.</w:t>
      </w:r>
    </w:p>
    <w:p w14:paraId="46AC1B89"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p>
    <w:p w14:paraId="53A93A80" w14:textId="5C7C9D2D" w:rsidR="00634557" w:rsidRPr="00006F01" w:rsidRDefault="00634557" w:rsidP="00634557">
      <w:pPr>
        <w:pStyle w:val="Bulletpoints"/>
        <w:numPr>
          <w:ilvl w:val="0"/>
          <w:numId w:val="0"/>
        </w:numPr>
        <w:spacing w:before="0" w:after="0"/>
        <w:rPr>
          <w:rFonts w:ascii="Century Gothic" w:hAnsi="Century Gothic"/>
          <w:b/>
          <w:bCs/>
          <w:color w:val="auto"/>
          <w:sz w:val="16"/>
          <w:szCs w:val="16"/>
        </w:rPr>
      </w:pPr>
      <w:r w:rsidRPr="00006F01">
        <w:rPr>
          <w:rFonts w:ascii="Century Gothic" w:hAnsi="Century Gothic"/>
          <w:b/>
          <w:bCs/>
          <w:color w:val="auto"/>
          <w:sz w:val="16"/>
          <w:szCs w:val="16"/>
        </w:rPr>
        <w:t>Serum, plasma and other liquid samples:</w:t>
      </w:r>
    </w:p>
    <w:p w14:paraId="1E361146"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634557">
        <w:rPr>
          <w:rFonts w:ascii="Century Gothic" w:hAnsi="Century Gothic"/>
          <w:color w:val="auto"/>
          <w:sz w:val="16"/>
          <w:szCs w:val="16"/>
        </w:rPr>
        <w:t>Serum/Plasma: Recommended dilutions = 10 – 40X (colorimetric) / 400 – 8000X (fluorometric).</w:t>
      </w:r>
    </w:p>
    <w:p w14:paraId="1B417CEE"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634557">
        <w:rPr>
          <w:rFonts w:ascii="Century Gothic" w:hAnsi="Century Gothic"/>
          <w:color w:val="auto"/>
          <w:sz w:val="16"/>
          <w:szCs w:val="16"/>
        </w:rPr>
        <w:t>Serum samples and culture medium (as it contains FBS) generally contain high amount of proteins, so they should be deproteinized with a 10kD Spin column (ab93349).</w:t>
      </w:r>
    </w:p>
    <w:p w14:paraId="3A62696A"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p>
    <w:p w14:paraId="6C72CEC3"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006F01">
        <w:rPr>
          <w:rFonts w:ascii="Century Gothic" w:hAnsi="Century Gothic"/>
          <w:b/>
          <w:bCs/>
          <w:color w:val="auto"/>
          <w:sz w:val="16"/>
          <w:szCs w:val="16"/>
        </w:rPr>
        <w:t>NOTE:</w:t>
      </w:r>
      <w:r w:rsidRPr="00634557">
        <w:rPr>
          <w:rFonts w:ascii="Century Gothic" w:hAnsi="Century Gothic"/>
          <w:color w:val="auto"/>
          <w:sz w:val="16"/>
          <w:szCs w:val="16"/>
        </w:rPr>
        <w:t xml:space="preserve"> We suggest using different volumes of sample to ensure readings are within the Standard Curve range.</w:t>
      </w:r>
    </w:p>
    <w:p w14:paraId="0B730515"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634557">
        <w:rPr>
          <w:rFonts w:ascii="Century Gothic" w:hAnsi="Century Gothic"/>
          <w:color w:val="auto"/>
          <w:sz w:val="16"/>
          <w:szCs w:val="16"/>
        </w:rPr>
        <w:t>Endogenous compounds in the sample may interfere with the reaction. To ensure accurate determination of L-Lactate in the test samples, we recommend spiking the samples with a known amount of Standard (4 nmol)</w:t>
      </w:r>
    </w:p>
    <w:p w14:paraId="56969C04"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p>
    <w:p w14:paraId="6AEC37CB" w14:textId="2E1D4AC3" w:rsidR="00634557" w:rsidRPr="00006F01" w:rsidRDefault="00634557" w:rsidP="00634557">
      <w:pPr>
        <w:pStyle w:val="Bulletpoints"/>
        <w:numPr>
          <w:ilvl w:val="0"/>
          <w:numId w:val="0"/>
        </w:numPr>
        <w:spacing w:before="0" w:after="0"/>
        <w:rPr>
          <w:rFonts w:ascii="Century Gothic" w:hAnsi="Century Gothic"/>
          <w:b/>
          <w:bCs/>
          <w:color w:val="auto"/>
          <w:sz w:val="16"/>
          <w:szCs w:val="16"/>
        </w:rPr>
      </w:pPr>
      <w:r w:rsidRPr="00006F01">
        <w:rPr>
          <w:rFonts w:ascii="Century Gothic" w:hAnsi="Century Gothic"/>
          <w:b/>
          <w:bCs/>
          <w:color w:val="auto"/>
          <w:sz w:val="16"/>
          <w:szCs w:val="16"/>
        </w:rPr>
        <w:t>Alternative deproteinization protocol:</w:t>
      </w:r>
    </w:p>
    <w:p w14:paraId="032547A2"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634557">
        <w:rPr>
          <w:rFonts w:ascii="Century Gothic" w:hAnsi="Century Gothic"/>
          <w:color w:val="auto"/>
          <w:sz w:val="16"/>
          <w:szCs w:val="16"/>
        </w:rPr>
        <w:t>For this step, you will need additional reagents:</w:t>
      </w:r>
    </w:p>
    <w:p w14:paraId="4839C015"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634557">
        <w:rPr>
          <w:rFonts w:ascii="Century Gothic" w:hAnsi="Century Gothic"/>
          <w:color w:val="auto"/>
          <w:sz w:val="16"/>
          <w:szCs w:val="16"/>
        </w:rPr>
        <w:t>•</w:t>
      </w:r>
      <w:r w:rsidRPr="00634557">
        <w:rPr>
          <w:rFonts w:ascii="Century Gothic" w:hAnsi="Century Gothic"/>
          <w:color w:val="auto"/>
          <w:sz w:val="16"/>
          <w:szCs w:val="16"/>
        </w:rPr>
        <w:tab/>
        <w:t>Perchloric acid (PCA) 4M, ice cold</w:t>
      </w:r>
    </w:p>
    <w:p w14:paraId="6A8AC23E"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634557">
        <w:rPr>
          <w:rFonts w:ascii="Century Gothic" w:hAnsi="Century Gothic"/>
          <w:color w:val="auto"/>
          <w:sz w:val="16"/>
          <w:szCs w:val="16"/>
        </w:rPr>
        <w:t>•</w:t>
      </w:r>
      <w:r w:rsidRPr="00634557">
        <w:rPr>
          <w:rFonts w:ascii="Century Gothic" w:hAnsi="Century Gothic"/>
          <w:color w:val="auto"/>
          <w:sz w:val="16"/>
          <w:szCs w:val="16"/>
        </w:rPr>
        <w:tab/>
        <w:t>Potassium hydroxide (KOH), 2M</w:t>
      </w:r>
    </w:p>
    <w:p w14:paraId="684AA27B" w14:textId="77777777" w:rsidR="00634557" w:rsidRPr="00634557" w:rsidRDefault="00634557" w:rsidP="00634557">
      <w:pPr>
        <w:pStyle w:val="Bulletpoints"/>
        <w:numPr>
          <w:ilvl w:val="0"/>
          <w:numId w:val="0"/>
        </w:numPr>
        <w:spacing w:before="0" w:after="0"/>
        <w:rPr>
          <w:rFonts w:ascii="Century Gothic" w:hAnsi="Century Gothic"/>
          <w:color w:val="auto"/>
          <w:sz w:val="16"/>
          <w:szCs w:val="16"/>
        </w:rPr>
      </w:pPr>
      <w:r w:rsidRPr="00634557">
        <w:rPr>
          <w:rFonts w:ascii="Century Gothic" w:hAnsi="Century Gothic"/>
          <w:color w:val="auto"/>
          <w:sz w:val="16"/>
          <w:szCs w:val="16"/>
        </w:rPr>
        <w:t>Prepare samples as specified in protocol. You should have a clear protein sample after homogenization and centrifugation. Keep your samples on ice.</w:t>
      </w:r>
    </w:p>
    <w:p w14:paraId="12484059" w14:textId="13AB8171" w:rsidR="00634557" w:rsidRPr="00634557" w:rsidRDefault="00634557" w:rsidP="009C257A">
      <w:pPr>
        <w:pStyle w:val="Bulletpoints"/>
        <w:numPr>
          <w:ilvl w:val="0"/>
          <w:numId w:val="21"/>
        </w:numPr>
        <w:spacing w:before="0" w:after="0"/>
        <w:rPr>
          <w:rFonts w:ascii="Century Gothic" w:hAnsi="Century Gothic"/>
          <w:color w:val="auto"/>
          <w:sz w:val="16"/>
          <w:szCs w:val="16"/>
        </w:rPr>
      </w:pPr>
      <w:r w:rsidRPr="00634557">
        <w:rPr>
          <w:rFonts w:ascii="Century Gothic" w:hAnsi="Century Gothic"/>
          <w:color w:val="auto"/>
          <w:sz w:val="16"/>
          <w:szCs w:val="16"/>
        </w:rPr>
        <w:t>Add PCA to a final concentration of 1M in the homogenate solution and vortex briefly to mix well. NOTE: high protein concentration samples might need more PCA.</w:t>
      </w:r>
    </w:p>
    <w:p w14:paraId="78D94CE0" w14:textId="273D4A1A" w:rsidR="00634557" w:rsidRPr="00634557" w:rsidRDefault="00634557" w:rsidP="009C257A">
      <w:pPr>
        <w:pStyle w:val="Bulletpoints"/>
        <w:numPr>
          <w:ilvl w:val="0"/>
          <w:numId w:val="21"/>
        </w:numPr>
        <w:spacing w:before="0" w:after="0"/>
        <w:rPr>
          <w:rFonts w:ascii="Century Gothic" w:hAnsi="Century Gothic"/>
          <w:color w:val="auto"/>
          <w:sz w:val="16"/>
          <w:szCs w:val="16"/>
        </w:rPr>
      </w:pPr>
      <w:r w:rsidRPr="00634557">
        <w:rPr>
          <w:rFonts w:ascii="Century Gothic" w:hAnsi="Century Gothic"/>
          <w:color w:val="auto"/>
          <w:sz w:val="16"/>
          <w:szCs w:val="16"/>
        </w:rPr>
        <w:t>Incubate on ice for 5 minutes.</w:t>
      </w:r>
    </w:p>
    <w:p w14:paraId="43673692" w14:textId="51687FB1" w:rsidR="00634557" w:rsidRPr="00634557" w:rsidRDefault="00634557" w:rsidP="009C257A">
      <w:pPr>
        <w:pStyle w:val="Bulletpoints"/>
        <w:numPr>
          <w:ilvl w:val="0"/>
          <w:numId w:val="21"/>
        </w:numPr>
        <w:spacing w:before="0" w:after="0"/>
        <w:rPr>
          <w:rFonts w:ascii="Century Gothic" w:hAnsi="Century Gothic"/>
          <w:color w:val="auto"/>
          <w:sz w:val="16"/>
          <w:szCs w:val="16"/>
        </w:rPr>
      </w:pPr>
      <w:r w:rsidRPr="00634557">
        <w:rPr>
          <w:rFonts w:ascii="Century Gothic" w:hAnsi="Century Gothic"/>
          <w:color w:val="auto"/>
          <w:sz w:val="16"/>
          <w:szCs w:val="16"/>
        </w:rPr>
        <w:t>Centrifuge samples at 13,000 x g for 2 minutes at 4°C in a cold centrifuge and transfer supernatant to a fresh tube. Measure volume of supernatant.</w:t>
      </w:r>
    </w:p>
    <w:p w14:paraId="69A548FE" w14:textId="598CB3FB" w:rsidR="00634557" w:rsidRPr="00634557" w:rsidRDefault="00634557" w:rsidP="009C257A">
      <w:pPr>
        <w:pStyle w:val="Bulletpoints"/>
        <w:numPr>
          <w:ilvl w:val="0"/>
          <w:numId w:val="21"/>
        </w:numPr>
        <w:spacing w:before="0" w:after="0"/>
        <w:rPr>
          <w:rFonts w:ascii="Century Gothic" w:hAnsi="Century Gothic"/>
          <w:color w:val="auto"/>
          <w:sz w:val="16"/>
          <w:szCs w:val="16"/>
        </w:rPr>
      </w:pPr>
      <w:r w:rsidRPr="00634557">
        <w:rPr>
          <w:rFonts w:ascii="Century Gothic" w:hAnsi="Century Gothic"/>
          <w:color w:val="auto"/>
          <w:sz w:val="16"/>
          <w:szCs w:val="16"/>
        </w:rPr>
        <w:t xml:space="preserve">Precipitate excess PCA by adding ice-cold 2M KOH that equals 34% of the supernatant to your sample (for instance, 34 µL of 2 M KOH to 100 µL sample) and </w:t>
      </w:r>
      <w:proofErr w:type="spellStart"/>
      <w:r w:rsidRPr="00634557">
        <w:rPr>
          <w:rFonts w:ascii="Century Gothic" w:hAnsi="Century Gothic"/>
          <w:color w:val="auto"/>
          <w:sz w:val="16"/>
          <w:szCs w:val="16"/>
        </w:rPr>
        <w:t>vortexing</w:t>
      </w:r>
      <w:proofErr w:type="spellEnd"/>
      <w:r w:rsidRPr="00634557">
        <w:rPr>
          <w:rFonts w:ascii="Century Gothic" w:hAnsi="Century Gothic"/>
          <w:color w:val="auto"/>
          <w:sz w:val="16"/>
          <w:szCs w:val="16"/>
        </w:rPr>
        <w:t xml:space="preserve"> briefly. This will neutralize the sample and precipitate excess PCA.</w:t>
      </w:r>
    </w:p>
    <w:p w14:paraId="04EE1CD5" w14:textId="5F40EB7B" w:rsidR="00634557" w:rsidRPr="00634557" w:rsidRDefault="00634557" w:rsidP="009C257A">
      <w:pPr>
        <w:pStyle w:val="Bulletpoints"/>
        <w:numPr>
          <w:ilvl w:val="0"/>
          <w:numId w:val="21"/>
        </w:numPr>
        <w:spacing w:before="0" w:after="0"/>
        <w:rPr>
          <w:rFonts w:ascii="Century Gothic" w:hAnsi="Century Gothic"/>
          <w:color w:val="auto"/>
          <w:sz w:val="16"/>
          <w:szCs w:val="16"/>
        </w:rPr>
      </w:pPr>
      <w:r w:rsidRPr="00634557">
        <w:rPr>
          <w:rFonts w:ascii="Century Gothic" w:hAnsi="Century Gothic"/>
          <w:color w:val="auto"/>
          <w:sz w:val="16"/>
          <w:szCs w:val="16"/>
        </w:rPr>
        <w:t>After neutralization, it is very important that pH equals 6.5 – 8 (use pH paper to test 1 µL of sample). If necessary, adjust pH with 0.1 M KOH or PCA.</w:t>
      </w:r>
    </w:p>
    <w:p w14:paraId="3DD4C1B7" w14:textId="34E3A963" w:rsidR="00634557" w:rsidRPr="00634557" w:rsidRDefault="00634557" w:rsidP="009C257A">
      <w:pPr>
        <w:pStyle w:val="Bulletpoints"/>
        <w:numPr>
          <w:ilvl w:val="0"/>
          <w:numId w:val="21"/>
        </w:numPr>
        <w:spacing w:before="0" w:after="0"/>
        <w:rPr>
          <w:rFonts w:ascii="Century Gothic" w:hAnsi="Century Gothic"/>
          <w:color w:val="auto"/>
          <w:sz w:val="16"/>
          <w:szCs w:val="16"/>
        </w:rPr>
      </w:pPr>
      <w:r w:rsidRPr="00634557">
        <w:rPr>
          <w:rFonts w:ascii="Century Gothic" w:hAnsi="Century Gothic"/>
          <w:color w:val="auto"/>
          <w:sz w:val="16"/>
          <w:szCs w:val="16"/>
        </w:rPr>
        <w:t>Centrifuge at 13,000 x g for 15 minutes at 4°C and collect supernatant.</w:t>
      </w:r>
    </w:p>
    <w:p w14:paraId="5FCF1895" w14:textId="5D143CF7" w:rsidR="00634557" w:rsidRPr="00634557" w:rsidRDefault="00634557" w:rsidP="009C257A">
      <w:pPr>
        <w:pStyle w:val="Bulletpoints"/>
        <w:numPr>
          <w:ilvl w:val="0"/>
          <w:numId w:val="21"/>
        </w:numPr>
        <w:spacing w:before="0" w:after="0" w:line="240" w:lineRule="auto"/>
        <w:rPr>
          <w:rFonts w:ascii="Century Gothic" w:hAnsi="Century Gothic"/>
          <w:color w:val="auto"/>
          <w:sz w:val="16"/>
          <w:szCs w:val="16"/>
        </w:rPr>
      </w:pPr>
      <w:r w:rsidRPr="00634557">
        <w:rPr>
          <w:rFonts w:ascii="Century Gothic" w:hAnsi="Century Gothic"/>
          <w:color w:val="auto"/>
          <w:sz w:val="16"/>
          <w:szCs w:val="16"/>
        </w:rPr>
        <w:t>Samples are now deproteinized, neutralized and PCA has been removed. The samples are now ready to use in the assay.</w:t>
      </w:r>
    </w:p>
    <w:p w14:paraId="3AD5D4C5" w14:textId="77777777" w:rsidR="00634557" w:rsidRDefault="00634557" w:rsidP="008F5845">
      <w:pPr>
        <w:pStyle w:val="Bulletpoints"/>
        <w:numPr>
          <w:ilvl w:val="0"/>
          <w:numId w:val="0"/>
        </w:numPr>
        <w:spacing w:before="0" w:after="0" w:line="240" w:lineRule="auto"/>
        <w:ind w:left="357" w:hanging="357"/>
        <w:rPr>
          <w:rFonts w:ascii="Century Gothic" w:hAnsi="Century Gothic"/>
          <w:b/>
          <w:bCs/>
          <w:color w:val="auto"/>
          <w:sz w:val="16"/>
          <w:szCs w:val="16"/>
          <w:u w:val="single"/>
        </w:rPr>
      </w:pPr>
    </w:p>
    <w:p w14:paraId="51CA3DEC" w14:textId="512818EC" w:rsidR="00B9677F" w:rsidRDefault="009D72B1" w:rsidP="008F5845">
      <w:pPr>
        <w:pStyle w:val="Bulletpoints"/>
        <w:numPr>
          <w:ilvl w:val="0"/>
          <w:numId w:val="0"/>
        </w:numPr>
        <w:spacing w:before="0" w:after="0" w:line="240" w:lineRule="auto"/>
        <w:ind w:left="357" w:hanging="357"/>
        <w:rPr>
          <w:rFonts w:ascii="Century Gothic" w:hAnsi="Century Gothic"/>
          <w:b/>
          <w:bCs/>
          <w:color w:val="auto"/>
          <w:sz w:val="16"/>
          <w:szCs w:val="16"/>
          <w:u w:val="single"/>
        </w:rPr>
      </w:pPr>
      <w:r w:rsidRPr="008F5845">
        <w:rPr>
          <w:rFonts w:ascii="Century Gothic" w:hAnsi="Century Gothic"/>
          <w:b/>
          <w:bCs/>
          <w:color w:val="auto"/>
          <w:sz w:val="16"/>
          <w:szCs w:val="16"/>
          <w:u w:val="single"/>
        </w:rPr>
        <w:t>Assay Procedure</w:t>
      </w:r>
    </w:p>
    <w:bookmarkEnd w:id="0"/>
    <w:p w14:paraId="513BB4E4" w14:textId="77777777" w:rsidR="001D0404" w:rsidRPr="00DC48D9" w:rsidRDefault="001D0404" w:rsidP="001D0404">
      <w:pPr>
        <w:pStyle w:val="ListParagraph"/>
        <w:numPr>
          <w:ilvl w:val="0"/>
          <w:numId w:val="25"/>
        </w:numPr>
        <w:spacing w:before="0" w:after="0"/>
        <w:rPr>
          <w:rFonts w:eastAsia="Calibri" w:cs="Arial"/>
          <w:bCs/>
          <w:color w:val="000000"/>
          <w:sz w:val="16"/>
          <w:szCs w:val="16"/>
        </w:rPr>
      </w:pPr>
      <w:r w:rsidRPr="00DC48D9">
        <w:rPr>
          <w:rFonts w:eastAsia="Calibri" w:cs="Arial"/>
          <w:bCs/>
          <w:color w:val="000000"/>
          <w:sz w:val="16"/>
          <w:szCs w:val="16"/>
        </w:rPr>
        <w:t>Equilibrate all materials and prepared reagents to room temperature prior to use.</w:t>
      </w:r>
    </w:p>
    <w:p w14:paraId="7A9764EB" w14:textId="15C64EDF" w:rsidR="001D0404" w:rsidRPr="001D0404" w:rsidRDefault="001D0404" w:rsidP="001D0404">
      <w:pPr>
        <w:pStyle w:val="ListParagraph"/>
        <w:numPr>
          <w:ilvl w:val="0"/>
          <w:numId w:val="25"/>
        </w:numPr>
        <w:spacing w:before="0" w:after="0"/>
        <w:rPr>
          <w:rFonts w:eastAsia="Calibri" w:cs="Arial"/>
          <w:b/>
          <w:color w:val="000000"/>
          <w:sz w:val="16"/>
          <w:szCs w:val="16"/>
        </w:rPr>
      </w:pPr>
      <w:r w:rsidRPr="00DC48D9">
        <w:rPr>
          <w:rFonts w:eastAsia="Calibri" w:cs="Arial"/>
          <w:bCs/>
          <w:color w:val="000000"/>
          <w:sz w:val="16"/>
          <w:szCs w:val="16"/>
        </w:rPr>
        <w:t>It is recommended to assay all standards, controls and samples in duplicate.</w:t>
      </w:r>
    </w:p>
    <w:p w14:paraId="2009F3A5" w14:textId="77777777" w:rsidR="005747D9" w:rsidRDefault="005747D9" w:rsidP="005747D9">
      <w:pPr>
        <w:spacing w:before="0" w:after="0"/>
        <w:rPr>
          <w:rFonts w:eastAsia="Calibri" w:cs="Arial"/>
          <w:b/>
          <w:color w:val="000000"/>
          <w:sz w:val="16"/>
          <w:szCs w:val="16"/>
        </w:rPr>
      </w:pPr>
    </w:p>
    <w:p w14:paraId="1D078043" w14:textId="2E79EEC7" w:rsidR="001D0404" w:rsidRPr="005747D9" w:rsidRDefault="001D0404" w:rsidP="005747D9">
      <w:pPr>
        <w:pStyle w:val="ListParagraph"/>
        <w:numPr>
          <w:ilvl w:val="0"/>
          <w:numId w:val="26"/>
        </w:numPr>
        <w:spacing w:before="0" w:after="0"/>
        <w:rPr>
          <w:rFonts w:eastAsia="Calibri" w:cs="Arial"/>
          <w:bCs/>
          <w:color w:val="000000"/>
          <w:sz w:val="16"/>
          <w:szCs w:val="16"/>
        </w:rPr>
      </w:pPr>
      <w:r w:rsidRPr="005747D9">
        <w:rPr>
          <w:rFonts w:eastAsia="Calibri" w:cs="Arial"/>
          <w:bCs/>
          <w:color w:val="000000"/>
          <w:sz w:val="16"/>
          <w:szCs w:val="16"/>
        </w:rPr>
        <w:t>Set up Reaction wells:</w:t>
      </w:r>
    </w:p>
    <w:p w14:paraId="43D04B9A" w14:textId="77777777" w:rsidR="001D0404" w:rsidRPr="001D0404" w:rsidRDefault="001D0404" w:rsidP="001D0404">
      <w:pPr>
        <w:numPr>
          <w:ilvl w:val="0"/>
          <w:numId w:val="23"/>
        </w:numPr>
        <w:spacing w:before="0" w:after="0"/>
        <w:rPr>
          <w:rFonts w:eastAsia="Calibri" w:cs="Arial"/>
          <w:bCs/>
          <w:color w:val="000000"/>
          <w:sz w:val="16"/>
          <w:szCs w:val="16"/>
        </w:rPr>
      </w:pPr>
      <w:r w:rsidRPr="001D0404">
        <w:rPr>
          <w:rFonts w:eastAsia="Calibri" w:cs="Arial"/>
          <w:bCs/>
          <w:color w:val="000000"/>
          <w:sz w:val="16"/>
          <w:szCs w:val="16"/>
        </w:rPr>
        <w:t>Standard wells = 50 µL standard dilutions.</w:t>
      </w:r>
    </w:p>
    <w:p w14:paraId="28F134CE" w14:textId="75DB1C42" w:rsidR="001D0404" w:rsidRPr="001D0404" w:rsidRDefault="001D0404" w:rsidP="001D0404">
      <w:pPr>
        <w:numPr>
          <w:ilvl w:val="0"/>
          <w:numId w:val="23"/>
        </w:numPr>
        <w:spacing w:before="0" w:after="0"/>
        <w:rPr>
          <w:rFonts w:eastAsia="Calibri" w:cs="Arial"/>
          <w:bCs/>
          <w:color w:val="000000"/>
          <w:sz w:val="16"/>
          <w:szCs w:val="16"/>
        </w:rPr>
      </w:pPr>
      <w:r w:rsidRPr="001D0404">
        <w:rPr>
          <w:rFonts w:eastAsia="Calibri" w:cs="Arial"/>
          <w:bCs/>
          <w:color w:val="000000"/>
          <w:sz w:val="16"/>
          <w:szCs w:val="16"/>
        </w:rPr>
        <w:t xml:space="preserve">Sample wells = 1 – 50 µL samples (adjust volume to 50 µL/well with </w:t>
      </w:r>
      <w:r w:rsidR="00E46F8C" w:rsidRPr="00E46F8C">
        <w:rPr>
          <w:rFonts w:eastAsia="Calibri" w:cs="Arial"/>
          <w:bCs/>
          <w:color w:val="000000"/>
          <w:sz w:val="16"/>
          <w:szCs w:val="16"/>
        </w:rPr>
        <w:t>Assay Buffer II/</w:t>
      </w:r>
      <w:r w:rsidRPr="001D0404">
        <w:rPr>
          <w:rFonts w:eastAsia="Calibri" w:cs="Arial"/>
          <w:bCs/>
          <w:color w:val="000000"/>
          <w:sz w:val="16"/>
          <w:szCs w:val="16"/>
        </w:rPr>
        <w:t>Assay Buffer).</w:t>
      </w:r>
    </w:p>
    <w:p w14:paraId="48837EDA" w14:textId="26CCBF20" w:rsidR="001D0404" w:rsidRPr="001D0404" w:rsidRDefault="001D0404" w:rsidP="001D0404">
      <w:pPr>
        <w:numPr>
          <w:ilvl w:val="0"/>
          <w:numId w:val="23"/>
        </w:numPr>
        <w:spacing w:before="0" w:after="0"/>
        <w:rPr>
          <w:rFonts w:eastAsia="Calibri" w:cs="Arial"/>
          <w:bCs/>
          <w:color w:val="000000"/>
          <w:sz w:val="16"/>
          <w:szCs w:val="16"/>
        </w:rPr>
      </w:pPr>
      <w:r w:rsidRPr="001D0404">
        <w:rPr>
          <w:rFonts w:eastAsia="Calibri" w:cs="Arial"/>
          <w:bCs/>
          <w:color w:val="000000"/>
          <w:sz w:val="16"/>
          <w:szCs w:val="16"/>
        </w:rPr>
        <w:t xml:space="preserve">Background sample control wells = 1 – 50 µL samples (adjust volume to 50 µL/well with </w:t>
      </w:r>
      <w:r w:rsidR="00E46F8C" w:rsidRPr="00E46F8C">
        <w:rPr>
          <w:rFonts w:eastAsia="Calibri" w:cs="Arial"/>
          <w:bCs/>
          <w:color w:val="000000"/>
          <w:sz w:val="16"/>
          <w:szCs w:val="16"/>
        </w:rPr>
        <w:t>Assay Buffer II/</w:t>
      </w:r>
      <w:r w:rsidRPr="001D0404">
        <w:rPr>
          <w:rFonts w:eastAsia="Calibri" w:cs="Arial"/>
          <w:bCs/>
          <w:color w:val="000000"/>
          <w:sz w:val="16"/>
          <w:szCs w:val="16"/>
        </w:rPr>
        <w:t>Assay Buffer).</w:t>
      </w:r>
    </w:p>
    <w:p w14:paraId="361AAB93" w14:textId="57C5AD7C" w:rsidR="005747D9" w:rsidRPr="005747D9" w:rsidRDefault="001D0404" w:rsidP="005747D9">
      <w:pPr>
        <w:pStyle w:val="ListParagraph"/>
        <w:numPr>
          <w:ilvl w:val="0"/>
          <w:numId w:val="26"/>
        </w:numPr>
        <w:spacing w:before="0" w:after="0"/>
        <w:rPr>
          <w:rFonts w:eastAsia="Calibri" w:cs="Arial"/>
          <w:color w:val="000000"/>
          <w:sz w:val="16"/>
          <w:szCs w:val="16"/>
        </w:rPr>
      </w:pPr>
      <w:r w:rsidRPr="005747D9">
        <w:rPr>
          <w:rFonts w:eastAsia="Calibri" w:cs="Arial"/>
          <w:color w:val="000000"/>
          <w:sz w:val="16"/>
          <w:szCs w:val="16"/>
        </w:rPr>
        <w:t xml:space="preserve">Prepare 50 </w:t>
      </w:r>
      <w:r w:rsidRPr="005747D9">
        <w:rPr>
          <w:rFonts w:eastAsia="Calibri" w:cs="Arial"/>
          <w:bCs/>
          <w:color w:val="000000"/>
          <w:sz w:val="16"/>
          <w:szCs w:val="16"/>
        </w:rPr>
        <w:t>µL</w:t>
      </w:r>
      <w:r w:rsidRPr="005747D9">
        <w:rPr>
          <w:rFonts w:eastAsia="Calibri" w:cs="Arial"/>
          <w:color w:val="000000"/>
          <w:sz w:val="16"/>
          <w:szCs w:val="16"/>
        </w:rPr>
        <w:t xml:space="preserve"> Reaction Mix for each reaction</w:t>
      </w:r>
      <w:r w:rsidR="005747D9" w:rsidRPr="005747D9">
        <w:rPr>
          <w:rFonts w:eastAsia="Calibri" w:cs="Arial"/>
          <w:color w:val="000000"/>
          <w:sz w:val="16"/>
          <w:szCs w:val="16"/>
        </w:rPr>
        <w:t xml:space="preserve">. Mix enough reagents for the number of assays (samples, standards and background control) to be performed. Prepare a Master Mix of the Reaction Mix to ensure consistency. We recommend the following calculation: </w:t>
      </w:r>
    </w:p>
    <w:p w14:paraId="4470A939" w14:textId="3B08102A" w:rsidR="001D0404" w:rsidRPr="005747D9" w:rsidRDefault="005747D9" w:rsidP="005747D9">
      <w:pPr>
        <w:spacing w:before="0" w:after="0"/>
        <w:ind w:firstLine="360"/>
        <w:rPr>
          <w:rFonts w:eastAsia="Calibri" w:cs="Arial"/>
          <w:color w:val="000000"/>
          <w:sz w:val="16"/>
          <w:szCs w:val="16"/>
        </w:rPr>
      </w:pPr>
      <w:r w:rsidRPr="001D0404">
        <w:rPr>
          <w:rFonts w:eastAsia="Calibri" w:cs="Arial"/>
          <w:color w:val="000000"/>
          <w:sz w:val="16"/>
          <w:szCs w:val="16"/>
        </w:rPr>
        <w:t>X µL component x (Number samples + standards +1)</w:t>
      </w:r>
    </w:p>
    <w:p w14:paraId="35B56539" w14:textId="77777777" w:rsidR="005747D9" w:rsidRPr="005747D9" w:rsidRDefault="005747D9" w:rsidP="005747D9">
      <w:pPr>
        <w:pStyle w:val="ListParagraph"/>
        <w:spacing w:before="0" w:after="0"/>
        <w:ind w:left="720"/>
        <w:rPr>
          <w:rFonts w:eastAsia="Calibri" w:cs="Arial"/>
          <w:color w:val="000000"/>
          <w:sz w:val="16"/>
          <w:szCs w:val="16"/>
        </w:rPr>
      </w:pPr>
    </w:p>
    <w:tbl>
      <w:tblPr>
        <w:tblStyle w:val="GridTable4"/>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1275"/>
        <w:gridCol w:w="1418"/>
        <w:gridCol w:w="1386"/>
      </w:tblGrid>
      <w:tr w:rsidR="001D0404" w:rsidRPr="001D0404" w14:paraId="0631C6DF" w14:textId="67C8F558" w:rsidTr="001D040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right w:val="none" w:sz="0" w:space="0" w:color="auto"/>
            </w:tcBorders>
            <w:shd w:val="clear" w:color="auto" w:fill="auto"/>
            <w:noWrap/>
          </w:tcPr>
          <w:p w14:paraId="7C8EF81E" w14:textId="77777777" w:rsidR="001D0404" w:rsidRPr="001D0404" w:rsidRDefault="001D0404" w:rsidP="001D0404">
            <w:pPr>
              <w:spacing w:before="0" w:after="0"/>
              <w:rPr>
                <w:rFonts w:eastAsia="Calibri" w:cs="Arial"/>
                <w:b w:val="0"/>
                <w:bCs w:val="0"/>
                <w:color w:val="000000"/>
                <w:sz w:val="16"/>
                <w:szCs w:val="16"/>
              </w:rPr>
            </w:pPr>
          </w:p>
        </w:tc>
        <w:tc>
          <w:tcPr>
            <w:tcW w:w="2551" w:type="dxa"/>
            <w:gridSpan w:val="2"/>
            <w:tcBorders>
              <w:top w:val="none" w:sz="0" w:space="0" w:color="auto"/>
              <w:left w:val="none" w:sz="0" w:space="0" w:color="auto"/>
              <w:bottom w:val="none" w:sz="0" w:space="0" w:color="auto"/>
              <w:right w:val="none" w:sz="0" w:space="0" w:color="auto"/>
            </w:tcBorders>
            <w:shd w:val="clear" w:color="auto" w:fill="auto"/>
          </w:tcPr>
          <w:p w14:paraId="6814EF6B" w14:textId="11EFD896" w:rsidR="001D0404" w:rsidRPr="001D0404" w:rsidRDefault="001D0404" w:rsidP="001D0404">
            <w:pPr>
              <w:spacing w:before="0" w:after="0"/>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sz w:val="16"/>
                <w:szCs w:val="16"/>
              </w:rPr>
            </w:pPr>
            <w:r w:rsidRPr="001D0404">
              <w:rPr>
                <w:rFonts w:eastAsia="Calibri" w:cs="Arial"/>
                <w:color w:val="000000"/>
                <w:sz w:val="16"/>
                <w:szCs w:val="16"/>
              </w:rPr>
              <w:t>COLORIMETRIC ASSAY</w:t>
            </w:r>
          </w:p>
        </w:tc>
        <w:tc>
          <w:tcPr>
            <w:tcW w:w="2804" w:type="dxa"/>
            <w:gridSpan w:val="2"/>
            <w:tcBorders>
              <w:top w:val="none" w:sz="0" w:space="0" w:color="auto"/>
              <w:left w:val="none" w:sz="0" w:space="0" w:color="auto"/>
              <w:bottom w:val="none" w:sz="0" w:space="0" w:color="auto"/>
              <w:right w:val="none" w:sz="0" w:space="0" w:color="auto"/>
            </w:tcBorders>
            <w:shd w:val="clear" w:color="auto" w:fill="auto"/>
          </w:tcPr>
          <w:p w14:paraId="23791EAA" w14:textId="0B3D5D9A" w:rsidR="001D0404" w:rsidRPr="001D0404" w:rsidRDefault="001D0404" w:rsidP="001D0404">
            <w:pPr>
              <w:spacing w:before="0" w:after="0"/>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sz w:val="16"/>
                <w:szCs w:val="16"/>
              </w:rPr>
            </w:pPr>
            <w:r w:rsidRPr="001D0404">
              <w:rPr>
                <w:rFonts w:eastAsia="Calibri" w:cs="Arial"/>
                <w:color w:val="000000"/>
                <w:sz w:val="16"/>
                <w:szCs w:val="16"/>
              </w:rPr>
              <w:t>FLUOROMETRIC ASSAY</w:t>
            </w:r>
          </w:p>
        </w:tc>
      </w:tr>
      <w:tr w:rsidR="001D0404" w:rsidRPr="001D0404" w14:paraId="1AE477DF" w14:textId="789A3699" w:rsidTr="001D04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noWrap/>
            <w:hideMark/>
          </w:tcPr>
          <w:p w14:paraId="3118C25B" w14:textId="77777777" w:rsidR="001D0404" w:rsidRPr="001D0404" w:rsidRDefault="001D0404" w:rsidP="001D0404">
            <w:pPr>
              <w:spacing w:before="0" w:after="0"/>
              <w:rPr>
                <w:rFonts w:eastAsia="Calibri" w:cs="Arial"/>
                <w:color w:val="000000"/>
                <w:sz w:val="16"/>
                <w:szCs w:val="16"/>
              </w:rPr>
            </w:pPr>
            <w:r w:rsidRPr="001D0404">
              <w:rPr>
                <w:rFonts w:eastAsia="Calibri" w:cs="Arial"/>
                <w:color w:val="000000"/>
                <w:sz w:val="16"/>
                <w:szCs w:val="16"/>
              </w:rPr>
              <w:t>Component</w:t>
            </w:r>
          </w:p>
        </w:tc>
        <w:tc>
          <w:tcPr>
            <w:tcW w:w="1276" w:type="dxa"/>
            <w:shd w:val="clear" w:color="auto" w:fill="auto"/>
            <w:hideMark/>
          </w:tcPr>
          <w:p w14:paraId="1DE4DDF3" w14:textId="77777777" w:rsidR="001D0404" w:rsidRPr="001D0404"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
                <w:color w:val="000000"/>
                <w:sz w:val="16"/>
                <w:szCs w:val="16"/>
              </w:rPr>
            </w:pPr>
            <w:r w:rsidRPr="001D0404">
              <w:rPr>
                <w:rFonts w:eastAsia="Calibri" w:cs="Arial"/>
                <w:b/>
                <w:bCs/>
                <w:color w:val="000000"/>
                <w:sz w:val="16"/>
                <w:szCs w:val="16"/>
              </w:rPr>
              <w:t>Reaction Mix (µL)</w:t>
            </w:r>
          </w:p>
        </w:tc>
        <w:tc>
          <w:tcPr>
            <w:tcW w:w="1275" w:type="dxa"/>
            <w:shd w:val="clear" w:color="auto" w:fill="auto"/>
          </w:tcPr>
          <w:p w14:paraId="7023724A" w14:textId="77777777" w:rsidR="001D0404" w:rsidRPr="001D0404"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
                <w:color w:val="000000"/>
                <w:sz w:val="16"/>
                <w:szCs w:val="16"/>
              </w:rPr>
            </w:pPr>
            <w:r w:rsidRPr="001D0404">
              <w:rPr>
                <w:rFonts w:eastAsia="Calibri" w:cs="Arial"/>
                <w:b/>
                <w:bCs/>
                <w:color w:val="000000"/>
                <w:sz w:val="16"/>
                <w:szCs w:val="16"/>
              </w:rPr>
              <w:t>Background Control Mix (µL)</w:t>
            </w:r>
          </w:p>
        </w:tc>
        <w:tc>
          <w:tcPr>
            <w:tcW w:w="1418" w:type="dxa"/>
            <w:shd w:val="clear" w:color="auto" w:fill="auto"/>
          </w:tcPr>
          <w:p w14:paraId="45FF2B97" w14:textId="222EA578" w:rsidR="001D0404" w:rsidRPr="001D0404"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
                <w:bCs/>
                <w:color w:val="000000"/>
                <w:sz w:val="16"/>
                <w:szCs w:val="16"/>
              </w:rPr>
            </w:pPr>
            <w:r w:rsidRPr="001D0404">
              <w:rPr>
                <w:rFonts w:eastAsia="Calibri" w:cs="Arial"/>
                <w:b/>
                <w:bCs/>
                <w:color w:val="000000"/>
                <w:sz w:val="16"/>
                <w:szCs w:val="16"/>
              </w:rPr>
              <w:t>Reaction Mix (µL</w:t>
            </w:r>
            <w:r>
              <w:rPr>
                <w:rFonts w:eastAsia="Calibri" w:cs="Arial"/>
                <w:b/>
                <w:bCs/>
                <w:color w:val="000000"/>
                <w:sz w:val="16"/>
                <w:szCs w:val="16"/>
              </w:rPr>
              <w:t>)</w:t>
            </w:r>
          </w:p>
        </w:tc>
        <w:tc>
          <w:tcPr>
            <w:tcW w:w="1386" w:type="dxa"/>
            <w:shd w:val="clear" w:color="auto" w:fill="auto"/>
          </w:tcPr>
          <w:p w14:paraId="4F2D796D" w14:textId="6C80AC95" w:rsidR="001D0404" w:rsidRPr="001D0404"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
                <w:bCs/>
                <w:color w:val="000000"/>
                <w:sz w:val="16"/>
                <w:szCs w:val="16"/>
              </w:rPr>
            </w:pPr>
            <w:r w:rsidRPr="001D0404">
              <w:rPr>
                <w:rFonts w:eastAsia="Calibri" w:cs="Arial"/>
                <w:b/>
                <w:bCs/>
                <w:color w:val="000000"/>
                <w:sz w:val="16"/>
                <w:szCs w:val="16"/>
              </w:rPr>
              <w:t>Background Control Mix (µL)</w:t>
            </w:r>
          </w:p>
        </w:tc>
      </w:tr>
      <w:tr w:rsidR="001D0404" w:rsidRPr="001D0404" w14:paraId="134A1146" w14:textId="1E982F87" w:rsidTr="001D0404">
        <w:trPr>
          <w:trHeight w:val="28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9D76A92" w14:textId="4E8C45AD" w:rsidR="001D0404" w:rsidRPr="001D0404" w:rsidRDefault="00E46F8C" w:rsidP="001D0404">
            <w:pPr>
              <w:spacing w:before="0" w:after="0"/>
              <w:rPr>
                <w:rFonts w:eastAsia="Calibri" w:cs="Arial"/>
                <w:color w:val="000000"/>
                <w:sz w:val="16"/>
                <w:szCs w:val="16"/>
              </w:rPr>
            </w:pPr>
            <w:r w:rsidRPr="00E46F8C">
              <w:rPr>
                <w:rFonts w:eastAsia="Calibri" w:cs="Arial"/>
                <w:color w:val="000000"/>
                <w:sz w:val="16"/>
                <w:szCs w:val="16"/>
              </w:rPr>
              <w:t>Assay Buffer II/</w:t>
            </w:r>
            <w:r w:rsidR="001D0404" w:rsidRPr="001D0404">
              <w:rPr>
                <w:rFonts w:eastAsia="Calibri" w:cs="Arial"/>
                <w:color w:val="000000"/>
                <w:sz w:val="16"/>
                <w:szCs w:val="16"/>
              </w:rPr>
              <w:t>Lactate Assay Buffer</w:t>
            </w:r>
          </w:p>
        </w:tc>
        <w:tc>
          <w:tcPr>
            <w:tcW w:w="1276" w:type="dxa"/>
            <w:shd w:val="clear" w:color="auto" w:fill="auto"/>
            <w:noWrap/>
          </w:tcPr>
          <w:p w14:paraId="68204498" w14:textId="77777777" w:rsidR="001D0404" w:rsidRPr="001D0404"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1D0404">
              <w:rPr>
                <w:rFonts w:eastAsia="Calibri" w:cs="Arial"/>
                <w:bCs/>
                <w:color w:val="000000"/>
                <w:sz w:val="16"/>
                <w:szCs w:val="16"/>
              </w:rPr>
              <w:t>46</w:t>
            </w:r>
          </w:p>
        </w:tc>
        <w:tc>
          <w:tcPr>
            <w:tcW w:w="1275" w:type="dxa"/>
            <w:shd w:val="clear" w:color="auto" w:fill="auto"/>
          </w:tcPr>
          <w:p w14:paraId="38F46817" w14:textId="77777777" w:rsidR="001D0404" w:rsidRPr="001D0404"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1D0404">
              <w:rPr>
                <w:rFonts w:eastAsia="Calibri" w:cs="Arial"/>
                <w:bCs/>
                <w:color w:val="000000"/>
                <w:sz w:val="16"/>
                <w:szCs w:val="16"/>
              </w:rPr>
              <w:t>48</w:t>
            </w:r>
          </w:p>
        </w:tc>
        <w:tc>
          <w:tcPr>
            <w:tcW w:w="1418" w:type="dxa"/>
            <w:shd w:val="clear" w:color="auto" w:fill="auto"/>
          </w:tcPr>
          <w:p w14:paraId="258132E5" w14:textId="2FEF30BF" w:rsidR="001D0404" w:rsidRPr="00DC48D9"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DC48D9">
              <w:rPr>
                <w:rFonts w:eastAsia="Calibri" w:cs="Arial"/>
                <w:bCs/>
                <w:color w:val="000000"/>
                <w:sz w:val="16"/>
                <w:szCs w:val="16"/>
              </w:rPr>
              <w:t>47.6</w:t>
            </w:r>
          </w:p>
        </w:tc>
        <w:tc>
          <w:tcPr>
            <w:tcW w:w="1386" w:type="dxa"/>
            <w:shd w:val="clear" w:color="auto" w:fill="auto"/>
          </w:tcPr>
          <w:p w14:paraId="4F641B38" w14:textId="58CEC0A9" w:rsidR="001D0404" w:rsidRPr="00DC48D9"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DC48D9">
              <w:rPr>
                <w:rFonts w:eastAsia="Calibri" w:cs="Arial"/>
                <w:bCs/>
                <w:color w:val="000000"/>
                <w:sz w:val="16"/>
                <w:szCs w:val="16"/>
              </w:rPr>
              <w:t>49.6</w:t>
            </w:r>
          </w:p>
        </w:tc>
      </w:tr>
      <w:tr w:rsidR="001D0404" w:rsidRPr="001D0404" w14:paraId="7AAE1A20" w14:textId="4E7510A1" w:rsidTr="001D040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B8578E2" w14:textId="05756C7E" w:rsidR="001D0404" w:rsidRPr="001D0404" w:rsidRDefault="00E46F8C" w:rsidP="001D0404">
            <w:pPr>
              <w:spacing w:before="0" w:after="0"/>
              <w:rPr>
                <w:rFonts w:eastAsia="Calibri" w:cs="Arial"/>
                <w:color w:val="000000"/>
                <w:sz w:val="16"/>
                <w:szCs w:val="16"/>
              </w:rPr>
            </w:pPr>
            <w:proofErr w:type="spellStart"/>
            <w:r w:rsidRPr="00E46F8C">
              <w:rPr>
                <w:rFonts w:eastAsia="Calibri" w:cs="Arial"/>
                <w:color w:val="000000"/>
                <w:sz w:val="16"/>
                <w:szCs w:val="16"/>
              </w:rPr>
              <w:t>OxiRed</w:t>
            </w:r>
            <w:proofErr w:type="spellEnd"/>
            <w:r w:rsidRPr="00E46F8C">
              <w:rPr>
                <w:rFonts w:eastAsia="Calibri" w:cs="Arial"/>
                <w:color w:val="000000"/>
                <w:sz w:val="16"/>
                <w:szCs w:val="16"/>
              </w:rPr>
              <w:t xml:space="preserve"> Probe/</w:t>
            </w:r>
            <w:r w:rsidR="001D0404" w:rsidRPr="001D0404">
              <w:rPr>
                <w:rFonts w:eastAsia="Calibri" w:cs="Arial"/>
                <w:color w:val="000000"/>
                <w:sz w:val="16"/>
                <w:szCs w:val="16"/>
              </w:rPr>
              <w:t>Probe</w:t>
            </w:r>
          </w:p>
        </w:tc>
        <w:tc>
          <w:tcPr>
            <w:tcW w:w="1276" w:type="dxa"/>
            <w:shd w:val="clear" w:color="auto" w:fill="auto"/>
            <w:noWrap/>
          </w:tcPr>
          <w:p w14:paraId="6A7B3065" w14:textId="77777777" w:rsidR="001D0404" w:rsidRPr="001D0404"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Cs/>
                <w:color w:val="000000"/>
                <w:sz w:val="16"/>
                <w:szCs w:val="16"/>
              </w:rPr>
            </w:pPr>
            <w:r w:rsidRPr="001D0404">
              <w:rPr>
                <w:rFonts w:eastAsia="Calibri" w:cs="Arial"/>
                <w:bCs/>
                <w:color w:val="000000"/>
                <w:sz w:val="16"/>
                <w:szCs w:val="16"/>
              </w:rPr>
              <w:t>2</w:t>
            </w:r>
          </w:p>
        </w:tc>
        <w:tc>
          <w:tcPr>
            <w:tcW w:w="1275" w:type="dxa"/>
            <w:shd w:val="clear" w:color="auto" w:fill="auto"/>
          </w:tcPr>
          <w:p w14:paraId="12FC78AC" w14:textId="77777777" w:rsidR="001D0404" w:rsidRPr="001D0404"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Cs/>
                <w:color w:val="000000"/>
                <w:sz w:val="16"/>
                <w:szCs w:val="16"/>
              </w:rPr>
            </w:pPr>
            <w:r w:rsidRPr="001D0404">
              <w:rPr>
                <w:rFonts w:eastAsia="Calibri" w:cs="Arial"/>
                <w:bCs/>
                <w:color w:val="000000"/>
                <w:sz w:val="16"/>
                <w:szCs w:val="16"/>
              </w:rPr>
              <w:t>2</w:t>
            </w:r>
          </w:p>
        </w:tc>
        <w:tc>
          <w:tcPr>
            <w:tcW w:w="1418" w:type="dxa"/>
            <w:shd w:val="clear" w:color="auto" w:fill="auto"/>
          </w:tcPr>
          <w:p w14:paraId="19525A9B" w14:textId="45D7DBC2" w:rsidR="001D0404" w:rsidRPr="00DC48D9"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Cs/>
                <w:color w:val="000000"/>
                <w:sz w:val="16"/>
                <w:szCs w:val="16"/>
              </w:rPr>
            </w:pPr>
            <w:r w:rsidRPr="00DC48D9">
              <w:rPr>
                <w:rFonts w:eastAsia="Calibri" w:cs="Arial"/>
                <w:bCs/>
                <w:color w:val="000000"/>
                <w:sz w:val="16"/>
                <w:szCs w:val="16"/>
              </w:rPr>
              <w:t>0.4</w:t>
            </w:r>
          </w:p>
        </w:tc>
        <w:tc>
          <w:tcPr>
            <w:tcW w:w="1386" w:type="dxa"/>
            <w:shd w:val="clear" w:color="auto" w:fill="auto"/>
          </w:tcPr>
          <w:p w14:paraId="7C0BCFCB" w14:textId="3C14F48A" w:rsidR="001D0404" w:rsidRPr="00DC48D9" w:rsidRDefault="001D0404" w:rsidP="001D0404">
            <w:pPr>
              <w:spacing w:before="0" w:after="0"/>
              <w:cnfStyle w:val="000000100000" w:firstRow="0" w:lastRow="0" w:firstColumn="0" w:lastColumn="0" w:oddVBand="0" w:evenVBand="0" w:oddHBand="1" w:evenHBand="0" w:firstRowFirstColumn="0" w:firstRowLastColumn="0" w:lastRowFirstColumn="0" w:lastRowLastColumn="0"/>
              <w:rPr>
                <w:rFonts w:eastAsia="Calibri" w:cs="Arial"/>
                <w:bCs/>
                <w:color w:val="000000"/>
                <w:sz w:val="16"/>
                <w:szCs w:val="16"/>
              </w:rPr>
            </w:pPr>
            <w:r w:rsidRPr="00DC48D9">
              <w:rPr>
                <w:rFonts w:eastAsia="Calibri" w:cs="Arial"/>
                <w:bCs/>
                <w:color w:val="000000"/>
                <w:sz w:val="16"/>
                <w:szCs w:val="16"/>
              </w:rPr>
              <w:t>0.4</w:t>
            </w:r>
          </w:p>
        </w:tc>
      </w:tr>
      <w:tr w:rsidR="001D0404" w:rsidRPr="001D0404" w14:paraId="5C2D0FA5" w14:textId="6C2FA0BF" w:rsidTr="001D0404">
        <w:trPr>
          <w:trHeight w:val="28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42D2DF2" w14:textId="77777777" w:rsidR="001D0404" w:rsidRPr="001D0404" w:rsidRDefault="001D0404" w:rsidP="001D0404">
            <w:pPr>
              <w:spacing w:before="0" w:after="0"/>
              <w:rPr>
                <w:rFonts w:eastAsia="Calibri" w:cs="Arial"/>
                <w:color w:val="000000"/>
                <w:sz w:val="16"/>
                <w:szCs w:val="16"/>
              </w:rPr>
            </w:pPr>
            <w:r w:rsidRPr="001D0404">
              <w:rPr>
                <w:rFonts w:eastAsia="Calibri" w:cs="Arial"/>
                <w:color w:val="000000"/>
                <w:sz w:val="16"/>
                <w:szCs w:val="16"/>
              </w:rPr>
              <w:t>Enzyme Mix</w:t>
            </w:r>
          </w:p>
        </w:tc>
        <w:tc>
          <w:tcPr>
            <w:tcW w:w="1276" w:type="dxa"/>
            <w:shd w:val="clear" w:color="auto" w:fill="auto"/>
            <w:noWrap/>
          </w:tcPr>
          <w:p w14:paraId="54485B2E" w14:textId="77777777" w:rsidR="001D0404" w:rsidRPr="001D0404"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1D0404">
              <w:rPr>
                <w:rFonts w:eastAsia="Calibri" w:cs="Arial"/>
                <w:bCs/>
                <w:color w:val="000000"/>
                <w:sz w:val="16"/>
                <w:szCs w:val="16"/>
              </w:rPr>
              <w:t>2</w:t>
            </w:r>
          </w:p>
        </w:tc>
        <w:tc>
          <w:tcPr>
            <w:tcW w:w="1275" w:type="dxa"/>
            <w:shd w:val="clear" w:color="auto" w:fill="auto"/>
          </w:tcPr>
          <w:p w14:paraId="76DECB60" w14:textId="77777777" w:rsidR="001D0404" w:rsidRPr="001D0404"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1D0404">
              <w:rPr>
                <w:rFonts w:eastAsia="Calibri" w:cs="Arial"/>
                <w:bCs/>
                <w:color w:val="000000"/>
                <w:sz w:val="16"/>
                <w:szCs w:val="16"/>
              </w:rPr>
              <w:t>0</w:t>
            </w:r>
          </w:p>
        </w:tc>
        <w:tc>
          <w:tcPr>
            <w:tcW w:w="1418" w:type="dxa"/>
            <w:shd w:val="clear" w:color="auto" w:fill="auto"/>
          </w:tcPr>
          <w:p w14:paraId="20AEB1A0" w14:textId="05167EEB" w:rsidR="001D0404" w:rsidRPr="00DC48D9"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DC48D9">
              <w:rPr>
                <w:rFonts w:eastAsia="Calibri" w:cs="Arial"/>
                <w:bCs/>
                <w:color w:val="000000"/>
                <w:sz w:val="16"/>
                <w:szCs w:val="16"/>
              </w:rPr>
              <w:t>2</w:t>
            </w:r>
          </w:p>
        </w:tc>
        <w:tc>
          <w:tcPr>
            <w:tcW w:w="1386" w:type="dxa"/>
            <w:shd w:val="clear" w:color="auto" w:fill="auto"/>
          </w:tcPr>
          <w:p w14:paraId="7A369EEB" w14:textId="4B0F9DE4" w:rsidR="001D0404" w:rsidRPr="00DC48D9" w:rsidRDefault="001D0404" w:rsidP="001D0404">
            <w:pPr>
              <w:spacing w:before="0" w:after="0"/>
              <w:cnfStyle w:val="000000000000" w:firstRow="0" w:lastRow="0" w:firstColumn="0" w:lastColumn="0" w:oddVBand="0" w:evenVBand="0" w:oddHBand="0" w:evenHBand="0" w:firstRowFirstColumn="0" w:firstRowLastColumn="0" w:lastRowFirstColumn="0" w:lastRowLastColumn="0"/>
              <w:rPr>
                <w:rFonts w:eastAsia="Calibri" w:cs="Arial"/>
                <w:bCs/>
                <w:color w:val="000000"/>
                <w:sz w:val="16"/>
                <w:szCs w:val="16"/>
              </w:rPr>
            </w:pPr>
            <w:r w:rsidRPr="00DC48D9">
              <w:rPr>
                <w:rFonts w:eastAsia="Calibri" w:cs="Arial"/>
                <w:bCs/>
                <w:color w:val="000000"/>
                <w:sz w:val="16"/>
                <w:szCs w:val="16"/>
              </w:rPr>
              <w:t>0</w:t>
            </w:r>
          </w:p>
        </w:tc>
      </w:tr>
    </w:tbl>
    <w:p w14:paraId="469A6143" w14:textId="77777777" w:rsidR="005747D9" w:rsidRDefault="005747D9" w:rsidP="001D0404">
      <w:pPr>
        <w:spacing w:before="0" w:after="0"/>
        <w:rPr>
          <w:rFonts w:eastAsia="Calibri" w:cs="Arial"/>
          <w:b/>
          <w:color w:val="000000"/>
          <w:sz w:val="16"/>
          <w:szCs w:val="16"/>
        </w:rPr>
      </w:pPr>
    </w:p>
    <w:p w14:paraId="4D2FE493" w14:textId="77777777" w:rsidR="001D0404" w:rsidRPr="005747D9" w:rsidRDefault="001D0404" w:rsidP="005747D9">
      <w:pPr>
        <w:pStyle w:val="ListParagraph"/>
        <w:numPr>
          <w:ilvl w:val="0"/>
          <w:numId w:val="26"/>
        </w:numPr>
        <w:spacing w:before="0" w:after="0"/>
        <w:rPr>
          <w:rFonts w:eastAsia="Calibri" w:cs="Arial"/>
          <w:color w:val="000000"/>
          <w:sz w:val="16"/>
          <w:szCs w:val="16"/>
        </w:rPr>
      </w:pPr>
      <w:r w:rsidRPr="005747D9">
        <w:rPr>
          <w:rFonts w:eastAsia="Calibri" w:cs="Arial"/>
          <w:color w:val="000000"/>
          <w:sz w:val="16"/>
          <w:szCs w:val="16"/>
        </w:rPr>
        <w:t>Add 50 µL of Reaction Mix into each standard and sample well.</w:t>
      </w:r>
    </w:p>
    <w:p w14:paraId="4160BE15" w14:textId="77777777" w:rsidR="001D0404" w:rsidRPr="005747D9" w:rsidRDefault="001D0404" w:rsidP="005747D9">
      <w:pPr>
        <w:pStyle w:val="ListParagraph"/>
        <w:numPr>
          <w:ilvl w:val="0"/>
          <w:numId w:val="26"/>
        </w:numPr>
        <w:spacing w:before="0" w:after="0"/>
        <w:rPr>
          <w:rFonts w:eastAsia="Calibri" w:cs="Arial"/>
          <w:color w:val="000000"/>
          <w:sz w:val="16"/>
          <w:szCs w:val="16"/>
        </w:rPr>
      </w:pPr>
      <w:r w:rsidRPr="005747D9">
        <w:rPr>
          <w:rFonts w:eastAsia="Calibri" w:cs="Arial"/>
          <w:color w:val="000000"/>
          <w:sz w:val="16"/>
          <w:szCs w:val="16"/>
        </w:rPr>
        <w:t>Add 50 µL of Background Control Mix to background wells.</w:t>
      </w:r>
    </w:p>
    <w:p w14:paraId="37690DF0" w14:textId="77777777" w:rsidR="001D0404" w:rsidRPr="005747D9" w:rsidRDefault="001D0404" w:rsidP="005747D9">
      <w:pPr>
        <w:pStyle w:val="ListParagraph"/>
        <w:numPr>
          <w:ilvl w:val="0"/>
          <w:numId w:val="26"/>
        </w:numPr>
        <w:spacing w:before="0" w:after="0"/>
        <w:rPr>
          <w:rFonts w:eastAsia="Calibri" w:cs="Arial"/>
          <w:color w:val="000000"/>
          <w:sz w:val="16"/>
          <w:szCs w:val="16"/>
        </w:rPr>
      </w:pPr>
      <w:r w:rsidRPr="005747D9">
        <w:rPr>
          <w:rFonts w:eastAsia="Calibri" w:cs="Arial"/>
          <w:color w:val="000000"/>
          <w:sz w:val="16"/>
          <w:szCs w:val="16"/>
        </w:rPr>
        <w:t>Mix and incubate at room temperature for 30 minutes protected from light.</w:t>
      </w:r>
    </w:p>
    <w:p w14:paraId="54486FA7" w14:textId="77777777" w:rsidR="001D0404" w:rsidRPr="005747D9" w:rsidRDefault="001D0404" w:rsidP="005747D9">
      <w:pPr>
        <w:pStyle w:val="ListParagraph"/>
        <w:numPr>
          <w:ilvl w:val="0"/>
          <w:numId w:val="26"/>
        </w:numPr>
        <w:spacing w:before="0" w:after="0"/>
        <w:rPr>
          <w:rFonts w:eastAsia="Calibri" w:cs="Arial"/>
          <w:color w:val="000000"/>
          <w:sz w:val="16"/>
          <w:szCs w:val="16"/>
        </w:rPr>
      </w:pPr>
      <w:r w:rsidRPr="005747D9">
        <w:rPr>
          <w:rFonts w:eastAsia="Calibri" w:cs="Arial"/>
          <w:color w:val="000000"/>
          <w:sz w:val="16"/>
          <w:szCs w:val="16"/>
        </w:rPr>
        <w:t xml:space="preserve">Measure output on microplate reader. </w:t>
      </w:r>
    </w:p>
    <w:p w14:paraId="79F02DBC" w14:textId="77777777" w:rsidR="001D0404" w:rsidRPr="001D0404" w:rsidRDefault="001D0404" w:rsidP="001D0404">
      <w:pPr>
        <w:numPr>
          <w:ilvl w:val="0"/>
          <w:numId w:val="24"/>
        </w:numPr>
        <w:spacing w:before="0" w:after="0"/>
        <w:rPr>
          <w:rFonts w:eastAsia="Calibri" w:cs="Arial"/>
          <w:color w:val="000000"/>
          <w:sz w:val="16"/>
          <w:szCs w:val="16"/>
        </w:rPr>
      </w:pPr>
      <w:r w:rsidRPr="001D0404">
        <w:rPr>
          <w:rFonts w:eastAsia="Calibri" w:cs="Arial"/>
          <w:color w:val="000000"/>
          <w:sz w:val="16"/>
          <w:szCs w:val="16"/>
        </w:rPr>
        <w:t>Colorimetric assay: measure OD570 nm.</w:t>
      </w:r>
    </w:p>
    <w:p w14:paraId="0E177DDC" w14:textId="77777777" w:rsidR="001D0404" w:rsidRPr="001D0404" w:rsidRDefault="001D0404" w:rsidP="001D0404">
      <w:pPr>
        <w:numPr>
          <w:ilvl w:val="0"/>
          <w:numId w:val="24"/>
        </w:numPr>
        <w:spacing w:before="0" w:after="0"/>
        <w:rPr>
          <w:rFonts w:eastAsia="Calibri" w:cs="Arial"/>
          <w:color w:val="000000"/>
          <w:sz w:val="16"/>
          <w:szCs w:val="16"/>
        </w:rPr>
      </w:pPr>
      <w:r w:rsidRPr="001D0404">
        <w:rPr>
          <w:rFonts w:eastAsia="Calibri" w:cs="Arial"/>
          <w:color w:val="000000"/>
          <w:sz w:val="16"/>
          <w:szCs w:val="16"/>
        </w:rPr>
        <w:t>Fluorometric assay: measure Ex/</w:t>
      </w:r>
      <w:proofErr w:type="spellStart"/>
      <w:r w:rsidRPr="001D0404">
        <w:rPr>
          <w:rFonts w:eastAsia="Calibri" w:cs="Arial"/>
          <w:color w:val="000000"/>
          <w:sz w:val="16"/>
          <w:szCs w:val="16"/>
        </w:rPr>
        <w:t>Em</w:t>
      </w:r>
      <w:proofErr w:type="spellEnd"/>
      <w:r w:rsidRPr="001D0404">
        <w:rPr>
          <w:rFonts w:eastAsia="Calibri" w:cs="Arial"/>
          <w:color w:val="000000"/>
          <w:sz w:val="16"/>
          <w:szCs w:val="16"/>
        </w:rPr>
        <w:t xml:space="preserve"> = 535/587 nm.</w:t>
      </w:r>
    </w:p>
    <w:p w14:paraId="6F6C0AB3" w14:textId="4DB87A14" w:rsidR="001D0404" w:rsidRDefault="001D0404" w:rsidP="008F5845">
      <w:pPr>
        <w:spacing w:before="0" w:after="0"/>
        <w:rPr>
          <w:rFonts w:eastAsia="Calibri" w:cs="Arial"/>
          <w:color w:val="000000"/>
          <w:sz w:val="16"/>
          <w:szCs w:val="16"/>
        </w:rPr>
      </w:pPr>
    </w:p>
    <w:p w14:paraId="72BF7A99" w14:textId="77777777" w:rsidR="00590A16" w:rsidRDefault="00590A16" w:rsidP="008F5845">
      <w:pPr>
        <w:spacing w:before="0" w:after="0"/>
        <w:rPr>
          <w:rFonts w:eastAsiaTheme="minorHAnsi" w:cs="Arial"/>
          <w:b/>
          <w:bCs/>
          <w:sz w:val="16"/>
          <w:szCs w:val="16"/>
          <w:u w:val="single"/>
          <w:lang w:val="en-GB"/>
        </w:rPr>
      </w:pPr>
    </w:p>
    <w:p w14:paraId="443F9CD6" w14:textId="77777777" w:rsidR="00590A16" w:rsidRDefault="00590A16" w:rsidP="008F5845">
      <w:pPr>
        <w:spacing w:before="0" w:after="0"/>
        <w:rPr>
          <w:rFonts w:eastAsiaTheme="minorHAnsi" w:cs="Arial"/>
          <w:b/>
          <w:bCs/>
          <w:sz w:val="16"/>
          <w:szCs w:val="16"/>
          <w:u w:val="single"/>
          <w:lang w:val="en-GB"/>
        </w:rPr>
      </w:pPr>
    </w:p>
    <w:p w14:paraId="17C70608" w14:textId="77777777" w:rsidR="00590A16" w:rsidRDefault="00590A16" w:rsidP="008F5845">
      <w:pPr>
        <w:spacing w:before="0" w:after="0"/>
        <w:rPr>
          <w:rFonts w:eastAsiaTheme="minorHAnsi" w:cs="Arial"/>
          <w:b/>
          <w:bCs/>
          <w:sz w:val="16"/>
          <w:szCs w:val="16"/>
          <w:u w:val="single"/>
          <w:lang w:val="en-GB"/>
        </w:rPr>
      </w:pPr>
    </w:p>
    <w:p w14:paraId="79F2C2F1" w14:textId="5770A717" w:rsidR="00434D67" w:rsidRDefault="00434D67" w:rsidP="008F5845">
      <w:pPr>
        <w:spacing w:before="0" w:after="0"/>
      </w:pPr>
      <w:r w:rsidRPr="00434D67">
        <w:rPr>
          <w:rFonts w:eastAsiaTheme="minorHAnsi" w:cs="Arial"/>
          <w:b/>
          <w:bCs/>
          <w:sz w:val="16"/>
          <w:szCs w:val="16"/>
          <w:u w:val="single"/>
          <w:lang w:val="en-GB"/>
        </w:rPr>
        <w:t>Calculation:</w:t>
      </w:r>
      <w:r>
        <w:t xml:space="preserve"> </w:t>
      </w:r>
    </w:p>
    <w:p w14:paraId="5BC467D5" w14:textId="77777777" w:rsidR="00754AFB" w:rsidRDefault="00434D67" w:rsidP="008F5845">
      <w:pPr>
        <w:spacing w:before="0" w:after="0"/>
        <w:rPr>
          <w:rFonts w:eastAsiaTheme="minorHAnsi" w:cs="Arial"/>
          <w:sz w:val="16"/>
          <w:szCs w:val="16"/>
          <w:lang w:val="en-GB"/>
        </w:rPr>
      </w:pPr>
      <w:r w:rsidRPr="00434D67">
        <w:rPr>
          <w:rFonts w:eastAsiaTheme="minorHAnsi" w:cs="Arial"/>
          <w:sz w:val="16"/>
          <w:szCs w:val="16"/>
          <w:lang w:val="en-GB"/>
        </w:rPr>
        <w:t xml:space="preserve">Subtract 0 Standard reading from all readings. If sample background control reading is significant then subtract the sample background control reading from sample reading. Plot the Lactate Standard Curve. For </w:t>
      </w:r>
      <w:proofErr w:type="spellStart"/>
      <w:r w:rsidRPr="00434D67">
        <w:rPr>
          <w:rFonts w:eastAsiaTheme="minorHAnsi" w:cs="Arial"/>
          <w:sz w:val="16"/>
          <w:szCs w:val="16"/>
          <w:lang w:val="en-GB"/>
        </w:rPr>
        <w:t>unspiked</w:t>
      </w:r>
      <w:proofErr w:type="spellEnd"/>
      <w:r w:rsidRPr="00434D67">
        <w:rPr>
          <w:rFonts w:eastAsiaTheme="minorHAnsi" w:cs="Arial"/>
          <w:sz w:val="16"/>
          <w:szCs w:val="16"/>
          <w:lang w:val="en-GB"/>
        </w:rPr>
        <w:t xml:space="preserve"> samples, apply the corrected OD to the Lactate Standard Curve to get B nmol of Lactate in the sample well. </w:t>
      </w:r>
    </w:p>
    <w:p w14:paraId="0A125543" w14:textId="4F49FB8F" w:rsidR="00754AFB" w:rsidRDefault="00754AFB" w:rsidP="008F5845">
      <w:pPr>
        <w:spacing w:before="0" w:after="0"/>
        <w:rPr>
          <w:rFonts w:eastAsiaTheme="minorHAnsi" w:cs="Arial"/>
          <w:sz w:val="16"/>
          <w:szCs w:val="16"/>
          <w:lang w:val="en-GB"/>
        </w:rPr>
      </w:pPr>
    </w:p>
    <w:p w14:paraId="64448865" w14:textId="343176AA" w:rsidR="00590A16" w:rsidRDefault="00590A16" w:rsidP="008F5845">
      <w:pPr>
        <w:spacing w:before="0" w:after="0"/>
        <w:rPr>
          <w:rFonts w:eastAsiaTheme="minorHAnsi" w:cs="Arial"/>
          <w:sz w:val="16"/>
          <w:szCs w:val="16"/>
          <w:lang w:val="en-GB"/>
        </w:rPr>
      </w:pPr>
    </w:p>
    <w:p w14:paraId="68A227C7" w14:textId="77777777" w:rsidR="00590A16" w:rsidRDefault="00590A16" w:rsidP="008F5845">
      <w:pPr>
        <w:spacing w:before="0" w:after="0"/>
        <w:rPr>
          <w:rFonts w:eastAsiaTheme="minorHAnsi" w:cs="Arial"/>
          <w:sz w:val="16"/>
          <w:szCs w:val="16"/>
          <w:lang w:val="en-GB"/>
        </w:rPr>
      </w:pPr>
    </w:p>
    <w:p w14:paraId="31740923" w14:textId="77777777" w:rsidR="00754AFB" w:rsidRPr="00590A16" w:rsidRDefault="00434D67" w:rsidP="008F5845">
      <w:pPr>
        <w:spacing w:before="0" w:after="0"/>
        <w:rPr>
          <w:rFonts w:eastAsiaTheme="minorHAnsi" w:cs="Arial"/>
          <w:b/>
          <w:bCs/>
          <w:sz w:val="16"/>
          <w:szCs w:val="16"/>
          <w:lang w:val="en-GB"/>
        </w:rPr>
      </w:pPr>
      <w:r w:rsidRPr="00590A16">
        <w:rPr>
          <w:rFonts w:eastAsiaTheme="minorHAnsi" w:cs="Arial"/>
          <w:b/>
          <w:bCs/>
          <w:sz w:val="16"/>
          <w:szCs w:val="16"/>
          <w:lang w:val="en-GB"/>
        </w:rPr>
        <w:t xml:space="preserve">Sample Lactate concentration (C) = B/V X D nmol/µl or mM </w:t>
      </w:r>
    </w:p>
    <w:p w14:paraId="562D2072" w14:textId="77777777" w:rsidR="00754AFB" w:rsidRDefault="00754AFB" w:rsidP="008F5845">
      <w:pPr>
        <w:spacing w:before="0" w:after="0"/>
        <w:rPr>
          <w:rFonts w:eastAsiaTheme="minorHAnsi" w:cs="Arial"/>
          <w:sz w:val="16"/>
          <w:szCs w:val="16"/>
          <w:lang w:val="en-GB"/>
        </w:rPr>
      </w:pPr>
    </w:p>
    <w:p w14:paraId="7525B106" w14:textId="77777777" w:rsidR="00590A16" w:rsidRDefault="00434D67" w:rsidP="00590A16">
      <w:pPr>
        <w:spacing w:before="0" w:after="0"/>
        <w:rPr>
          <w:rFonts w:eastAsiaTheme="minorHAnsi" w:cs="Arial"/>
          <w:sz w:val="16"/>
          <w:szCs w:val="16"/>
          <w:lang w:val="en-GB"/>
        </w:rPr>
      </w:pPr>
      <w:r w:rsidRPr="00434D67">
        <w:rPr>
          <w:rFonts w:eastAsiaTheme="minorHAnsi" w:cs="Arial"/>
          <w:sz w:val="16"/>
          <w:szCs w:val="16"/>
          <w:lang w:val="en-GB"/>
        </w:rPr>
        <w:t xml:space="preserve">Where: </w:t>
      </w:r>
    </w:p>
    <w:p w14:paraId="33E58228" w14:textId="4BEA4353" w:rsidR="00754AFB" w:rsidRDefault="00434D67" w:rsidP="00590A16">
      <w:pPr>
        <w:spacing w:before="0" w:after="0"/>
        <w:ind w:left="720"/>
        <w:rPr>
          <w:rFonts w:eastAsiaTheme="minorHAnsi" w:cs="Arial"/>
          <w:sz w:val="16"/>
          <w:szCs w:val="16"/>
          <w:lang w:val="en-GB"/>
        </w:rPr>
      </w:pPr>
      <w:r w:rsidRPr="00590A16">
        <w:rPr>
          <w:rFonts w:eastAsiaTheme="minorHAnsi" w:cs="Arial"/>
          <w:b/>
          <w:bCs/>
          <w:sz w:val="16"/>
          <w:szCs w:val="16"/>
          <w:lang w:val="en-GB"/>
        </w:rPr>
        <w:t>B</w:t>
      </w:r>
      <w:r w:rsidRPr="00434D67">
        <w:rPr>
          <w:rFonts w:eastAsiaTheme="minorHAnsi" w:cs="Arial"/>
          <w:sz w:val="16"/>
          <w:szCs w:val="16"/>
          <w:lang w:val="en-GB"/>
        </w:rPr>
        <w:t xml:space="preserve"> is the amount of Lactate in the sample well (nmol) </w:t>
      </w:r>
    </w:p>
    <w:p w14:paraId="6A6D20FA" w14:textId="77777777" w:rsidR="00754AFB" w:rsidRDefault="00434D67" w:rsidP="00590A16">
      <w:pPr>
        <w:spacing w:before="0" w:after="0"/>
        <w:ind w:left="720"/>
        <w:rPr>
          <w:rFonts w:eastAsiaTheme="minorHAnsi" w:cs="Arial"/>
          <w:sz w:val="16"/>
          <w:szCs w:val="16"/>
          <w:lang w:val="en-GB"/>
        </w:rPr>
      </w:pPr>
      <w:r w:rsidRPr="00590A16">
        <w:rPr>
          <w:rFonts w:eastAsiaTheme="minorHAnsi" w:cs="Arial"/>
          <w:b/>
          <w:bCs/>
          <w:sz w:val="16"/>
          <w:szCs w:val="16"/>
          <w:lang w:val="en-GB"/>
        </w:rPr>
        <w:t>V</w:t>
      </w:r>
      <w:r w:rsidRPr="00434D67">
        <w:rPr>
          <w:rFonts w:eastAsiaTheme="minorHAnsi" w:cs="Arial"/>
          <w:sz w:val="16"/>
          <w:szCs w:val="16"/>
          <w:lang w:val="en-GB"/>
        </w:rPr>
        <w:t xml:space="preserve"> is the sample volume added into the reaction well (µl) </w:t>
      </w:r>
    </w:p>
    <w:p w14:paraId="764A81AA" w14:textId="77777777" w:rsidR="00754AFB" w:rsidRDefault="00434D67" w:rsidP="00590A16">
      <w:pPr>
        <w:spacing w:before="0" w:after="0"/>
        <w:ind w:left="720"/>
        <w:rPr>
          <w:rFonts w:eastAsiaTheme="minorHAnsi" w:cs="Arial"/>
          <w:sz w:val="16"/>
          <w:szCs w:val="16"/>
          <w:lang w:val="en-GB"/>
        </w:rPr>
      </w:pPr>
      <w:r w:rsidRPr="00590A16">
        <w:rPr>
          <w:rFonts w:eastAsiaTheme="minorHAnsi" w:cs="Arial"/>
          <w:b/>
          <w:bCs/>
          <w:sz w:val="16"/>
          <w:szCs w:val="16"/>
          <w:lang w:val="en-GB"/>
        </w:rPr>
        <w:t>D</w:t>
      </w:r>
      <w:r w:rsidRPr="00434D67">
        <w:rPr>
          <w:rFonts w:eastAsiaTheme="minorHAnsi" w:cs="Arial"/>
          <w:sz w:val="16"/>
          <w:szCs w:val="16"/>
          <w:lang w:val="en-GB"/>
        </w:rPr>
        <w:t xml:space="preserve"> is the sample dilution factor </w:t>
      </w:r>
    </w:p>
    <w:p w14:paraId="4E25F564" w14:textId="77777777" w:rsidR="00754AFB" w:rsidRDefault="00754AFB" w:rsidP="008F5845">
      <w:pPr>
        <w:spacing w:before="0" w:after="0"/>
        <w:rPr>
          <w:rFonts w:eastAsiaTheme="minorHAnsi" w:cs="Arial"/>
          <w:sz w:val="16"/>
          <w:szCs w:val="16"/>
          <w:lang w:val="en-GB"/>
        </w:rPr>
      </w:pPr>
    </w:p>
    <w:p w14:paraId="71F4ADBC" w14:textId="77777777" w:rsidR="00590A16" w:rsidRDefault="00434D67" w:rsidP="00590A16">
      <w:pPr>
        <w:spacing w:before="0" w:after="0"/>
        <w:rPr>
          <w:rFonts w:eastAsiaTheme="minorHAnsi" w:cs="Arial"/>
          <w:sz w:val="16"/>
          <w:szCs w:val="16"/>
          <w:lang w:val="en-GB"/>
        </w:rPr>
      </w:pPr>
      <w:r w:rsidRPr="00434D67">
        <w:rPr>
          <w:rFonts w:eastAsiaTheme="minorHAnsi" w:cs="Arial"/>
          <w:sz w:val="16"/>
          <w:szCs w:val="16"/>
          <w:lang w:val="en-GB"/>
        </w:rPr>
        <w:t xml:space="preserve">Note: For spiked samples, correct for any sample interference by subtracting the sample reading from spiked sample reading. </w:t>
      </w:r>
    </w:p>
    <w:p w14:paraId="4169DF9A" w14:textId="77777777" w:rsidR="00590A16" w:rsidRDefault="00590A16" w:rsidP="00590A16">
      <w:pPr>
        <w:spacing w:before="0" w:after="0"/>
        <w:rPr>
          <w:rFonts w:eastAsiaTheme="minorHAnsi" w:cs="Arial"/>
          <w:sz w:val="16"/>
          <w:szCs w:val="16"/>
          <w:lang w:val="en-GB"/>
        </w:rPr>
      </w:pPr>
    </w:p>
    <w:p w14:paraId="689B0850" w14:textId="77777777" w:rsidR="00590A16" w:rsidRPr="00590A16" w:rsidRDefault="00590A16" w:rsidP="00590A16">
      <w:pPr>
        <w:spacing w:before="0" w:after="0"/>
        <w:rPr>
          <w:rFonts w:eastAsiaTheme="minorEastAsia" w:cs="Arial"/>
          <w:sz w:val="16"/>
          <w:szCs w:val="16"/>
          <w:lang w:val="en-GB"/>
        </w:rPr>
      </w:pPr>
    </w:p>
    <w:p w14:paraId="185DED6A" w14:textId="35EA43EE" w:rsidR="00590A16" w:rsidRPr="00590A16" w:rsidRDefault="00590A16" w:rsidP="00590A16">
      <w:pPr>
        <w:spacing w:before="0" w:after="0"/>
        <w:rPr>
          <w:rFonts w:eastAsiaTheme="minorEastAsia" w:cs="Arial"/>
          <w:sz w:val="16"/>
          <w:szCs w:val="16"/>
          <w:lang w:val="en-GB"/>
        </w:rPr>
      </w:pPr>
      <m:oMathPara>
        <m:oMathParaPr>
          <m:jc m:val="left"/>
        </m:oMathParaPr>
        <m:oMath>
          <m:r>
            <w:rPr>
              <w:rFonts w:ascii="Cambria Math" w:eastAsiaTheme="minorHAnsi" w:hAnsi="Cambria Math" w:cs="Arial"/>
              <w:sz w:val="16"/>
              <w:szCs w:val="16"/>
              <w:lang w:val="en-GB"/>
            </w:rPr>
            <m:t>For spiked samples, Lactate amount in sample well (B) =</m:t>
          </m:r>
        </m:oMath>
      </m:oMathPara>
    </w:p>
    <w:p w14:paraId="017033F2" w14:textId="77777777" w:rsidR="00590A16" w:rsidRPr="00590A16" w:rsidRDefault="00590A16" w:rsidP="00590A16">
      <w:pPr>
        <w:spacing w:before="0" w:after="0"/>
        <w:rPr>
          <w:rFonts w:eastAsiaTheme="minorEastAsia" w:cs="Arial"/>
          <w:sz w:val="16"/>
          <w:szCs w:val="16"/>
          <w:lang w:val="en-GB"/>
        </w:rPr>
      </w:pPr>
    </w:p>
    <w:p w14:paraId="216BF0A6" w14:textId="1A0B8939" w:rsidR="0014759C" w:rsidRPr="002B21D7" w:rsidRDefault="00E46F8C" w:rsidP="00590A16">
      <w:pPr>
        <w:spacing w:before="0" w:after="0"/>
        <w:rPr>
          <w:rFonts w:eastAsiaTheme="minorHAnsi" w:cs="Arial"/>
          <w:sz w:val="16"/>
          <w:szCs w:val="16"/>
          <w:lang w:val="en-GB"/>
        </w:rPr>
      </w:pPr>
      <m:oMathPara>
        <m:oMath>
          <m:d>
            <m:dPr>
              <m:ctrlPr>
                <w:rPr>
                  <w:rFonts w:ascii="Cambria Math" w:eastAsiaTheme="minorEastAsia" w:hAnsi="Cambria Math" w:cs="Arial"/>
                  <w:i/>
                  <w:sz w:val="16"/>
                  <w:szCs w:val="16"/>
                  <w:lang w:val="en-GB"/>
                </w:rPr>
              </m:ctrlPr>
            </m:dPr>
            <m:e>
              <m:f>
                <m:fPr>
                  <m:ctrlPr>
                    <w:rPr>
                      <w:rFonts w:ascii="Cambria Math" w:eastAsiaTheme="minorEastAsia" w:hAnsi="Cambria Math" w:cs="Arial"/>
                      <w:i/>
                      <w:sz w:val="16"/>
                      <w:szCs w:val="16"/>
                      <w:lang w:val="en-GB"/>
                    </w:rPr>
                  </m:ctrlPr>
                </m:fPr>
                <m:num>
                  <m:r>
                    <w:rPr>
                      <w:rFonts w:ascii="Cambria Math" w:eastAsiaTheme="minorEastAsia" w:hAnsi="Cambria Math" w:cs="Arial"/>
                      <w:sz w:val="16"/>
                      <w:szCs w:val="16"/>
                      <w:lang w:val="en-GB"/>
                    </w:rPr>
                    <m:t>(</m:t>
                  </m:r>
                  <m:sSub>
                    <m:sSubPr>
                      <m:ctrlPr>
                        <w:rPr>
                          <w:rFonts w:ascii="Cambria Math" w:eastAsiaTheme="minorEastAsia" w:hAnsi="Cambria Math" w:cs="Arial"/>
                          <w:i/>
                          <w:sz w:val="16"/>
                          <w:szCs w:val="16"/>
                          <w:lang w:val="en-GB"/>
                        </w:rPr>
                      </m:ctrlPr>
                    </m:sSubPr>
                    <m:e>
                      <m:r>
                        <w:rPr>
                          <w:rFonts w:ascii="Cambria Math" w:eastAsiaTheme="minorEastAsia" w:hAnsi="Cambria Math" w:cs="Arial"/>
                          <w:sz w:val="16"/>
                          <w:szCs w:val="16"/>
                          <w:lang w:val="en-GB"/>
                        </w:rPr>
                        <m:t>OD</m:t>
                      </m:r>
                    </m:e>
                    <m:sub>
                      <m:r>
                        <w:rPr>
                          <w:rFonts w:ascii="Cambria Math" w:eastAsiaTheme="minorEastAsia" w:hAnsi="Cambria Math" w:cs="Arial"/>
                          <w:sz w:val="16"/>
                          <w:szCs w:val="16"/>
                          <w:lang w:val="en-GB"/>
                        </w:rPr>
                        <m:t>sample(corrected)</m:t>
                      </m:r>
                    </m:sub>
                  </m:sSub>
                  <m:r>
                    <w:rPr>
                      <w:rFonts w:ascii="Cambria Math" w:eastAsiaTheme="minorEastAsia" w:hAnsi="Cambria Math" w:cs="Arial"/>
                      <w:sz w:val="16"/>
                      <w:szCs w:val="16"/>
                      <w:lang w:val="en-GB"/>
                    </w:rPr>
                    <m:t>)</m:t>
                  </m:r>
                </m:num>
                <m:den>
                  <m:r>
                    <w:rPr>
                      <w:rFonts w:ascii="Cambria Math" w:eastAsiaTheme="minorEastAsia" w:hAnsi="Cambria Math" w:cs="Arial"/>
                      <w:sz w:val="16"/>
                      <w:szCs w:val="16"/>
                      <w:lang w:val="en-GB"/>
                    </w:rPr>
                    <m:t>(</m:t>
                  </m:r>
                  <m:sSub>
                    <m:sSubPr>
                      <m:ctrlPr>
                        <w:rPr>
                          <w:rFonts w:ascii="Cambria Math" w:eastAsiaTheme="minorEastAsia" w:hAnsi="Cambria Math" w:cs="Arial"/>
                          <w:i/>
                          <w:sz w:val="16"/>
                          <w:szCs w:val="16"/>
                          <w:lang w:val="en-GB"/>
                        </w:rPr>
                      </m:ctrlPr>
                    </m:sSubPr>
                    <m:e>
                      <m:r>
                        <w:rPr>
                          <w:rFonts w:ascii="Cambria Math" w:eastAsiaTheme="minorEastAsia" w:hAnsi="Cambria Math" w:cs="Arial"/>
                          <w:sz w:val="16"/>
                          <w:szCs w:val="16"/>
                          <w:lang w:val="en-GB"/>
                        </w:rPr>
                        <m:t>OD</m:t>
                      </m:r>
                    </m:e>
                    <m:sub>
                      <m:r>
                        <w:rPr>
                          <w:rFonts w:ascii="Cambria Math" w:eastAsiaTheme="minorEastAsia" w:hAnsi="Cambria Math" w:cs="Arial"/>
                          <w:sz w:val="16"/>
                          <w:szCs w:val="16"/>
                          <w:lang w:val="en-GB"/>
                        </w:rPr>
                        <m:t>sample+Lactate Std(corrected)</m:t>
                      </m:r>
                    </m:sub>
                  </m:sSub>
                  <m:r>
                    <m:rPr>
                      <m:nor/>
                    </m:rPr>
                    <w:rPr>
                      <w:rFonts w:ascii="Cambria Math" w:eastAsiaTheme="minorEastAsia" w:hAnsi="Cambria Math" w:cs="Arial"/>
                      <w:sz w:val="16"/>
                      <w:szCs w:val="16"/>
                      <w:lang w:val="en-GB"/>
                    </w:rPr>
                    <m:t>)-(</m:t>
                  </m:r>
                  <m:sSub>
                    <m:sSubPr>
                      <m:ctrlPr>
                        <w:rPr>
                          <w:rFonts w:ascii="Cambria Math" w:eastAsiaTheme="minorEastAsia" w:hAnsi="Cambria Math" w:cs="Arial"/>
                          <w:i/>
                          <w:sz w:val="16"/>
                          <w:szCs w:val="16"/>
                          <w:lang w:val="en-GB"/>
                        </w:rPr>
                      </m:ctrlPr>
                    </m:sSubPr>
                    <m:e>
                      <m:r>
                        <w:rPr>
                          <w:rFonts w:ascii="Cambria Math" w:eastAsiaTheme="minorEastAsia" w:hAnsi="Cambria Math" w:cs="Arial"/>
                          <w:sz w:val="16"/>
                          <w:szCs w:val="16"/>
                          <w:lang w:val="en-GB"/>
                        </w:rPr>
                        <m:t>OD</m:t>
                      </m:r>
                    </m:e>
                    <m:sub>
                      <m:r>
                        <w:rPr>
                          <w:rFonts w:ascii="Cambria Math" w:eastAsiaTheme="minorEastAsia" w:hAnsi="Cambria Math" w:cs="Arial"/>
                          <w:sz w:val="16"/>
                          <w:szCs w:val="16"/>
                          <w:lang w:val="en-GB"/>
                        </w:rPr>
                        <m:t>sample(corrected)</m:t>
                      </m:r>
                    </m:sub>
                  </m:sSub>
                  <m:r>
                    <w:rPr>
                      <w:rFonts w:ascii="Cambria Math" w:eastAsiaTheme="minorEastAsia" w:hAnsi="Cambria Math" w:cs="Arial"/>
                      <w:sz w:val="16"/>
                      <w:szCs w:val="16"/>
                      <w:lang w:val="en-GB"/>
                    </w:rPr>
                    <m:t>)</m:t>
                  </m:r>
                </m:den>
              </m:f>
            </m:e>
          </m:d>
          <m:r>
            <w:rPr>
              <w:rFonts w:ascii="Cambria Math" w:eastAsiaTheme="minorEastAsia" w:hAnsi="Cambria Math" w:cs="Arial"/>
              <w:sz w:val="16"/>
              <w:szCs w:val="16"/>
              <w:lang w:val="en-GB"/>
            </w:rPr>
            <m:t>×Lactate spike (nmol)</m:t>
          </m:r>
        </m:oMath>
      </m:oMathPara>
    </w:p>
    <w:p w14:paraId="340F9A2E" w14:textId="5F33B3DA" w:rsidR="0014759C" w:rsidRDefault="0014759C" w:rsidP="008F5845">
      <w:pPr>
        <w:pStyle w:val="NormalWeb"/>
        <w:spacing w:before="0" w:beforeAutospacing="0" w:after="0" w:afterAutospacing="0"/>
        <w:rPr>
          <w:rFonts w:ascii="Century Gothic" w:hAnsi="Century Gothic" w:cs="Calibri"/>
          <w:sz w:val="16"/>
          <w:szCs w:val="16"/>
          <w:lang w:val="en-US"/>
        </w:rPr>
      </w:pPr>
    </w:p>
    <w:p w14:paraId="5D879134" w14:textId="4A369DC4" w:rsidR="00CC5124" w:rsidRDefault="00CC5124" w:rsidP="008F5845">
      <w:pPr>
        <w:pStyle w:val="NormalWeb"/>
        <w:spacing w:before="0" w:beforeAutospacing="0" w:after="0" w:afterAutospacing="0"/>
        <w:rPr>
          <w:rFonts w:ascii="Century Gothic" w:hAnsi="Century Gothic" w:cs="Calibri"/>
          <w:sz w:val="16"/>
          <w:szCs w:val="16"/>
          <w:lang w:val="en-US"/>
        </w:rPr>
      </w:pPr>
    </w:p>
    <w:p w14:paraId="2C4F4D82" w14:textId="77777777" w:rsidR="00CC5124" w:rsidRDefault="00CC5124" w:rsidP="008F5845">
      <w:pPr>
        <w:pStyle w:val="NormalWeb"/>
        <w:spacing w:before="0" w:beforeAutospacing="0" w:after="0" w:afterAutospacing="0"/>
        <w:rPr>
          <w:rFonts w:ascii="Century Gothic" w:hAnsi="Century Gothic" w:cs="Calibri"/>
          <w:sz w:val="16"/>
          <w:szCs w:val="16"/>
          <w:lang w:val="en-US"/>
        </w:rPr>
      </w:pPr>
    </w:p>
    <w:p w14:paraId="1B57E41B" w14:textId="18D22FE8" w:rsidR="00770F08" w:rsidRDefault="00770F08" w:rsidP="008F5845">
      <w:pPr>
        <w:pStyle w:val="NormalWeb"/>
        <w:spacing w:before="0" w:beforeAutospacing="0" w:after="0" w:afterAutospacing="0"/>
        <w:rPr>
          <w:rFonts w:ascii="Century Gothic" w:hAnsi="Century Gothic" w:cs="Calibri"/>
          <w:sz w:val="16"/>
          <w:szCs w:val="16"/>
          <w:lang w:val="en-US"/>
        </w:rPr>
      </w:pPr>
    </w:p>
    <w:p w14:paraId="5284892F" w14:textId="418FA8DD" w:rsidR="00780484" w:rsidRDefault="00780484" w:rsidP="008F5845">
      <w:pPr>
        <w:pStyle w:val="NormalWeb"/>
        <w:spacing w:before="0" w:beforeAutospacing="0" w:after="0" w:afterAutospacing="0"/>
        <w:rPr>
          <w:rFonts w:ascii="Century Gothic" w:hAnsi="Century Gothic" w:cs="Calibri"/>
          <w:sz w:val="16"/>
          <w:szCs w:val="16"/>
          <w:lang w:val="en-US"/>
        </w:rPr>
      </w:pPr>
    </w:p>
    <w:p w14:paraId="3F4E097E" w14:textId="2FCEED22" w:rsidR="00780484" w:rsidRDefault="00780484" w:rsidP="008F5845">
      <w:pPr>
        <w:pStyle w:val="NormalWeb"/>
        <w:spacing w:before="0" w:beforeAutospacing="0" w:after="0" w:afterAutospacing="0"/>
        <w:rPr>
          <w:rFonts w:ascii="Century Gothic" w:hAnsi="Century Gothic" w:cs="Calibri"/>
          <w:sz w:val="16"/>
          <w:szCs w:val="16"/>
          <w:lang w:val="en-US"/>
        </w:rPr>
      </w:pPr>
    </w:p>
    <w:p w14:paraId="306BFA55" w14:textId="396F6592" w:rsidR="00780484" w:rsidRDefault="00780484" w:rsidP="008F5845">
      <w:pPr>
        <w:pStyle w:val="NormalWeb"/>
        <w:spacing w:before="0" w:beforeAutospacing="0" w:after="0" w:afterAutospacing="0"/>
        <w:rPr>
          <w:rFonts w:ascii="Century Gothic" w:hAnsi="Century Gothic" w:cs="Calibri"/>
          <w:sz w:val="16"/>
          <w:szCs w:val="16"/>
          <w:lang w:val="en-US"/>
        </w:rPr>
      </w:pPr>
    </w:p>
    <w:p w14:paraId="019871F4" w14:textId="50583DEF" w:rsidR="00780484" w:rsidRDefault="00780484" w:rsidP="008F5845">
      <w:pPr>
        <w:pStyle w:val="NormalWeb"/>
        <w:spacing w:before="0" w:beforeAutospacing="0" w:after="0" w:afterAutospacing="0"/>
        <w:rPr>
          <w:rFonts w:ascii="Century Gothic" w:hAnsi="Century Gothic" w:cs="Calibri"/>
          <w:sz w:val="16"/>
          <w:szCs w:val="16"/>
          <w:lang w:val="en-US"/>
        </w:rPr>
      </w:pPr>
    </w:p>
    <w:p w14:paraId="644CDEAD" w14:textId="74078AE1" w:rsidR="00780484" w:rsidRDefault="00780484" w:rsidP="008F5845">
      <w:pPr>
        <w:pStyle w:val="NormalWeb"/>
        <w:spacing w:before="0" w:beforeAutospacing="0" w:after="0" w:afterAutospacing="0"/>
        <w:rPr>
          <w:rFonts w:ascii="Century Gothic" w:hAnsi="Century Gothic" w:cs="Calibri"/>
          <w:sz w:val="16"/>
          <w:szCs w:val="16"/>
          <w:lang w:val="en-US"/>
        </w:rPr>
      </w:pPr>
    </w:p>
    <w:p w14:paraId="6067D97D" w14:textId="0B0F8514" w:rsidR="00780484" w:rsidRDefault="00780484" w:rsidP="008F5845">
      <w:pPr>
        <w:pStyle w:val="NormalWeb"/>
        <w:spacing w:before="0" w:beforeAutospacing="0" w:after="0" w:afterAutospacing="0"/>
        <w:rPr>
          <w:rFonts w:ascii="Century Gothic" w:hAnsi="Century Gothic" w:cs="Calibri"/>
          <w:sz w:val="16"/>
          <w:szCs w:val="16"/>
          <w:lang w:val="en-US"/>
        </w:rPr>
      </w:pPr>
    </w:p>
    <w:p w14:paraId="6D70FC9F" w14:textId="22984DFC" w:rsidR="00780484" w:rsidRDefault="00780484" w:rsidP="008F5845">
      <w:pPr>
        <w:pStyle w:val="NormalWeb"/>
        <w:spacing w:before="0" w:beforeAutospacing="0" w:after="0" w:afterAutospacing="0"/>
        <w:rPr>
          <w:rFonts w:ascii="Century Gothic" w:hAnsi="Century Gothic" w:cs="Calibri"/>
          <w:sz w:val="16"/>
          <w:szCs w:val="16"/>
          <w:lang w:val="en-US"/>
        </w:rPr>
      </w:pPr>
    </w:p>
    <w:p w14:paraId="47F47784" w14:textId="0899DAEC" w:rsidR="00780484" w:rsidRDefault="00780484" w:rsidP="008F5845">
      <w:pPr>
        <w:pStyle w:val="NormalWeb"/>
        <w:spacing w:before="0" w:beforeAutospacing="0" w:after="0" w:afterAutospacing="0"/>
        <w:rPr>
          <w:rFonts w:ascii="Century Gothic" w:hAnsi="Century Gothic" w:cs="Calibri"/>
          <w:sz w:val="16"/>
          <w:szCs w:val="16"/>
          <w:lang w:val="en-US"/>
        </w:rPr>
      </w:pPr>
    </w:p>
    <w:p w14:paraId="11704CA7" w14:textId="1C396FFF" w:rsidR="00780484" w:rsidRDefault="00780484" w:rsidP="008F5845">
      <w:pPr>
        <w:pStyle w:val="NormalWeb"/>
        <w:spacing w:before="0" w:beforeAutospacing="0" w:after="0" w:afterAutospacing="0"/>
        <w:rPr>
          <w:rFonts w:ascii="Century Gothic" w:hAnsi="Century Gothic" w:cs="Calibri"/>
          <w:sz w:val="16"/>
          <w:szCs w:val="16"/>
          <w:lang w:val="en-US"/>
        </w:rPr>
      </w:pPr>
    </w:p>
    <w:p w14:paraId="628A4E7E" w14:textId="6EF23533" w:rsidR="00780484" w:rsidRDefault="00780484" w:rsidP="008F5845">
      <w:pPr>
        <w:pStyle w:val="NormalWeb"/>
        <w:spacing w:before="0" w:beforeAutospacing="0" w:after="0" w:afterAutospacing="0"/>
        <w:rPr>
          <w:rFonts w:ascii="Century Gothic" w:hAnsi="Century Gothic" w:cs="Calibri"/>
          <w:sz w:val="16"/>
          <w:szCs w:val="16"/>
          <w:lang w:val="en-US"/>
        </w:rPr>
      </w:pPr>
    </w:p>
    <w:p w14:paraId="1DACEBDB" w14:textId="0DE0E10A" w:rsidR="00780484" w:rsidRDefault="00780484" w:rsidP="008F5845">
      <w:pPr>
        <w:pStyle w:val="NormalWeb"/>
        <w:spacing w:before="0" w:beforeAutospacing="0" w:after="0" w:afterAutospacing="0"/>
        <w:rPr>
          <w:rFonts w:ascii="Century Gothic" w:hAnsi="Century Gothic" w:cs="Calibri"/>
          <w:sz w:val="16"/>
          <w:szCs w:val="16"/>
          <w:lang w:val="en-US"/>
        </w:rPr>
      </w:pPr>
    </w:p>
    <w:p w14:paraId="5878B150" w14:textId="77777777" w:rsidR="00780484" w:rsidRDefault="00780484" w:rsidP="00780484">
      <w:pPr>
        <w:spacing w:after="0"/>
        <w:jc w:val="both"/>
        <w:rPr>
          <w:b/>
          <w:sz w:val="18"/>
          <w:szCs w:val="20"/>
        </w:rPr>
      </w:pPr>
      <w:r>
        <w:rPr>
          <w:b/>
          <w:sz w:val="18"/>
          <w:szCs w:val="20"/>
        </w:rPr>
        <w:t xml:space="preserve">Technical Support </w:t>
      </w:r>
    </w:p>
    <w:p w14:paraId="29372FAB" w14:textId="122E6EEC" w:rsidR="00780484" w:rsidRDefault="00780484" w:rsidP="00780484">
      <w:pPr>
        <w:pStyle w:val="KIT-extrainfo"/>
        <w:ind w:left="0" w:firstLine="0"/>
      </w:pPr>
      <w:r>
        <w:t>Copyright © 202</w:t>
      </w:r>
      <w:r w:rsidR="00E46F8C">
        <w:t>3</w:t>
      </w:r>
      <w:r>
        <w:t xml:space="preserve"> Abcam. All Rights Reserved. The Abcam logo is a registered trademark. All information / detail is correct at time of going to print. </w:t>
      </w:r>
    </w:p>
    <w:p w14:paraId="452C7249" w14:textId="77777777" w:rsidR="00780484" w:rsidRDefault="00780484" w:rsidP="00780484">
      <w:pPr>
        <w:pStyle w:val="KIT-extrainfo"/>
        <w:ind w:left="0" w:firstLine="0"/>
      </w:pPr>
    </w:p>
    <w:p w14:paraId="55293914" w14:textId="77777777" w:rsidR="00780484" w:rsidRDefault="00780484" w:rsidP="00780484">
      <w:pPr>
        <w:pStyle w:val="KIT-extrainfo"/>
        <w:ind w:left="0" w:firstLine="0"/>
      </w:pPr>
      <w:r>
        <w:t xml:space="preserve">For all technical or commercial enquiries please go to: </w:t>
      </w:r>
    </w:p>
    <w:p w14:paraId="297F96F3" w14:textId="77777777" w:rsidR="00780484" w:rsidRDefault="00E46F8C" w:rsidP="00780484">
      <w:pPr>
        <w:pStyle w:val="KIT-extrainfo"/>
        <w:ind w:left="0" w:firstLine="0"/>
      </w:pPr>
      <w:hyperlink r:id="rId7" w:history="1">
        <w:r w:rsidR="00780484">
          <w:rPr>
            <w:rStyle w:val="Hyperlink"/>
          </w:rPr>
          <w:t>www.abcam.com/contactus</w:t>
        </w:r>
      </w:hyperlink>
      <w:r w:rsidR="00780484">
        <w:t xml:space="preserve"> </w:t>
      </w:r>
    </w:p>
    <w:p w14:paraId="1ECEA439" w14:textId="77777777" w:rsidR="00780484" w:rsidRDefault="00780484" w:rsidP="00780484">
      <w:pPr>
        <w:pStyle w:val="KIT-extrainfo"/>
        <w:ind w:left="0" w:firstLine="0"/>
      </w:pPr>
      <w:r>
        <w:rPr>
          <w:rStyle w:val="Hyperlink"/>
        </w:rPr>
        <w:t>www.abcam.cn/contactus</w:t>
      </w:r>
      <w:r>
        <w:t xml:space="preserve"> (China) </w:t>
      </w:r>
    </w:p>
    <w:p w14:paraId="787EDE2B" w14:textId="77777777" w:rsidR="00780484" w:rsidRDefault="00780484" w:rsidP="00780484">
      <w:pPr>
        <w:pStyle w:val="KIT-extrainfo"/>
        <w:ind w:left="0" w:firstLine="0"/>
        <w:rPr>
          <w:rFonts w:eastAsia="Century Gothic" w:cs="Century Gothic"/>
          <w:color w:val="000000" w:themeColor="text1"/>
          <w:sz w:val="14"/>
          <w:szCs w:val="14"/>
        </w:rPr>
      </w:pPr>
      <w:r>
        <w:rPr>
          <w:rStyle w:val="Hyperlink"/>
        </w:rPr>
        <w:t>www.abcam.co.jp/contactus</w:t>
      </w:r>
      <w:r>
        <w:t xml:space="preserve"> (Japan)</w:t>
      </w:r>
    </w:p>
    <w:p w14:paraId="0726041E" w14:textId="77777777" w:rsidR="00780484" w:rsidRPr="008F5845" w:rsidRDefault="00780484" w:rsidP="008F5845">
      <w:pPr>
        <w:pStyle w:val="NormalWeb"/>
        <w:spacing w:before="0" w:beforeAutospacing="0" w:after="0" w:afterAutospacing="0"/>
        <w:rPr>
          <w:rFonts w:ascii="Century Gothic" w:hAnsi="Century Gothic" w:cs="Calibri"/>
          <w:sz w:val="16"/>
          <w:szCs w:val="16"/>
          <w:lang w:val="en-US"/>
        </w:rPr>
      </w:pPr>
    </w:p>
    <w:sectPr w:rsidR="00780484" w:rsidRPr="008F5845" w:rsidSect="0074256A">
      <w:footerReference w:type="default" r:id="rId8"/>
      <w:pgSz w:w="16838" w:h="11906" w:orient="landscape" w:code="9"/>
      <w:pgMar w:top="720" w:right="720" w:bottom="720" w:left="720"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0E01" w14:textId="77777777" w:rsidR="00834B1E" w:rsidRDefault="00834B1E" w:rsidP="009D72B1">
      <w:pPr>
        <w:spacing w:before="0" w:after="0"/>
      </w:pPr>
      <w:r>
        <w:separator/>
      </w:r>
    </w:p>
  </w:endnote>
  <w:endnote w:type="continuationSeparator" w:id="0">
    <w:p w14:paraId="4B8FE837" w14:textId="77777777" w:rsidR="00834B1E" w:rsidRDefault="00834B1E" w:rsidP="009D7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Yu Gothic UI"/>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TC Lubalin Graph Std Medium">
    <w:panose1 w:val="02000505030000020004"/>
    <w:charset w:val="00"/>
    <w:family w:val="modern"/>
    <w:notTrueType/>
    <w:pitch w:val="variable"/>
    <w:sig w:usb0="800000AF" w:usb1="4000204A" w:usb2="00000000" w:usb3="00000000" w:csb0="00000001"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Myriad Pro">
    <w:altName w:val="Arial"/>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E1F1" w14:textId="77777777" w:rsidR="009F01AB" w:rsidRDefault="00834B1E">
    <w:pPr>
      <w:pStyle w:val="Footer"/>
    </w:pPr>
    <w:bookmarkStart w:id="1" w:name="_Hlk56414378"/>
    <w:bookmarkStart w:id="2" w:name="_Hlk56414379"/>
    <w:r w:rsidRPr="0077094B">
      <w:rPr>
        <w:noProof/>
        <w:sz w:val="16"/>
        <w:szCs w:val="16"/>
      </w:rPr>
      <mc:AlternateContent>
        <mc:Choice Requires="wpg">
          <w:drawing>
            <wp:anchor distT="0" distB="0" distL="114300" distR="114300" simplePos="0" relativeHeight="251659264" behindDoc="0" locked="0" layoutInCell="1" allowOverlap="1" wp14:anchorId="2F753615" wp14:editId="5404ED38">
              <wp:simplePos x="0" y="0"/>
              <wp:positionH relativeFrom="page">
                <wp:posOffset>0</wp:posOffset>
              </wp:positionH>
              <wp:positionV relativeFrom="bottomMargin">
                <wp:posOffset>580</wp:posOffset>
              </wp:positionV>
              <wp:extent cx="5943600" cy="65543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655430"/>
                        <a:chOff x="0" y="-93094"/>
                        <a:chExt cx="5943600" cy="959234"/>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93094"/>
                          <a:ext cx="5353050" cy="9592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A1F31" w14:textId="12B3BA05" w:rsidR="0077094B" w:rsidRPr="0077094B" w:rsidRDefault="00834B1E" w:rsidP="0077094B">
                            <w:pPr>
                              <w:rPr>
                                <w:sz w:val="16"/>
                                <w:szCs w:val="16"/>
                                <w:lang w:val="en-GB"/>
                              </w:rPr>
                            </w:pPr>
                            <w:r w:rsidRPr="0077094B">
                              <w:rPr>
                                <w:sz w:val="16"/>
                                <w:szCs w:val="16"/>
                              </w:rPr>
                              <w:t xml:space="preserve">Version </w:t>
                            </w:r>
                            <w:r w:rsidR="00434D67">
                              <w:rPr>
                                <w:sz w:val="16"/>
                                <w:szCs w:val="16"/>
                              </w:rPr>
                              <w:t>1</w:t>
                            </w:r>
                            <w:r w:rsidR="00E46F8C">
                              <w:rPr>
                                <w:sz w:val="16"/>
                                <w:szCs w:val="16"/>
                              </w:rPr>
                              <w:t>3</w:t>
                            </w:r>
                            <w:r>
                              <w:rPr>
                                <w:sz w:val="16"/>
                                <w:szCs w:val="16"/>
                              </w:rPr>
                              <w:t>,</w:t>
                            </w:r>
                            <w:r w:rsidRPr="0077094B">
                              <w:rPr>
                                <w:sz w:val="16"/>
                                <w:szCs w:val="16"/>
                              </w:rPr>
                              <w:t xml:space="preserve"> Last updated </w:t>
                            </w:r>
                            <w:r w:rsidRPr="0077094B">
                              <w:rPr>
                                <w:sz w:val="16"/>
                                <w:szCs w:val="16"/>
                              </w:rPr>
                              <w:fldChar w:fldCharType="begin"/>
                            </w:r>
                            <w:r w:rsidRPr="0077094B">
                              <w:rPr>
                                <w:sz w:val="16"/>
                                <w:szCs w:val="16"/>
                              </w:rPr>
                              <w:instrText xml:space="preserve"> DATE  \@ "d MMMM yyyy"  \* MERGEFORMAT </w:instrText>
                            </w:r>
                            <w:r w:rsidRPr="0077094B">
                              <w:rPr>
                                <w:sz w:val="16"/>
                                <w:szCs w:val="16"/>
                              </w:rPr>
                              <w:fldChar w:fldCharType="separate"/>
                            </w:r>
                            <w:r w:rsidR="00E46F8C">
                              <w:rPr>
                                <w:noProof/>
                                <w:sz w:val="16"/>
                                <w:szCs w:val="16"/>
                              </w:rPr>
                              <w:t>31 May 2023</w:t>
                            </w:r>
                            <w:r w:rsidRPr="0077094B">
                              <w:rPr>
                                <w:sz w:val="16"/>
                                <w:szCs w:val="16"/>
                              </w:rPr>
                              <w:fldChar w:fldCharType="end"/>
                            </w:r>
                          </w:p>
                          <w:p w14:paraId="68FB5BC3" w14:textId="77777777" w:rsidR="0077094B" w:rsidRDefault="00E46F8C">
                            <w:pPr>
                              <w:pStyle w:val="Footer"/>
                              <w:rPr>
                                <w:caps/>
                                <w:color w:val="808080" w:themeColor="background1" w:themeShade="8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753615" id="Group 155" o:spid="_x0000_s1026" style="position:absolute;margin-left:0;margin-top:.05pt;width:468pt;height:51.6pt;z-index:251659264;mso-position-horizontal-relative:page;mso-position-vertical-relative:bottom-margin-area;mso-width-relative:margin;mso-height-relative:margin" coordorigin=",-930" coordsize="59436,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top:-930;width:53530;height:9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162A1F31" w14:textId="12B3BA05" w:rsidR="0077094B" w:rsidRPr="0077094B" w:rsidRDefault="00834B1E" w:rsidP="0077094B">
                      <w:pPr>
                        <w:rPr>
                          <w:sz w:val="16"/>
                          <w:szCs w:val="16"/>
                          <w:lang w:val="en-GB"/>
                        </w:rPr>
                      </w:pPr>
                      <w:r w:rsidRPr="0077094B">
                        <w:rPr>
                          <w:sz w:val="16"/>
                          <w:szCs w:val="16"/>
                        </w:rPr>
                        <w:t xml:space="preserve">Version </w:t>
                      </w:r>
                      <w:r w:rsidR="00434D67">
                        <w:rPr>
                          <w:sz w:val="16"/>
                          <w:szCs w:val="16"/>
                        </w:rPr>
                        <w:t>1</w:t>
                      </w:r>
                      <w:r w:rsidR="00E46F8C">
                        <w:rPr>
                          <w:sz w:val="16"/>
                          <w:szCs w:val="16"/>
                        </w:rPr>
                        <w:t>3</w:t>
                      </w:r>
                      <w:r>
                        <w:rPr>
                          <w:sz w:val="16"/>
                          <w:szCs w:val="16"/>
                        </w:rPr>
                        <w:t>,</w:t>
                      </w:r>
                      <w:r w:rsidRPr="0077094B">
                        <w:rPr>
                          <w:sz w:val="16"/>
                          <w:szCs w:val="16"/>
                        </w:rPr>
                        <w:t xml:space="preserve"> Last updated </w:t>
                      </w:r>
                      <w:r w:rsidRPr="0077094B">
                        <w:rPr>
                          <w:sz w:val="16"/>
                          <w:szCs w:val="16"/>
                        </w:rPr>
                        <w:fldChar w:fldCharType="begin"/>
                      </w:r>
                      <w:r w:rsidRPr="0077094B">
                        <w:rPr>
                          <w:sz w:val="16"/>
                          <w:szCs w:val="16"/>
                        </w:rPr>
                        <w:instrText xml:space="preserve"> DATE  \@ "d MMMM yyyy"  \* MERGEFORMAT </w:instrText>
                      </w:r>
                      <w:r w:rsidRPr="0077094B">
                        <w:rPr>
                          <w:sz w:val="16"/>
                          <w:szCs w:val="16"/>
                        </w:rPr>
                        <w:fldChar w:fldCharType="separate"/>
                      </w:r>
                      <w:r w:rsidR="00E46F8C">
                        <w:rPr>
                          <w:noProof/>
                          <w:sz w:val="16"/>
                          <w:szCs w:val="16"/>
                        </w:rPr>
                        <w:t>31 May 2023</w:t>
                      </w:r>
                      <w:r w:rsidRPr="0077094B">
                        <w:rPr>
                          <w:sz w:val="16"/>
                          <w:szCs w:val="16"/>
                        </w:rPr>
                        <w:fldChar w:fldCharType="end"/>
                      </w:r>
                    </w:p>
                    <w:p w14:paraId="68FB5BC3" w14:textId="77777777" w:rsidR="0077094B" w:rsidRDefault="00E46F8C">
                      <w:pPr>
                        <w:pStyle w:val="Footer"/>
                        <w:rPr>
                          <w:caps/>
                          <w:color w:val="808080" w:themeColor="background1" w:themeShade="80"/>
                          <w:szCs w:val="20"/>
                        </w:rPr>
                      </w:pPr>
                    </w:p>
                  </w:txbxContent>
                </v:textbox>
              </v:shape>
              <w10:wrap anchorx="page" anchory="margin"/>
            </v:group>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445A" w14:textId="77777777" w:rsidR="00834B1E" w:rsidRDefault="00834B1E" w:rsidP="009D72B1">
      <w:pPr>
        <w:spacing w:before="0" w:after="0"/>
      </w:pPr>
      <w:r>
        <w:separator/>
      </w:r>
    </w:p>
  </w:footnote>
  <w:footnote w:type="continuationSeparator" w:id="0">
    <w:p w14:paraId="6FCD0B25" w14:textId="77777777" w:rsidR="00834B1E" w:rsidRDefault="00834B1E" w:rsidP="009D72B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33A"/>
    <w:multiLevelType w:val="hybridMultilevel"/>
    <w:tmpl w:val="C8B67F66"/>
    <w:lvl w:ilvl="0" w:tplc="5FF23788">
      <w:start w:val="1"/>
      <w:numFmt w:val="lowerRoman"/>
      <w:lvlText w:val="%1."/>
      <w:lvlJc w:val="left"/>
      <w:pPr>
        <w:ind w:left="861" w:hanging="720"/>
      </w:pPr>
      <w:rPr>
        <w:rFonts w:hint="default"/>
        <w:b w:val="0"/>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E26C0"/>
    <w:multiLevelType w:val="hybridMultilevel"/>
    <w:tmpl w:val="0C36E32A"/>
    <w:lvl w:ilvl="0" w:tplc="ACF26402">
      <w:start w:val="150"/>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0831DC2"/>
    <w:multiLevelType w:val="hybridMultilevel"/>
    <w:tmpl w:val="882C917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96409"/>
    <w:multiLevelType w:val="hybridMultilevel"/>
    <w:tmpl w:val="ED2C5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76EFC"/>
    <w:multiLevelType w:val="hybridMultilevel"/>
    <w:tmpl w:val="1158D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DD039A"/>
    <w:multiLevelType w:val="hybridMultilevel"/>
    <w:tmpl w:val="A77E2E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346B83"/>
    <w:multiLevelType w:val="hybridMultilevel"/>
    <w:tmpl w:val="8F7AA5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759BF"/>
    <w:multiLevelType w:val="hybridMultilevel"/>
    <w:tmpl w:val="B6602F06"/>
    <w:lvl w:ilvl="0" w:tplc="85FA2F4A">
      <w:start w:val="1"/>
      <w:numFmt w:val="lowerRoman"/>
      <w:lvlText w:val="%1."/>
      <w:lvlJc w:val="righ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50CDA"/>
    <w:multiLevelType w:val="hybridMultilevel"/>
    <w:tmpl w:val="504A9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14F16"/>
    <w:multiLevelType w:val="hybridMultilevel"/>
    <w:tmpl w:val="B748FE12"/>
    <w:lvl w:ilvl="0" w:tplc="0809001B">
      <w:start w:val="1"/>
      <w:numFmt w:val="lowerRoman"/>
      <w:lvlText w:val="%1."/>
      <w:lvlJc w:val="righ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BD4C3D"/>
    <w:multiLevelType w:val="multilevel"/>
    <w:tmpl w:val="FB4E82DC"/>
    <w:lvl w:ilvl="0">
      <w:start w:val="9"/>
      <w:numFmt w:val="decimal"/>
      <w:lvlText w:val="%1"/>
      <w:lvlJc w:val="left"/>
      <w:pPr>
        <w:ind w:left="360" w:hanging="360"/>
      </w:pPr>
      <w:rPr>
        <w:rFonts w:hint="default"/>
        <w:b/>
      </w:rPr>
    </w:lvl>
    <w:lvl w:ilvl="1">
      <w:start w:val="1"/>
      <w:numFmt w:val="decimal"/>
      <w:pStyle w:val="ReagentPrepNumbers"/>
      <w:lvlText w:val="%1.%2"/>
      <w:lvlJc w:val="left"/>
      <w:pPr>
        <w:ind w:left="126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5" w15:restartNumberingAfterBreak="0">
    <w:nsid w:val="419D75EB"/>
    <w:multiLevelType w:val="multilevel"/>
    <w:tmpl w:val="8B3C278E"/>
    <w:lvl w:ilvl="0">
      <w:start w:val="11"/>
      <w:numFmt w:val="decimal"/>
      <w:lvlText w:val="%1"/>
      <w:lvlJc w:val="left"/>
      <w:pPr>
        <w:ind w:left="375" w:hanging="375"/>
      </w:pPr>
      <w:rPr>
        <w:rFonts w:hint="default"/>
        <w:b/>
      </w:rPr>
    </w:lvl>
    <w:lvl w:ilvl="1">
      <w:start w:val="1"/>
      <w:numFmt w:val="decimal"/>
      <w:lvlText w:val="12.%2"/>
      <w:lvlJc w:val="left"/>
      <w:pPr>
        <w:ind w:left="800"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6" w15:restartNumberingAfterBreak="0">
    <w:nsid w:val="4688014E"/>
    <w:multiLevelType w:val="multilevel"/>
    <w:tmpl w:val="8AD22D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7DD0046"/>
    <w:multiLevelType w:val="hybridMultilevel"/>
    <w:tmpl w:val="4E54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47EEF"/>
    <w:multiLevelType w:val="hybridMultilevel"/>
    <w:tmpl w:val="0B52A852"/>
    <w:lvl w:ilvl="0" w:tplc="0809001B">
      <w:start w:val="1"/>
      <w:numFmt w:val="lowerRoman"/>
      <w:lvlText w:val="%1."/>
      <w:lvlJc w:val="righ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F22E85"/>
    <w:multiLevelType w:val="multilevel"/>
    <w:tmpl w:val="F962ED20"/>
    <w:lvl w:ilvl="0">
      <w:start w:val="1"/>
      <w:numFmt w:val="decimal"/>
      <w:pStyle w:val="1Abcamheading"/>
      <w:lvlText w:val="%1."/>
      <w:lvlJc w:val="left"/>
      <w:pPr>
        <w:ind w:left="360" w:hanging="360"/>
      </w:pPr>
      <w:rPr>
        <w:rFonts w:ascii="Century Gothic" w:hAnsi="Century Gothic" w:hint="default"/>
        <w:b/>
      </w:rPr>
    </w:lvl>
    <w:lvl w:ilvl="1">
      <w:start w:val="1"/>
      <w:numFmt w:val="decimal"/>
      <w:pStyle w:val="11Abcam"/>
      <w:lvlText w:val="%2."/>
      <w:lvlJc w:val="left"/>
      <w:pPr>
        <w:tabs>
          <w:tab w:val="num" w:pos="6095"/>
        </w:tabs>
        <w:ind w:left="6662" w:hanging="567"/>
      </w:pPr>
      <w:rPr>
        <w:rFonts w:ascii="Century Gothic" w:eastAsiaTheme="minorHAnsi" w:hAnsi="Century Gothic" w:cstheme="minorBidi"/>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379"/>
        </w:tabs>
        <w:ind w:left="6775" w:hanging="680"/>
      </w:pPr>
      <w:rPr>
        <w:rFonts w:hint="default"/>
      </w:rPr>
    </w:lvl>
    <w:lvl w:ilvl="3">
      <w:start w:val="1"/>
      <w:numFmt w:val="decimal"/>
      <w:lvlRestart w:val="0"/>
      <w:pStyle w:val="1111abcam"/>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0" w15:restartNumberingAfterBreak="0">
    <w:nsid w:val="5D376381"/>
    <w:multiLevelType w:val="hybridMultilevel"/>
    <w:tmpl w:val="977E4B84"/>
    <w:lvl w:ilvl="0" w:tplc="8A8CB110">
      <w:start w:val="1"/>
      <w:numFmt w:val="lowerRoman"/>
      <w:lvlText w:val="%1."/>
      <w:lvlJc w:val="right"/>
      <w:pPr>
        <w:ind w:left="814" w:hanging="360"/>
      </w:pPr>
      <w:rPr>
        <w:b w:val="0"/>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1" w15:restartNumberingAfterBreak="0">
    <w:nsid w:val="688F11E7"/>
    <w:multiLevelType w:val="multilevel"/>
    <w:tmpl w:val="0FEE870C"/>
    <w:lvl w:ilvl="0">
      <w:numFmt w:val="bullet"/>
      <w:lvlText w:val="-"/>
      <w:lvlJc w:val="left"/>
      <w:pPr>
        <w:ind w:left="659" w:hanging="375"/>
      </w:pPr>
      <w:rPr>
        <w:rFonts w:ascii="Calibri" w:eastAsiaTheme="minorHAnsi" w:hAnsi="Calibri" w:cstheme="minorBidi"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2" w15:restartNumberingAfterBreak="0">
    <w:nsid w:val="73CB0578"/>
    <w:multiLevelType w:val="hybridMultilevel"/>
    <w:tmpl w:val="E8161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2E0665"/>
    <w:multiLevelType w:val="hybridMultilevel"/>
    <w:tmpl w:val="2A6A8C80"/>
    <w:lvl w:ilvl="0" w:tplc="7BD03CC2">
      <w:start w:val="1"/>
      <w:numFmt w:val="lowerRoman"/>
      <w:lvlText w:val="%1."/>
      <w:lvlJc w:val="right"/>
      <w:pPr>
        <w:ind w:left="814" w:hanging="360"/>
      </w:pPr>
      <w:rPr>
        <w:b w:val="0"/>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4" w15:restartNumberingAfterBreak="0">
    <w:nsid w:val="77CA4F27"/>
    <w:multiLevelType w:val="hybridMultilevel"/>
    <w:tmpl w:val="A8705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E437BA"/>
    <w:multiLevelType w:val="hybridMultilevel"/>
    <w:tmpl w:val="2A4AD3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2531171">
    <w:abstractNumId w:val="19"/>
  </w:num>
  <w:num w:numId="2" w16cid:durableId="505286587">
    <w:abstractNumId w:val="1"/>
  </w:num>
  <w:num w:numId="3" w16cid:durableId="836461982">
    <w:abstractNumId w:val="6"/>
  </w:num>
  <w:num w:numId="4" w16cid:durableId="662588186">
    <w:abstractNumId w:val="14"/>
  </w:num>
  <w:num w:numId="5" w16cid:durableId="889420798">
    <w:abstractNumId w:val="4"/>
  </w:num>
  <w:num w:numId="6" w16cid:durableId="434447396">
    <w:abstractNumId w:val="12"/>
  </w:num>
  <w:num w:numId="7" w16cid:durableId="696084160">
    <w:abstractNumId w:val="13"/>
  </w:num>
  <w:num w:numId="8" w16cid:durableId="1335643483">
    <w:abstractNumId w:val="0"/>
  </w:num>
  <w:num w:numId="9" w16cid:durableId="1428037482">
    <w:abstractNumId w:val="3"/>
  </w:num>
  <w:num w:numId="10" w16cid:durableId="880243576">
    <w:abstractNumId w:val="18"/>
  </w:num>
  <w:num w:numId="11" w16cid:durableId="1948462044">
    <w:abstractNumId w:val="20"/>
  </w:num>
  <w:num w:numId="12" w16cid:durableId="104232442">
    <w:abstractNumId w:val="23"/>
  </w:num>
  <w:num w:numId="13" w16cid:durableId="148787135">
    <w:abstractNumId w:val="10"/>
  </w:num>
  <w:num w:numId="14" w16cid:durableId="1014385762">
    <w:abstractNumId w:val="25"/>
  </w:num>
  <w:num w:numId="15" w16cid:durableId="262342095">
    <w:abstractNumId w:val="11"/>
  </w:num>
  <w:num w:numId="16" w16cid:durableId="368841150">
    <w:abstractNumId w:val="16"/>
  </w:num>
  <w:num w:numId="17" w16cid:durableId="1844664477">
    <w:abstractNumId w:val="17"/>
  </w:num>
  <w:num w:numId="18" w16cid:durableId="247734146">
    <w:abstractNumId w:val="7"/>
  </w:num>
  <w:num w:numId="19" w16cid:durableId="1991129043">
    <w:abstractNumId w:val="8"/>
  </w:num>
  <w:num w:numId="20" w16cid:durableId="2102405409">
    <w:abstractNumId w:val="9"/>
  </w:num>
  <w:num w:numId="21" w16cid:durableId="1951084444">
    <w:abstractNumId w:val="24"/>
  </w:num>
  <w:num w:numId="22" w16cid:durableId="1974363121">
    <w:abstractNumId w:val="15"/>
  </w:num>
  <w:num w:numId="23" w16cid:durableId="837964927">
    <w:abstractNumId w:val="21"/>
  </w:num>
  <w:num w:numId="24" w16cid:durableId="1239560960">
    <w:abstractNumId w:val="2"/>
  </w:num>
  <w:num w:numId="25" w16cid:durableId="135492065">
    <w:abstractNumId w:val="22"/>
  </w:num>
  <w:num w:numId="26" w16cid:durableId="95409243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B1"/>
    <w:rsid w:val="00006F01"/>
    <w:rsid w:val="00007979"/>
    <w:rsid w:val="0002165F"/>
    <w:rsid w:val="000938BC"/>
    <w:rsid w:val="000A0D23"/>
    <w:rsid w:val="000A2E0F"/>
    <w:rsid w:val="000F7F8D"/>
    <w:rsid w:val="0014759C"/>
    <w:rsid w:val="00171CB6"/>
    <w:rsid w:val="00185069"/>
    <w:rsid w:val="001B2B28"/>
    <w:rsid w:val="001D0404"/>
    <w:rsid w:val="00296295"/>
    <w:rsid w:val="002B21D7"/>
    <w:rsid w:val="002E72CB"/>
    <w:rsid w:val="003549AC"/>
    <w:rsid w:val="003603F2"/>
    <w:rsid w:val="0036492E"/>
    <w:rsid w:val="00391E47"/>
    <w:rsid w:val="00392A26"/>
    <w:rsid w:val="003B749E"/>
    <w:rsid w:val="003C441C"/>
    <w:rsid w:val="003D3BEE"/>
    <w:rsid w:val="003F437E"/>
    <w:rsid w:val="00421B11"/>
    <w:rsid w:val="00434D67"/>
    <w:rsid w:val="00510696"/>
    <w:rsid w:val="00513E52"/>
    <w:rsid w:val="005747D9"/>
    <w:rsid w:val="00590A16"/>
    <w:rsid w:val="005F0730"/>
    <w:rsid w:val="005F245D"/>
    <w:rsid w:val="00634557"/>
    <w:rsid w:val="00680D34"/>
    <w:rsid w:val="006A1931"/>
    <w:rsid w:val="006A3F81"/>
    <w:rsid w:val="006A534A"/>
    <w:rsid w:val="00707EAA"/>
    <w:rsid w:val="00721BB9"/>
    <w:rsid w:val="0074256A"/>
    <w:rsid w:val="00754AFB"/>
    <w:rsid w:val="00761BDB"/>
    <w:rsid w:val="00770F08"/>
    <w:rsid w:val="00780484"/>
    <w:rsid w:val="007A443E"/>
    <w:rsid w:val="007A73E7"/>
    <w:rsid w:val="007B1648"/>
    <w:rsid w:val="007C00CA"/>
    <w:rsid w:val="007D22A7"/>
    <w:rsid w:val="00810DC6"/>
    <w:rsid w:val="00834B1E"/>
    <w:rsid w:val="00846E89"/>
    <w:rsid w:val="00847616"/>
    <w:rsid w:val="008924EC"/>
    <w:rsid w:val="00895F6D"/>
    <w:rsid w:val="008B182A"/>
    <w:rsid w:val="008E05D2"/>
    <w:rsid w:val="008F5845"/>
    <w:rsid w:val="00912293"/>
    <w:rsid w:val="009775AD"/>
    <w:rsid w:val="00993CBC"/>
    <w:rsid w:val="009A7267"/>
    <w:rsid w:val="009C257A"/>
    <w:rsid w:val="009D72B1"/>
    <w:rsid w:val="00A0325E"/>
    <w:rsid w:val="00A32D76"/>
    <w:rsid w:val="00A575D0"/>
    <w:rsid w:val="00A57606"/>
    <w:rsid w:val="00A57E11"/>
    <w:rsid w:val="00A605A0"/>
    <w:rsid w:val="00A82EAE"/>
    <w:rsid w:val="00A87423"/>
    <w:rsid w:val="00A97916"/>
    <w:rsid w:val="00AC0369"/>
    <w:rsid w:val="00AC4F58"/>
    <w:rsid w:val="00AD2964"/>
    <w:rsid w:val="00B147F7"/>
    <w:rsid w:val="00B510FA"/>
    <w:rsid w:val="00B82DFE"/>
    <w:rsid w:val="00B8343D"/>
    <w:rsid w:val="00B84AD1"/>
    <w:rsid w:val="00B9486F"/>
    <w:rsid w:val="00B950C5"/>
    <w:rsid w:val="00B9677F"/>
    <w:rsid w:val="00BC709B"/>
    <w:rsid w:val="00C54F7C"/>
    <w:rsid w:val="00C562E5"/>
    <w:rsid w:val="00CB2A4B"/>
    <w:rsid w:val="00CC5124"/>
    <w:rsid w:val="00CD00DB"/>
    <w:rsid w:val="00CD53CA"/>
    <w:rsid w:val="00CF01DB"/>
    <w:rsid w:val="00D311F5"/>
    <w:rsid w:val="00D83031"/>
    <w:rsid w:val="00DC48D9"/>
    <w:rsid w:val="00DF0E60"/>
    <w:rsid w:val="00E02E54"/>
    <w:rsid w:val="00E14E77"/>
    <w:rsid w:val="00E46F8C"/>
    <w:rsid w:val="00E57F4E"/>
    <w:rsid w:val="00E624B9"/>
    <w:rsid w:val="00EF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F0028E"/>
  <w15:chartTrackingRefBased/>
  <w15:docId w15:val="{15337A75-1779-42C4-9E19-F7595E0F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81"/>
    <w:pPr>
      <w:spacing w:before="240" w:after="240" w:line="240" w:lineRule="auto"/>
    </w:pPr>
    <w:rPr>
      <w:rFonts w:ascii="Century Gothic" w:eastAsia="Cambria" w:hAnsi="Century Gothic" w:cs="Times New Roman"/>
      <w:sz w:val="20"/>
      <w:szCs w:val="24"/>
      <w:lang w:val="en-US"/>
    </w:rPr>
  </w:style>
  <w:style w:type="paragraph" w:styleId="Heading1">
    <w:name w:val="heading 1"/>
    <w:basedOn w:val="Normal"/>
    <w:next w:val="Normal"/>
    <w:link w:val="Heading1Char"/>
    <w:uiPriority w:val="9"/>
    <w:qFormat/>
    <w:rsid w:val="009D72B1"/>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57E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bcam Booklet title"/>
    <w:basedOn w:val="Normal"/>
    <w:next w:val="Normal"/>
    <w:link w:val="TitleChar"/>
    <w:qFormat/>
    <w:rsid w:val="009D72B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9D72B1"/>
    <w:rPr>
      <w:rFonts w:ascii="ITC Lubalin Graph Std Medium" w:eastAsiaTheme="majorEastAsia" w:hAnsi="ITC Lubalin Graph Std Medium" w:cstheme="majorBidi"/>
      <w:color w:val="000000" w:themeColor="text1"/>
      <w:spacing w:val="5"/>
      <w:kern w:val="28"/>
      <w:sz w:val="52"/>
      <w:szCs w:val="52"/>
      <w:lang w:val="en-US"/>
    </w:rPr>
  </w:style>
  <w:style w:type="paragraph" w:customStyle="1" w:styleId="1AbcamStandardtext">
    <w:name w:val="1 Abcam Standard text"/>
    <w:basedOn w:val="Normal"/>
    <w:qFormat/>
    <w:rsid w:val="009D72B1"/>
    <w:pPr>
      <w:spacing w:before="60" w:after="60"/>
    </w:pPr>
  </w:style>
  <w:style w:type="character" w:styleId="Hyperlink">
    <w:name w:val="Hyperlink"/>
    <w:basedOn w:val="DefaultParagraphFont"/>
    <w:uiPriority w:val="99"/>
    <w:unhideWhenUsed/>
    <w:rsid w:val="009D72B1"/>
    <w:rPr>
      <w:color w:val="0563C1" w:themeColor="hyperlink"/>
      <w:u w:val="single"/>
    </w:rPr>
  </w:style>
  <w:style w:type="paragraph" w:styleId="ListParagraph">
    <w:name w:val="List Paragraph"/>
    <w:basedOn w:val="Normal"/>
    <w:link w:val="ListParagraphChar"/>
    <w:uiPriority w:val="34"/>
    <w:qFormat/>
    <w:rsid w:val="009D72B1"/>
    <w:pPr>
      <w:contextualSpacing/>
    </w:pPr>
    <w:rPr>
      <w:rFonts w:eastAsiaTheme="minorHAnsi" w:cstheme="minorBidi"/>
    </w:rPr>
  </w:style>
  <w:style w:type="character" w:customStyle="1" w:styleId="ListParagraphChar">
    <w:name w:val="List Paragraph Char"/>
    <w:basedOn w:val="DefaultParagraphFont"/>
    <w:link w:val="ListParagraph"/>
    <w:uiPriority w:val="34"/>
    <w:rsid w:val="009D72B1"/>
    <w:rPr>
      <w:rFonts w:ascii="Century Gothic" w:hAnsi="Century Gothic"/>
      <w:sz w:val="20"/>
      <w:szCs w:val="24"/>
      <w:lang w:val="en-US"/>
    </w:rPr>
  </w:style>
  <w:style w:type="paragraph" w:customStyle="1" w:styleId="111Abcam">
    <w:name w:val="1.1.1 Abcam"/>
    <w:basedOn w:val="ListParagraph"/>
    <w:qFormat/>
    <w:rsid w:val="009D72B1"/>
    <w:pPr>
      <w:numPr>
        <w:ilvl w:val="2"/>
        <w:numId w:val="1"/>
      </w:numPr>
      <w:tabs>
        <w:tab w:val="clear" w:pos="6379"/>
        <w:tab w:val="num" w:pos="360"/>
      </w:tabs>
      <w:spacing w:before="60" w:after="60"/>
      <w:ind w:left="0" w:firstLine="0"/>
    </w:pPr>
    <w:rPr>
      <w:szCs w:val="20"/>
    </w:rPr>
  </w:style>
  <w:style w:type="paragraph" w:customStyle="1" w:styleId="11Abcam">
    <w:name w:val="1.1 Abcam"/>
    <w:basedOn w:val="ListParagraph"/>
    <w:qFormat/>
    <w:rsid w:val="009D72B1"/>
    <w:pPr>
      <w:numPr>
        <w:ilvl w:val="1"/>
        <w:numId w:val="1"/>
      </w:numPr>
      <w:tabs>
        <w:tab w:val="clear" w:pos="6095"/>
        <w:tab w:val="num" w:pos="0"/>
        <w:tab w:val="num" w:pos="360"/>
      </w:tabs>
      <w:spacing w:before="60" w:after="60"/>
      <w:ind w:left="567" w:firstLine="0"/>
    </w:pPr>
  </w:style>
  <w:style w:type="paragraph" w:customStyle="1" w:styleId="1111abcam">
    <w:name w:val="1.1.1.1 abcam"/>
    <w:basedOn w:val="ListParagraph"/>
    <w:qFormat/>
    <w:rsid w:val="009D72B1"/>
    <w:pPr>
      <w:numPr>
        <w:ilvl w:val="3"/>
        <w:numId w:val="1"/>
      </w:numPr>
      <w:tabs>
        <w:tab w:val="num" w:pos="360"/>
      </w:tabs>
      <w:spacing w:before="60" w:after="60"/>
      <w:ind w:left="0" w:firstLine="0"/>
    </w:pPr>
    <w:rPr>
      <w:szCs w:val="20"/>
    </w:rPr>
  </w:style>
  <w:style w:type="paragraph" w:customStyle="1" w:styleId="1Abcamheading">
    <w:name w:val="1 Abcam heading"/>
    <w:basedOn w:val="Heading1"/>
    <w:link w:val="1AbcamheadingChar"/>
    <w:qFormat/>
    <w:rsid w:val="009D72B1"/>
    <w:pPr>
      <w:numPr>
        <w:numId w:val="1"/>
      </w:numPr>
      <w:tabs>
        <w:tab w:val="num" w:pos="360"/>
      </w:tabs>
      <w:suppressAutoHyphens/>
      <w:spacing w:after="240"/>
      <w:ind w:left="0" w:firstLine="0"/>
    </w:pPr>
    <w:rPr>
      <w:rFonts w:ascii="Century Gothic" w:eastAsia="Times New Roman" w:hAnsi="Century Gothic" w:cs="Times New Roman"/>
      <w:b/>
      <w:bCs/>
      <w:sz w:val="24"/>
      <w:szCs w:val="28"/>
    </w:rPr>
  </w:style>
  <w:style w:type="paragraph" w:customStyle="1" w:styleId="11Abcambold">
    <w:name w:val="1.1 Abcam#bold"/>
    <w:basedOn w:val="11Abcam"/>
    <w:qFormat/>
    <w:rsid w:val="009D72B1"/>
  </w:style>
  <w:style w:type="table" w:styleId="TableGrid">
    <w:name w:val="Table Grid"/>
    <w:basedOn w:val="TableNormal"/>
    <w:uiPriority w:val="59"/>
    <w:rsid w:val="009D72B1"/>
    <w:pPr>
      <w:spacing w:after="0" w:line="240" w:lineRule="auto"/>
    </w:pPr>
    <w:rPr>
      <w:rFonts w:ascii="Cambria" w:eastAsia="Cambria" w:hAnsi="Cambri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9D72B1"/>
    <w:pPr>
      <w:tabs>
        <w:tab w:val="center" w:pos="4320"/>
        <w:tab w:val="right" w:pos="8640"/>
      </w:tabs>
    </w:pPr>
  </w:style>
  <w:style w:type="character" w:customStyle="1" w:styleId="FooterChar">
    <w:name w:val="Footer Char"/>
    <w:basedOn w:val="DefaultParagraphFont"/>
    <w:link w:val="Footer"/>
    <w:uiPriority w:val="99"/>
    <w:rsid w:val="009D72B1"/>
    <w:rPr>
      <w:rFonts w:ascii="Century Gothic" w:eastAsia="Cambria" w:hAnsi="Century Gothic" w:cs="Times New Roman"/>
      <w:sz w:val="20"/>
      <w:szCs w:val="24"/>
      <w:lang w:val="en-US"/>
    </w:rPr>
  </w:style>
  <w:style w:type="paragraph" w:customStyle="1" w:styleId="1AbcamBulletpoints">
    <w:name w:val="1 Abcam Bullet points"/>
    <w:basedOn w:val="ListParagraph"/>
    <w:link w:val="1AbcamBulletpointsChar"/>
    <w:qFormat/>
    <w:rsid w:val="009D72B1"/>
    <w:pPr>
      <w:spacing w:before="60" w:after="60"/>
      <w:contextualSpacing w:val="0"/>
    </w:pPr>
    <w:rPr>
      <w:color w:val="000000"/>
      <w:szCs w:val="20"/>
    </w:rPr>
  </w:style>
  <w:style w:type="character" w:customStyle="1" w:styleId="1AbcamBulletpointsChar">
    <w:name w:val="1 Abcam Bullet points Char"/>
    <w:basedOn w:val="ListParagraphChar"/>
    <w:link w:val="1AbcamBulletpoints"/>
    <w:rsid w:val="009D72B1"/>
    <w:rPr>
      <w:rFonts w:ascii="Century Gothic" w:hAnsi="Century Gothic"/>
      <w:color w:val="000000"/>
      <w:sz w:val="20"/>
      <w:szCs w:val="20"/>
      <w:lang w:val="en-US"/>
    </w:rPr>
  </w:style>
  <w:style w:type="paragraph" w:customStyle="1" w:styleId="MediumGrid1-Accent21">
    <w:name w:val="Medium Grid 1 - Accent 21"/>
    <w:basedOn w:val="Normal"/>
    <w:uiPriority w:val="99"/>
    <w:qFormat/>
    <w:rsid w:val="009D72B1"/>
    <w:pPr>
      <w:numPr>
        <w:numId w:val="2"/>
      </w:numPr>
      <w:contextualSpacing/>
    </w:pPr>
  </w:style>
  <w:style w:type="character" w:customStyle="1" w:styleId="1AbcamheadingChar">
    <w:name w:val="1 Abcam heading Char"/>
    <w:basedOn w:val="Heading1Char"/>
    <w:link w:val="1Abcamheading"/>
    <w:rsid w:val="009D72B1"/>
    <w:rPr>
      <w:rFonts w:ascii="Century Gothic" w:eastAsia="Times New Roman" w:hAnsi="Century Gothic" w:cs="Times New Roman"/>
      <w:b/>
      <w:bCs/>
      <w:color w:val="2F5496" w:themeColor="accent1" w:themeShade="BF"/>
      <w:sz w:val="24"/>
      <w:szCs w:val="28"/>
      <w:lang w:val="en-US"/>
    </w:rPr>
  </w:style>
  <w:style w:type="paragraph" w:styleId="NormalWeb">
    <w:name w:val="Normal (Web)"/>
    <w:basedOn w:val="Normal"/>
    <w:uiPriority w:val="99"/>
    <w:unhideWhenUsed/>
    <w:rsid w:val="009D72B1"/>
    <w:pPr>
      <w:spacing w:before="100" w:beforeAutospacing="1" w:after="100" w:afterAutospacing="1"/>
    </w:pPr>
    <w:rPr>
      <w:rFonts w:ascii="Times New Roman" w:eastAsia="Times New Roman" w:hAnsi="Times New Roman"/>
      <w:sz w:val="24"/>
      <w:lang w:val="en-GB" w:eastAsia="en-GB"/>
    </w:rPr>
  </w:style>
  <w:style w:type="character" w:customStyle="1" w:styleId="Heading1Char">
    <w:name w:val="Heading 1 Char"/>
    <w:basedOn w:val="DefaultParagraphFont"/>
    <w:link w:val="Heading1"/>
    <w:uiPriority w:val="9"/>
    <w:rsid w:val="009D72B1"/>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9D72B1"/>
    <w:pPr>
      <w:tabs>
        <w:tab w:val="center" w:pos="4513"/>
        <w:tab w:val="right" w:pos="9026"/>
      </w:tabs>
      <w:spacing w:before="0" w:after="0"/>
    </w:pPr>
  </w:style>
  <w:style w:type="character" w:customStyle="1" w:styleId="HeaderChar">
    <w:name w:val="Header Char"/>
    <w:basedOn w:val="DefaultParagraphFont"/>
    <w:link w:val="Header"/>
    <w:uiPriority w:val="99"/>
    <w:rsid w:val="009D72B1"/>
    <w:rPr>
      <w:rFonts w:ascii="Century Gothic" w:eastAsia="Cambria" w:hAnsi="Century Gothic" w:cs="Times New Roman"/>
      <w:sz w:val="20"/>
      <w:szCs w:val="24"/>
      <w:lang w:val="en-US"/>
    </w:rPr>
  </w:style>
  <w:style w:type="character" w:styleId="UnresolvedMention">
    <w:name w:val="Unresolved Mention"/>
    <w:basedOn w:val="DefaultParagraphFont"/>
    <w:uiPriority w:val="99"/>
    <w:semiHidden/>
    <w:unhideWhenUsed/>
    <w:rsid w:val="009D72B1"/>
    <w:rPr>
      <w:color w:val="605E5C"/>
      <w:shd w:val="clear" w:color="auto" w:fill="E1DFDD"/>
    </w:rPr>
  </w:style>
  <w:style w:type="table" w:customStyle="1" w:styleId="GENERALINFORMATIONTABLE">
    <w:name w:val="GENERAL INFORMATION TABLE"/>
    <w:basedOn w:val="TableNormal"/>
    <w:uiPriority w:val="99"/>
    <w:rsid w:val="00E14E77"/>
    <w:pPr>
      <w:spacing w:after="0" w:line="240" w:lineRule="auto"/>
    </w:pPr>
    <w:rPr>
      <w:rFonts w:ascii="Arial" w:hAnsi="Arial"/>
      <w:sz w:val="18"/>
    </w:r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C6B2F"/>
        <w:vAlign w:val="center"/>
      </w:tcPr>
    </w:tblStylePr>
    <w:tblStylePr w:type="firstCol">
      <w:pPr>
        <w:jc w:val="left"/>
      </w:pPr>
      <w:rPr>
        <w:rFonts w:ascii="Arial" w:hAnsi="Arial"/>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BE4D5" w:themeFill="accent2" w:themeFillTint="33"/>
        <w:vAlign w:val="center"/>
      </w:tcPr>
    </w:tblStylePr>
  </w:style>
  <w:style w:type="paragraph" w:customStyle="1" w:styleId="Listprotocol">
    <w:name w:val="List protocol"/>
    <w:basedOn w:val="Normal"/>
    <w:qFormat/>
    <w:rsid w:val="00E14E77"/>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indenttolist">
    <w:name w:val="indent to list"/>
    <w:basedOn w:val="Normal"/>
    <w:qFormat/>
    <w:rsid w:val="00E14E77"/>
    <w:pPr>
      <w:spacing w:before="60" w:after="60" w:line="276" w:lineRule="auto"/>
      <w:ind w:left="567"/>
      <w:jc w:val="both"/>
    </w:pPr>
    <w:rPr>
      <w:rFonts w:ascii="Arial" w:eastAsiaTheme="minorHAnsi" w:hAnsi="Arial" w:cs="Arial"/>
      <w:color w:val="000000" w:themeColor="text1"/>
      <w:szCs w:val="20"/>
      <w:lang w:val="en-GB"/>
    </w:rPr>
  </w:style>
  <w:style w:type="paragraph" w:customStyle="1" w:styleId="listprotocol000">
    <w:name w:val="list protocol 0.0.0"/>
    <w:basedOn w:val="Listprotocol"/>
    <w:qFormat/>
    <w:rsid w:val="00E14E77"/>
    <w:pPr>
      <w:tabs>
        <w:tab w:val="clear" w:pos="567"/>
        <w:tab w:val="num" w:pos="1191"/>
      </w:tabs>
      <w:ind w:left="964" w:hanging="680"/>
    </w:pPr>
  </w:style>
  <w:style w:type="paragraph" w:customStyle="1" w:styleId="ListprotocolBold">
    <w:name w:val="List protocol Bold"/>
    <w:basedOn w:val="Listprotocol"/>
    <w:next w:val="Listprotocol"/>
    <w:qFormat/>
    <w:rsid w:val="00E14E77"/>
    <w:pPr>
      <w:numPr>
        <w:ilvl w:val="1"/>
      </w:numPr>
      <w:tabs>
        <w:tab w:val="num" w:pos="567"/>
      </w:tabs>
      <w:ind w:left="567" w:hanging="567"/>
    </w:pPr>
    <w:rPr>
      <w:b/>
      <w:color w:val="000000" w:themeColor="text1"/>
    </w:rPr>
  </w:style>
  <w:style w:type="paragraph" w:customStyle="1" w:styleId="Standard">
    <w:name w:val="Standard"/>
    <w:link w:val="StandardChar"/>
    <w:qFormat/>
    <w:rsid w:val="00E14E77"/>
    <w:pPr>
      <w:spacing w:before="60" w:after="60" w:line="276" w:lineRule="auto"/>
      <w:jc w:val="both"/>
    </w:pPr>
    <w:rPr>
      <w:rFonts w:ascii="Arial" w:hAnsi="Arial" w:cs="Arial"/>
      <w:color w:val="000000" w:themeColor="text1"/>
      <w:sz w:val="20"/>
      <w:szCs w:val="20"/>
    </w:rPr>
  </w:style>
  <w:style w:type="character" w:customStyle="1" w:styleId="StandardChar">
    <w:name w:val="Standard Char"/>
    <w:basedOn w:val="DefaultParagraphFont"/>
    <w:link w:val="Standard"/>
    <w:rsid w:val="00E14E77"/>
    <w:rPr>
      <w:rFonts w:ascii="Arial" w:hAnsi="Arial" w:cs="Arial"/>
      <w:color w:val="000000" w:themeColor="text1"/>
      <w:sz w:val="20"/>
      <w:szCs w:val="20"/>
    </w:rPr>
  </w:style>
  <w:style w:type="table" w:customStyle="1" w:styleId="ASSAYPREPARTATION">
    <w:name w:val="ASSAY PREPARTATION"/>
    <w:basedOn w:val="TableNormal"/>
    <w:uiPriority w:val="99"/>
    <w:rsid w:val="00E14E77"/>
    <w:pPr>
      <w:spacing w:after="0" w:line="240" w:lineRule="auto"/>
      <w:jc w:val="center"/>
    </w:p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B85B5"/>
        <w:vAlign w:val="center"/>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E2F3" w:themeFill="accent1" w:themeFillTint="33"/>
      </w:tcPr>
    </w:tblStylePr>
  </w:style>
  <w:style w:type="paragraph" w:customStyle="1" w:styleId="Bulletpoints">
    <w:name w:val="Bullet points"/>
    <w:basedOn w:val="Standard"/>
    <w:link w:val="BulletpointsChar"/>
    <w:qFormat/>
    <w:rsid w:val="00B84AD1"/>
    <w:pPr>
      <w:numPr>
        <w:numId w:val="3"/>
      </w:numPr>
      <w:ind w:left="357" w:hanging="357"/>
    </w:pPr>
  </w:style>
  <w:style w:type="character" w:customStyle="1" w:styleId="BulletpointsChar">
    <w:name w:val="Bullet points Char"/>
    <w:basedOn w:val="StandardChar"/>
    <w:link w:val="Bulletpoints"/>
    <w:rsid w:val="00B84AD1"/>
    <w:rPr>
      <w:rFonts w:ascii="Arial" w:hAnsi="Arial" w:cs="Arial"/>
      <w:color w:val="000000" w:themeColor="text1"/>
      <w:sz w:val="20"/>
      <w:szCs w:val="20"/>
    </w:rPr>
  </w:style>
  <w:style w:type="paragraph" w:customStyle="1" w:styleId="Indenttobullets">
    <w:name w:val="Indent to bullets"/>
    <w:basedOn w:val="Standard"/>
    <w:qFormat/>
    <w:rsid w:val="00B84AD1"/>
    <w:pPr>
      <w:ind w:left="340"/>
    </w:pPr>
  </w:style>
  <w:style w:type="character" w:customStyle="1" w:styleId="BOLD">
    <w:name w:val="BOLD"/>
    <w:basedOn w:val="DefaultParagraphFont"/>
    <w:uiPriority w:val="1"/>
    <w:qFormat/>
    <w:rsid w:val="00B84AD1"/>
    <w:rPr>
      <w:rFonts w:ascii="Arial" w:hAnsi="Arial"/>
      <w:b/>
    </w:rPr>
  </w:style>
  <w:style w:type="character" w:customStyle="1" w:styleId="BoldItalic">
    <w:name w:val="Bold Italic"/>
    <w:basedOn w:val="DefaultParagraphFont"/>
    <w:uiPriority w:val="1"/>
    <w:qFormat/>
    <w:rsid w:val="00B84AD1"/>
    <w:rPr>
      <w:rFonts w:ascii="Arial" w:hAnsi="Arial"/>
      <w:b/>
      <w:i/>
      <w:sz w:val="20"/>
    </w:rPr>
  </w:style>
  <w:style w:type="table" w:customStyle="1" w:styleId="AssayProceduretable">
    <w:name w:val="Assay Procedure table"/>
    <w:basedOn w:val="TableNormal"/>
    <w:uiPriority w:val="99"/>
    <w:rsid w:val="00B84AD1"/>
    <w:pPr>
      <w:spacing w:after="0" w:line="240" w:lineRule="auto"/>
    </w:pPr>
    <w:tblPr>
      <w:tblStyleRowBandSize w:val="1"/>
      <w:tblStyleColBandSize w:val="1"/>
      <w:jc w:val="center"/>
    </w:tblPr>
    <w:trPr>
      <w:jc w:val="center"/>
    </w:trPr>
    <w:tblStylePr w:type="firstRow">
      <w:pPr>
        <w:jc w:val="center"/>
      </w:pPr>
      <w:rPr>
        <w:rFonts w:ascii="Arial" w:hAnsi="Arial"/>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A291C"/>
        <w:vAlign w:val="center"/>
      </w:tcPr>
    </w:tblStylePr>
    <w:tblStylePr w:type="firstCol">
      <w:pPr>
        <w:jc w:val="left"/>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1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vAlign w:val="center"/>
      </w:tcPr>
    </w:tblStylePr>
    <w:tblStylePr w:type="band2Horz">
      <w:pPr>
        <w:jc w:val="center"/>
      </w:pPr>
      <w:rPr>
        <w:rFonts w:ascii="Arial" w:hAnsi="Arial"/>
        <w:color w:val="auto"/>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2DBDB"/>
        <w:vAlign w:val="center"/>
      </w:tcPr>
    </w:tblStylePr>
  </w:style>
  <w:style w:type="character" w:customStyle="1" w:styleId="Italic">
    <w:name w:val="Italic"/>
    <w:basedOn w:val="DefaultParagraphFont"/>
    <w:uiPriority w:val="1"/>
    <w:qFormat/>
    <w:rsid w:val="00B84AD1"/>
    <w:rPr>
      <w:i/>
    </w:rPr>
  </w:style>
  <w:style w:type="paragraph" w:styleId="TOC4">
    <w:name w:val="toc 4"/>
    <w:basedOn w:val="Normal"/>
    <w:next w:val="Normal"/>
    <w:autoRedefine/>
    <w:uiPriority w:val="39"/>
    <w:unhideWhenUsed/>
    <w:rsid w:val="003C441C"/>
    <w:pPr>
      <w:spacing w:before="0" w:after="0" w:line="259" w:lineRule="auto"/>
    </w:pPr>
    <w:rPr>
      <w:rFonts w:asciiTheme="minorHAnsi" w:eastAsiaTheme="minorHAnsi" w:hAnsiTheme="minorHAnsi" w:cstheme="minorBidi"/>
      <w:sz w:val="22"/>
      <w:szCs w:val="22"/>
      <w:lang w:val="en-GB"/>
    </w:rPr>
  </w:style>
  <w:style w:type="character" w:styleId="Strong">
    <w:name w:val="Strong"/>
    <w:basedOn w:val="DefaultParagraphFont"/>
    <w:qFormat/>
    <w:rsid w:val="003C441C"/>
    <w:rPr>
      <w:b/>
      <w:bCs/>
    </w:rPr>
  </w:style>
  <w:style w:type="table" w:customStyle="1" w:styleId="Troubleshooting">
    <w:name w:val="Troubleshooting"/>
    <w:basedOn w:val="TableNormal"/>
    <w:uiPriority w:val="99"/>
    <w:rsid w:val="00707EAA"/>
    <w:pPr>
      <w:spacing w:after="0" w:line="240" w:lineRule="auto"/>
      <w:jc w:val="center"/>
    </w:pPr>
    <w:rPr>
      <w:rFonts w:ascii="Arial" w:hAnsi="Arial"/>
      <w:sz w:val="20"/>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styleId="TOC1">
    <w:name w:val="toc 1"/>
    <w:basedOn w:val="Normal"/>
    <w:next w:val="Normal"/>
    <w:autoRedefine/>
    <w:uiPriority w:val="39"/>
    <w:semiHidden/>
    <w:unhideWhenUsed/>
    <w:rsid w:val="00895F6D"/>
    <w:pPr>
      <w:spacing w:after="100"/>
    </w:pPr>
  </w:style>
  <w:style w:type="table" w:customStyle="1" w:styleId="TableGrid1">
    <w:name w:val="Table Grid1"/>
    <w:basedOn w:val="TableNormal"/>
    <w:next w:val="TableGrid"/>
    <w:uiPriority w:val="59"/>
    <w:rsid w:val="00895F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D3BEE"/>
    <w:rPr>
      <w:rFonts w:cs="Adobe Garamond Pro"/>
      <w:i/>
      <w:iCs/>
      <w:color w:val="000000"/>
      <w:sz w:val="18"/>
      <w:szCs w:val="18"/>
    </w:rPr>
  </w:style>
  <w:style w:type="paragraph" w:customStyle="1" w:styleId="Pa13">
    <w:name w:val="Pa13"/>
    <w:basedOn w:val="Normal"/>
    <w:next w:val="Normal"/>
    <w:uiPriority w:val="99"/>
    <w:rsid w:val="003D3BEE"/>
    <w:pPr>
      <w:autoSpaceDE w:val="0"/>
      <w:autoSpaceDN w:val="0"/>
      <w:adjustRightInd w:val="0"/>
      <w:spacing w:before="0" w:after="0" w:line="181" w:lineRule="atLeast"/>
    </w:pPr>
    <w:rPr>
      <w:rFonts w:ascii="Myriad Pro" w:eastAsiaTheme="minorHAnsi" w:hAnsi="Myriad Pro" w:cstheme="minorBidi"/>
      <w:sz w:val="24"/>
      <w:lang w:val="en-GB"/>
    </w:rPr>
  </w:style>
  <w:style w:type="paragraph" w:customStyle="1" w:styleId="ReagentPrepNumbers">
    <w:name w:val="Reagent Prep Numbers"/>
    <w:basedOn w:val="ListParagraph"/>
    <w:link w:val="ReagentPrepNumbersChar"/>
    <w:qFormat/>
    <w:rsid w:val="00513E52"/>
    <w:pPr>
      <w:numPr>
        <w:ilvl w:val="1"/>
        <w:numId w:val="4"/>
      </w:numPr>
      <w:tabs>
        <w:tab w:val="left" w:pos="900"/>
        <w:tab w:val="left" w:pos="990"/>
      </w:tabs>
      <w:spacing w:before="60" w:after="60" w:line="276" w:lineRule="auto"/>
      <w:ind w:left="900" w:hanging="540"/>
      <w:contextualSpacing w:val="0"/>
      <w:jc w:val="both"/>
    </w:pPr>
    <w:rPr>
      <w:rFonts w:ascii="Arial" w:eastAsia="Calibri" w:hAnsi="Arial" w:cs="Arial"/>
      <w:b/>
      <w:szCs w:val="20"/>
    </w:rPr>
  </w:style>
  <w:style w:type="character" w:customStyle="1" w:styleId="ReagentPrepNumbersChar">
    <w:name w:val="Reagent Prep Numbers Char"/>
    <w:basedOn w:val="ListParagraphChar"/>
    <w:link w:val="ReagentPrepNumbers"/>
    <w:rsid w:val="00513E52"/>
    <w:rPr>
      <w:rFonts w:ascii="Arial" w:eastAsia="Calibri" w:hAnsi="Arial" w:cs="Arial"/>
      <w:b/>
      <w:sz w:val="20"/>
      <w:szCs w:val="20"/>
      <w:lang w:val="en-US"/>
    </w:rPr>
  </w:style>
  <w:style w:type="paragraph" w:customStyle="1" w:styleId="StandardPrepNumbers">
    <w:name w:val="Standard Prep Numbers"/>
    <w:basedOn w:val="ListParagraph"/>
    <w:link w:val="StandardPrepNumbersChar"/>
    <w:qFormat/>
    <w:rsid w:val="00513E52"/>
    <w:pPr>
      <w:tabs>
        <w:tab w:val="left" w:pos="990"/>
      </w:tabs>
      <w:spacing w:before="60" w:after="60" w:line="276" w:lineRule="auto"/>
      <w:ind w:left="990" w:hanging="630"/>
      <w:contextualSpacing w:val="0"/>
      <w:jc w:val="both"/>
    </w:pPr>
    <w:rPr>
      <w:rFonts w:ascii="Arial" w:eastAsia="Calibri" w:hAnsi="Arial" w:cs="Times New Roman"/>
      <w:szCs w:val="20"/>
    </w:rPr>
  </w:style>
  <w:style w:type="character" w:customStyle="1" w:styleId="StandardPrepNumbersChar">
    <w:name w:val="Standard Prep Numbers Char"/>
    <w:basedOn w:val="ListParagraphChar"/>
    <w:link w:val="StandardPrepNumbers"/>
    <w:rsid w:val="00513E52"/>
    <w:rPr>
      <w:rFonts w:ascii="Arial" w:eastAsia="Calibri" w:hAnsi="Arial" w:cs="Times New Roman"/>
      <w:sz w:val="20"/>
      <w:szCs w:val="20"/>
      <w:lang w:val="en-US"/>
    </w:rPr>
  </w:style>
  <w:style w:type="paragraph" w:styleId="Quote">
    <w:name w:val="Quote"/>
    <w:basedOn w:val="Normal"/>
    <w:next w:val="Normal"/>
    <w:link w:val="QuoteChar"/>
    <w:uiPriority w:val="29"/>
    <w:qFormat/>
    <w:rsid w:val="00513E52"/>
    <w:pPr>
      <w:spacing w:after="0" w:line="360" w:lineRule="auto"/>
      <w:ind w:left="360" w:hanging="360"/>
      <w:contextualSpacing/>
      <w:jc w:val="both"/>
    </w:pPr>
    <w:rPr>
      <w:rFonts w:ascii="Arial" w:eastAsiaTheme="minorEastAsia" w:hAnsi="Arial" w:cstheme="minorBidi"/>
      <w:iCs/>
      <w:color w:val="000000" w:themeColor="text1"/>
    </w:rPr>
  </w:style>
  <w:style w:type="character" w:customStyle="1" w:styleId="QuoteChar">
    <w:name w:val="Quote Char"/>
    <w:basedOn w:val="DefaultParagraphFont"/>
    <w:link w:val="Quote"/>
    <w:uiPriority w:val="29"/>
    <w:rsid w:val="00513E52"/>
    <w:rPr>
      <w:rFonts w:ascii="Arial" w:eastAsiaTheme="minorEastAsia" w:hAnsi="Arial"/>
      <w:iCs/>
      <w:color w:val="000000" w:themeColor="text1"/>
      <w:sz w:val="20"/>
      <w:szCs w:val="24"/>
      <w:lang w:val="en-US"/>
    </w:rPr>
  </w:style>
  <w:style w:type="paragraph" w:customStyle="1" w:styleId="Calculations">
    <w:name w:val="Calculations"/>
    <w:basedOn w:val="Normal"/>
    <w:link w:val="CalculationsChar"/>
    <w:qFormat/>
    <w:rsid w:val="00513E52"/>
    <w:pPr>
      <w:spacing w:before="60" w:after="60" w:line="276" w:lineRule="auto"/>
      <w:jc w:val="both"/>
    </w:pPr>
    <w:rPr>
      <w:rFonts w:ascii="Arial" w:hAnsi="Arial"/>
    </w:rPr>
  </w:style>
  <w:style w:type="character" w:customStyle="1" w:styleId="CalculationsChar">
    <w:name w:val="Calculations Char"/>
    <w:basedOn w:val="DefaultParagraphFont"/>
    <w:link w:val="Calculations"/>
    <w:rsid w:val="00513E52"/>
    <w:rPr>
      <w:rFonts w:ascii="Arial" w:eastAsia="Cambria" w:hAnsi="Arial" w:cs="Times New Roman"/>
      <w:sz w:val="20"/>
      <w:szCs w:val="24"/>
      <w:lang w:val="en-US"/>
    </w:rPr>
  </w:style>
  <w:style w:type="character" w:customStyle="1" w:styleId="Heading2Char">
    <w:name w:val="Heading 2 Char"/>
    <w:basedOn w:val="DefaultParagraphFont"/>
    <w:link w:val="Heading2"/>
    <w:uiPriority w:val="9"/>
    <w:rsid w:val="00A57E11"/>
    <w:rPr>
      <w:rFonts w:asciiTheme="majorHAnsi" w:eastAsiaTheme="majorEastAsia" w:hAnsiTheme="majorHAnsi" w:cstheme="majorBidi"/>
      <w:color w:val="2F5496" w:themeColor="accent1" w:themeShade="BF"/>
      <w:sz w:val="26"/>
      <w:szCs w:val="26"/>
      <w:lang w:val="en-US"/>
    </w:rPr>
  </w:style>
  <w:style w:type="character" w:styleId="PageNumber">
    <w:name w:val="page number"/>
    <w:basedOn w:val="DefaultParagraphFont"/>
    <w:uiPriority w:val="99"/>
    <w:semiHidden/>
    <w:unhideWhenUsed/>
    <w:rsid w:val="00A97916"/>
  </w:style>
  <w:style w:type="character" w:customStyle="1" w:styleId="zStyleLatinCambriaMathItalic">
    <w:name w:val="z Style (Latin) Cambria Math Italic"/>
    <w:basedOn w:val="DefaultParagraphFont"/>
    <w:rsid w:val="00E57F4E"/>
    <w:rPr>
      <w:rFonts w:ascii="Cambria Math" w:hAnsi="Cambria Math"/>
      <w:i/>
      <w:iCs/>
    </w:rPr>
  </w:style>
  <w:style w:type="paragraph" w:customStyle="1" w:styleId="zStyleLatinCambriaMathItalicLeft12cm">
    <w:name w:val="z Style (Latin) Cambria Math Italic Left:  1.2 cm"/>
    <w:basedOn w:val="Normal"/>
    <w:rsid w:val="00E57F4E"/>
    <w:pPr>
      <w:ind w:left="680"/>
    </w:pPr>
    <w:rPr>
      <w:rFonts w:ascii="Cambria Math" w:eastAsia="Times New Roman" w:hAnsi="Cambria Math"/>
      <w:i/>
      <w:iCs/>
      <w:szCs w:val="20"/>
    </w:rPr>
  </w:style>
  <w:style w:type="paragraph" w:customStyle="1" w:styleId="1AbcamNotetext">
    <w:name w:val="1 Abcam Note text"/>
    <w:basedOn w:val="Normal"/>
    <w:link w:val="1AbcamNotetextChar"/>
    <w:qFormat/>
    <w:rsid w:val="00770F08"/>
    <w:pPr>
      <w:numPr>
        <w:numId w:val="5"/>
      </w:numPr>
      <w:spacing w:before="60" w:after="60"/>
      <w:ind w:left="0" w:firstLine="0"/>
    </w:pPr>
  </w:style>
  <w:style w:type="character" w:styleId="CommentReference">
    <w:name w:val="annotation reference"/>
    <w:basedOn w:val="DefaultParagraphFont"/>
    <w:uiPriority w:val="99"/>
    <w:semiHidden/>
    <w:unhideWhenUsed/>
    <w:rsid w:val="009775AD"/>
    <w:rPr>
      <w:sz w:val="16"/>
      <w:szCs w:val="16"/>
    </w:rPr>
  </w:style>
  <w:style w:type="character" w:customStyle="1" w:styleId="1AbcamNotetextChar">
    <w:name w:val="1 Abcam Note text Char"/>
    <w:basedOn w:val="DefaultParagraphFont"/>
    <w:link w:val="1AbcamNotetext"/>
    <w:rsid w:val="00CB2A4B"/>
    <w:rPr>
      <w:rFonts w:ascii="Century Gothic" w:eastAsia="Cambria" w:hAnsi="Century Gothic" w:cs="Times New Roman"/>
      <w:sz w:val="20"/>
      <w:szCs w:val="24"/>
      <w:lang w:val="en-US"/>
    </w:rPr>
  </w:style>
  <w:style w:type="table" w:styleId="GridTable4-Accent2">
    <w:name w:val="Grid Table 4 Accent 2"/>
    <w:basedOn w:val="TableNormal"/>
    <w:uiPriority w:val="49"/>
    <w:rsid w:val="001D04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1D04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1D04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PlaceholderText">
    <w:name w:val="Placeholder Text"/>
    <w:basedOn w:val="DefaultParagraphFont"/>
    <w:uiPriority w:val="99"/>
    <w:semiHidden/>
    <w:rsid w:val="00754AFB"/>
    <w:rPr>
      <w:color w:val="808080"/>
    </w:rPr>
  </w:style>
  <w:style w:type="character" w:customStyle="1" w:styleId="KIT-extrainfoChar">
    <w:name w:val="KIT-extra info Char"/>
    <w:basedOn w:val="DefaultParagraphFont"/>
    <w:link w:val="KIT-extrainfo"/>
    <w:locked/>
    <w:rsid w:val="00780484"/>
    <w:rPr>
      <w:rFonts w:ascii="Century Gothic" w:hAnsi="Century Gothic"/>
      <w:bCs/>
      <w:sz w:val="16"/>
      <w:szCs w:val="18"/>
      <w:lang w:val="en-US"/>
    </w:rPr>
  </w:style>
  <w:style w:type="paragraph" w:customStyle="1" w:styleId="KIT-extrainfo">
    <w:name w:val="KIT-extra info"/>
    <w:basedOn w:val="Normal"/>
    <w:link w:val="KIT-extrainfoChar"/>
    <w:qFormat/>
    <w:rsid w:val="00780484"/>
    <w:pPr>
      <w:spacing w:before="0" w:after="0"/>
      <w:ind w:left="720" w:firstLine="720"/>
    </w:pPr>
    <w:rPr>
      <w:rFonts w:eastAsiaTheme="minorHAnsi" w:cstheme="minorBidi"/>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7297">
      <w:bodyDiv w:val="1"/>
      <w:marLeft w:val="0"/>
      <w:marRight w:val="0"/>
      <w:marTop w:val="0"/>
      <w:marBottom w:val="0"/>
      <w:divBdr>
        <w:top w:val="none" w:sz="0" w:space="0" w:color="auto"/>
        <w:left w:val="none" w:sz="0" w:space="0" w:color="auto"/>
        <w:bottom w:val="none" w:sz="0" w:space="0" w:color="auto"/>
        <w:right w:val="none" w:sz="0" w:space="0" w:color="auto"/>
      </w:divBdr>
      <w:divsChild>
        <w:div w:id="305475047">
          <w:marLeft w:val="0"/>
          <w:marRight w:val="0"/>
          <w:marTop w:val="0"/>
          <w:marBottom w:val="0"/>
          <w:divBdr>
            <w:top w:val="none" w:sz="0" w:space="0" w:color="auto"/>
            <w:left w:val="none" w:sz="0" w:space="0" w:color="auto"/>
            <w:bottom w:val="none" w:sz="0" w:space="0" w:color="auto"/>
            <w:right w:val="none" w:sz="0" w:space="0" w:color="auto"/>
          </w:divBdr>
        </w:div>
      </w:divsChild>
    </w:div>
    <w:div w:id="1547179423">
      <w:bodyDiv w:val="1"/>
      <w:marLeft w:val="0"/>
      <w:marRight w:val="0"/>
      <w:marTop w:val="0"/>
      <w:marBottom w:val="0"/>
      <w:divBdr>
        <w:top w:val="none" w:sz="0" w:space="0" w:color="auto"/>
        <w:left w:val="none" w:sz="0" w:space="0" w:color="auto"/>
        <w:bottom w:val="none" w:sz="0" w:space="0" w:color="auto"/>
        <w:right w:val="none" w:sz="0" w:space="0" w:color="auto"/>
      </w:divBdr>
      <w:divsChild>
        <w:div w:id="1601260635">
          <w:marLeft w:val="0"/>
          <w:marRight w:val="0"/>
          <w:marTop w:val="0"/>
          <w:marBottom w:val="0"/>
          <w:divBdr>
            <w:top w:val="none" w:sz="0" w:space="0" w:color="auto"/>
            <w:left w:val="none" w:sz="0" w:space="0" w:color="auto"/>
            <w:bottom w:val="none" w:sz="0" w:space="0" w:color="auto"/>
            <w:right w:val="none" w:sz="0" w:space="0" w:color="auto"/>
          </w:divBdr>
        </w:div>
      </w:divsChild>
    </w:div>
    <w:div w:id="2075229415">
      <w:bodyDiv w:val="1"/>
      <w:marLeft w:val="0"/>
      <w:marRight w:val="0"/>
      <w:marTop w:val="0"/>
      <w:marBottom w:val="0"/>
      <w:divBdr>
        <w:top w:val="none" w:sz="0" w:space="0" w:color="auto"/>
        <w:left w:val="none" w:sz="0" w:space="0" w:color="auto"/>
        <w:bottom w:val="none" w:sz="0" w:space="0" w:color="auto"/>
        <w:right w:val="none" w:sz="0" w:space="0" w:color="auto"/>
      </w:divBdr>
      <w:divsChild>
        <w:div w:id="303775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bcam.com/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Downes</dc:creator>
  <cp:keywords/>
  <dc:description/>
  <cp:lastModifiedBy>Michael Ebenezer</cp:lastModifiedBy>
  <cp:revision>2</cp:revision>
  <cp:lastPrinted>2021-01-20T16:00:00Z</cp:lastPrinted>
  <dcterms:created xsi:type="dcterms:W3CDTF">2023-05-31T12:36:00Z</dcterms:created>
  <dcterms:modified xsi:type="dcterms:W3CDTF">2023-05-31T12:36:00Z</dcterms:modified>
</cp:coreProperties>
</file>