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BCF0" w14:textId="77777777" w:rsidR="00DC1372" w:rsidRPr="006E17B3" w:rsidRDefault="001326E7" w:rsidP="00DC1372">
      <w:pPr>
        <w:rPr>
          <w:rFonts w:cs="Arial"/>
          <w:lang w:val="en-GB"/>
        </w:rPr>
      </w:pPr>
      <w:r>
        <w:rPr>
          <w:rFonts w:cs="Arial"/>
          <w:noProof/>
          <w:lang w:val="en-GB" w:eastAsia="en-GB"/>
        </w:rPr>
        <w:drawing>
          <wp:anchor distT="0" distB="0" distL="114300" distR="114300" simplePos="0" relativeHeight="251657728" behindDoc="1" locked="0" layoutInCell="1" allowOverlap="1" wp14:anchorId="04D3BDF0" wp14:editId="04D3BDF1">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7"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04D3BCF1" w14:textId="77777777" w:rsidR="00DC1372" w:rsidRPr="006E17B3" w:rsidRDefault="00DC1372" w:rsidP="00DC1372">
      <w:pPr>
        <w:rPr>
          <w:rFonts w:cs="Arial"/>
          <w:lang w:val="en-GB"/>
        </w:rPr>
      </w:pPr>
    </w:p>
    <w:p w14:paraId="04D3BCF2" w14:textId="77777777" w:rsidR="00DC1372" w:rsidRPr="006E17B3" w:rsidRDefault="00DC1372"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DC1372" w14:paraId="04D3BCF5" w14:textId="77777777" w:rsidTr="00C12998">
        <w:trPr>
          <w:trHeight w:hRule="exact" w:val="3402"/>
        </w:trPr>
        <w:tc>
          <w:tcPr>
            <w:tcW w:w="6096" w:type="dxa"/>
            <w:vAlign w:val="center"/>
          </w:tcPr>
          <w:p w14:paraId="04D3BCF3" w14:textId="77777777" w:rsidR="00623802" w:rsidRPr="00623802" w:rsidRDefault="00623802" w:rsidP="00623802">
            <w:pPr>
              <w:ind w:left="34"/>
              <w:jc w:val="left"/>
              <w:rPr>
                <w:b/>
                <w:sz w:val="48"/>
              </w:rPr>
            </w:pPr>
            <w:r w:rsidRPr="00623802">
              <w:rPr>
                <w:b/>
                <w:sz w:val="48"/>
              </w:rPr>
              <w:t>ab65391</w:t>
            </w:r>
          </w:p>
          <w:p w14:paraId="04D3BCF4" w14:textId="77777777" w:rsidR="00DC1372" w:rsidRPr="00DC1372" w:rsidRDefault="00623802" w:rsidP="00623802">
            <w:pPr>
              <w:ind w:left="34"/>
              <w:jc w:val="left"/>
              <w:rPr>
                <w:b/>
                <w:sz w:val="48"/>
              </w:rPr>
            </w:pPr>
            <w:r w:rsidRPr="00623802">
              <w:rPr>
                <w:b/>
                <w:sz w:val="48"/>
              </w:rPr>
              <w:t>LDH-Cytotoxicity Assay Kit</w:t>
            </w:r>
          </w:p>
        </w:tc>
      </w:tr>
    </w:tbl>
    <w:p w14:paraId="04D3BCF7" w14:textId="77777777" w:rsidR="00DC1372" w:rsidRPr="005365AD" w:rsidRDefault="00DC1372" w:rsidP="00DC1372">
      <w:pPr>
        <w:jc w:val="left"/>
        <w:rPr>
          <w:rFonts w:cs="Arial"/>
          <w:sz w:val="24"/>
          <w:lang w:val="en-GB"/>
        </w:rPr>
      </w:pPr>
      <w:r w:rsidRPr="005365AD">
        <w:rPr>
          <w:rFonts w:cs="Arial"/>
          <w:sz w:val="24"/>
          <w:lang w:val="en-GB"/>
        </w:rPr>
        <w:t>Instructions for Use</w:t>
      </w:r>
    </w:p>
    <w:p w14:paraId="04D3BCF8" w14:textId="77777777" w:rsidR="00DC1372" w:rsidRPr="005365AD" w:rsidRDefault="0035257C" w:rsidP="00DC1372">
      <w:pPr>
        <w:spacing w:line="240" w:lineRule="auto"/>
        <w:jc w:val="left"/>
        <w:rPr>
          <w:rFonts w:cs="Arial"/>
          <w:sz w:val="24"/>
          <w:lang w:val="en-GB"/>
        </w:rPr>
      </w:pPr>
      <w:r w:rsidRPr="005365AD">
        <w:rPr>
          <w:rFonts w:cs="Arial"/>
          <w:szCs w:val="20"/>
        </w:rPr>
        <w:t xml:space="preserve">For the rapid, </w:t>
      </w:r>
      <w:proofErr w:type="gramStart"/>
      <w:r w:rsidRPr="005365AD">
        <w:rPr>
          <w:rFonts w:cs="Arial"/>
          <w:szCs w:val="20"/>
        </w:rPr>
        <w:t>sensitive</w:t>
      </w:r>
      <w:proofErr w:type="gramEnd"/>
      <w:r w:rsidRPr="005365AD">
        <w:rPr>
          <w:rFonts w:cs="Arial"/>
          <w:szCs w:val="20"/>
        </w:rPr>
        <w:t xml:space="preserve"> and accurate measurement of LDH-Cytotoxicity in cell culture samples</w:t>
      </w:r>
      <w:r w:rsidR="00DC1372" w:rsidRPr="005365AD">
        <w:rPr>
          <w:rFonts w:cs="Arial"/>
          <w:szCs w:val="20"/>
        </w:rPr>
        <w:t xml:space="preserve">.  </w:t>
      </w:r>
    </w:p>
    <w:p w14:paraId="04D3BCF9" w14:textId="77777777" w:rsidR="00DC1372" w:rsidRPr="005365AD" w:rsidRDefault="00DC1372" w:rsidP="00DC1372">
      <w:pPr>
        <w:autoSpaceDE w:val="0"/>
        <w:autoSpaceDN w:val="0"/>
        <w:adjustRightInd w:val="0"/>
        <w:spacing w:before="0" w:line="240" w:lineRule="auto"/>
        <w:jc w:val="left"/>
        <w:rPr>
          <w:rFonts w:cs="Arial"/>
          <w:szCs w:val="20"/>
        </w:rPr>
      </w:pPr>
    </w:p>
    <w:p w14:paraId="04D3BCFA" w14:textId="77777777" w:rsidR="00DC1372" w:rsidRPr="005365AD" w:rsidRDefault="00DC1372" w:rsidP="00DC1372">
      <w:pPr>
        <w:autoSpaceDE w:val="0"/>
        <w:autoSpaceDN w:val="0"/>
        <w:adjustRightInd w:val="0"/>
        <w:spacing w:before="0" w:line="240" w:lineRule="auto"/>
        <w:jc w:val="left"/>
        <w:rPr>
          <w:rFonts w:cs="Arial"/>
          <w:szCs w:val="20"/>
        </w:rPr>
      </w:pPr>
      <w:r w:rsidRPr="005365AD">
        <w:rPr>
          <w:rFonts w:cs="Arial"/>
          <w:szCs w:val="20"/>
        </w:rPr>
        <w:t>This product is for research use only and is not intended for diagnostic use.</w:t>
      </w:r>
    </w:p>
    <w:p w14:paraId="04D3BCFB" w14:textId="77777777" w:rsidR="00DC1372" w:rsidRDefault="00DC1372" w:rsidP="00DC1372">
      <w:pPr>
        <w:autoSpaceDE w:val="0"/>
        <w:autoSpaceDN w:val="0"/>
        <w:adjustRightInd w:val="0"/>
        <w:spacing w:before="0" w:line="240" w:lineRule="auto"/>
        <w:jc w:val="left"/>
        <w:rPr>
          <w:rFonts w:cs="Arial"/>
          <w:sz w:val="28"/>
          <w:szCs w:val="28"/>
          <w:highlight w:val="lightGray"/>
        </w:rPr>
      </w:pPr>
    </w:p>
    <w:p w14:paraId="164E089C" w14:textId="3293F05D" w:rsidR="005365AD" w:rsidRPr="0086621A" w:rsidRDefault="0086621A" w:rsidP="00DC1372">
      <w:pPr>
        <w:autoSpaceDE w:val="0"/>
        <w:autoSpaceDN w:val="0"/>
        <w:adjustRightInd w:val="0"/>
        <w:spacing w:before="0" w:line="240" w:lineRule="auto"/>
        <w:jc w:val="left"/>
        <w:rPr>
          <w:rFonts w:cs="Arial"/>
          <w:sz w:val="14"/>
          <w:szCs w:val="14"/>
          <w:highlight w:val="lightGray"/>
        </w:rPr>
      </w:pPr>
      <w:r w:rsidRPr="0086621A">
        <w:rPr>
          <w:rFonts w:cs="Arial"/>
          <w:szCs w:val="20"/>
        </w:rPr>
        <w:t xml:space="preserve">PLEASE NOTE: With the acquisition of </w:t>
      </w:r>
      <w:proofErr w:type="spellStart"/>
      <w:r w:rsidRPr="0086621A">
        <w:rPr>
          <w:rFonts w:cs="Arial"/>
          <w:szCs w:val="20"/>
        </w:rPr>
        <w:t>BioVision</w:t>
      </w:r>
      <w:proofErr w:type="spellEnd"/>
      <w:r w:rsidRPr="0086621A">
        <w:rPr>
          <w:rFonts w:cs="Arial"/>
          <w:szCs w:val="20"/>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04D3BCFC" w14:textId="77777777" w:rsidR="008B2920" w:rsidRPr="0086621A" w:rsidRDefault="008B2920">
      <w:pPr>
        <w:spacing w:before="0" w:line="240" w:lineRule="auto"/>
        <w:jc w:val="left"/>
        <w:rPr>
          <w:rFonts w:cs="Arial"/>
          <w:sz w:val="14"/>
          <w:szCs w:val="18"/>
          <w:lang w:val="en-AU"/>
        </w:rPr>
      </w:pPr>
      <w:r w:rsidRPr="0086621A">
        <w:rPr>
          <w:rFonts w:cs="Arial"/>
          <w:sz w:val="14"/>
          <w:szCs w:val="18"/>
          <w:lang w:val="en-AU"/>
        </w:rPr>
        <w:br w:type="page"/>
      </w:r>
    </w:p>
    <w:p w14:paraId="04D3BCFD" w14:textId="77777777" w:rsidR="0035257C" w:rsidRDefault="0035257C" w:rsidP="0035257C">
      <w:pPr>
        <w:pStyle w:val="Heading1"/>
        <w:numPr>
          <w:ilvl w:val="0"/>
          <w:numId w:val="0"/>
        </w:numPr>
        <w:spacing w:before="0"/>
      </w:pPr>
      <w:bookmarkStart w:id="0" w:name="_Toc315440409"/>
      <w:r>
        <w:lastRenderedPageBreak/>
        <w:t>Table of Contents</w:t>
      </w:r>
      <w:bookmarkEnd w:id="0"/>
    </w:p>
    <w:p w14:paraId="04D3BCFE" w14:textId="77777777" w:rsidR="0035257C" w:rsidRDefault="0035257C" w:rsidP="0035257C">
      <w:pPr>
        <w:pStyle w:val="TOC1"/>
        <w:rPr>
          <w:rFonts w:ascii="Cambria" w:hAnsi="Cambria"/>
          <w:noProof/>
          <w:sz w:val="22"/>
          <w:szCs w:val="22"/>
        </w:rPr>
      </w:pPr>
      <w:r>
        <w:fldChar w:fldCharType="begin"/>
      </w:r>
      <w:r>
        <w:instrText xml:space="preserve"> TOC \o "1-1" \u </w:instrText>
      </w:r>
      <w:r>
        <w:fldChar w:fldCharType="separate"/>
      </w:r>
      <w:r>
        <w:rPr>
          <w:noProof/>
        </w:rPr>
        <w:t>1.</w:t>
      </w:r>
      <w:r>
        <w:rPr>
          <w:rFonts w:ascii="Cambria" w:hAnsi="Cambria"/>
          <w:noProof/>
          <w:sz w:val="22"/>
          <w:szCs w:val="22"/>
        </w:rPr>
        <w:tab/>
      </w:r>
      <w:r>
        <w:rPr>
          <w:noProof/>
        </w:rPr>
        <w:t>Overview</w:t>
      </w:r>
      <w:r>
        <w:rPr>
          <w:noProof/>
        </w:rPr>
        <w:tab/>
        <w:t>3</w:t>
      </w:r>
    </w:p>
    <w:p w14:paraId="04D3BCFF" w14:textId="77777777" w:rsidR="0035257C" w:rsidRDefault="0035257C" w:rsidP="0035257C">
      <w:pPr>
        <w:pStyle w:val="TOC1"/>
        <w:rPr>
          <w:rFonts w:ascii="Cambria" w:hAnsi="Cambria"/>
          <w:noProof/>
          <w:sz w:val="22"/>
          <w:szCs w:val="22"/>
        </w:rPr>
      </w:pPr>
      <w:r>
        <w:rPr>
          <w:noProof/>
        </w:rPr>
        <w:t>2.</w:t>
      </w:r>
      <w:r>
        <w:rPr>
          <w:rFonts w:ascii="Cambria" w:hAnsi="Cambria"/>
          <w:noProof/>
          <w:sz w:val="22"/>
          <w:szCs w:val="22"/>
        </w:rPr>
        <w:tab/>
      </w:r>
      <w:r>
        <w:rPr>
          <w:noProof/>
        </w:rPr>
        <w:t>Protocol Summary</w:t>
      </w:r>
      <w:r>
        <w:rPr>
          <w:noProof/>
        </w:rPr>
        <w:tab/>
        <w:t>4</w:t>
      </w:r>
    </w:p>
    <w:p w14:paraId="04D3BD00" w14:textId="77777777" w:rsidR="0035257C" w:rsidRDefault="0035257C" w:rsidP="0035257C">
      <w:pPr>
        <w:pStyle w:val="TOC1"/>
        <w:rPr>
          <w:rFonts w:ascii="Cambria" w:hAnsi="Cambria"/>
          <w:noProof/>
          <w:sz w:val="22"/>
          <w:szCs w:val="22"/>
        </w:rPr>
      </w:pPr>
      <w:r>
        <w:rPr>
          <w:noProof/>
        </w:rPr>
        <w:t>3.</w:t>
      </w:r>
      <w:r>
        <w:rPr>
          <w:rFonts w:ascii="Cambria" w:hAnsi="Cambria"/>
          <w:noProof/>
          <w:sz w:val="22"/>
          <w:szCs w:val="22"/>
        </w:rPr>
        <w:tab/>
      </w:r>
      <w:r>
        <w:rPr>
          <w:noProof/>
        </w:rPr>
        <w:t>Components and Storage</w:t>
      </w:r>
      <w:r>
        <w:rPr>
          <w:noProof/>
        </w:rPr>
        <w:tab/>
      </w:r>
      <w:r>
        <w:rPr>
          <w:noProof/>
        </w:rPr>
        <w:fldChar w:fldCharType="begin"/>
      </w:r>
      <w:r>
        <w:rPr>
          <w:noProof/>
        </w:rPr>
        <w:instrText xml:space="preserve"> PAGEREF _Toc315440412 \h </w:instrText>
      </w:r>
      <w:r>
        <w:rPr>
          <w:noProof/>
        </w:rPr>
      </w:r>
      <w:r>
        <w:rPr>
          <w:noProof/>
        </w:rPr>
        <w:fldChar w:fldCharType="separate"/>
      </w:r>
      <w:r w:rsidR="00B23059">
        <w:rPr>
          <w:noProof/>
        </w:rPr>
        <w:t>5</w:t>
      </w:r>
      <w:r>
        <w:rPr>
          <w:noProof/>
        </w:rPr>
        <w:fldChar w:fldCharType="end"/>
      </w:r>
    </w:p>
    <w:p w14:paraId="04D3BD01" w14:textId="77777777" w:rsidR="0035257C" w:rsidRDefault="0035257C" w:rsidP="0035257C">
      <w:pPr>
        <w:pStyle w:val="TOC1"/>
        <w:rPr>
          <w:rFonts w:ascii="Cambria" w:hAnsi="Cambria"/>
          <w:noProof/>
          <w:sz w:val="22"/>
          <w:szCs w:val="22"/>
        </w:rPr>
      </w:pPr>
      <w:r>
        <w:rPr>
          <w:noProof/>
        </w:rPr>
        <w:t>4.</w:t>
      </w:r>
      <w:r>
        <w:rPr>
          <w:rFonts w:ascii="Cambria" w:hAnsi="Cambria"/>
          <w:noProof/>
          <w:sz w:val="22"/>
          <w:szCs w:val="22"/>
        </w:rPr>
        <w:tab/>
      </w:r>
      <w:r>
        <w:rPr>
          <w:noProof/>
        </w:rPr>
        <w:t>Assay Protocol</w:t>
      </w:r>
      <w:r>
        <w:rPr>
          <w:noProof/>
        </w:rPr>
        <w:tab/>
        <w:t>7</w:t>
      </w:r>
    </w:p>
    <w:p w14:paraId="04D3BD02" w14:textId="77777777" w:rsidR="0035257C" w:rsidRDefault="0035257C" w:rsidP="0035257C">
      <w:pPr>
        <w:pStyle w:val="TOC1"/>
        <w:rPr>
          <w:noProof/>
        </w:rPr>
      </w:pPr>
      <w:r>
        <w:rPr>
          <w:noProof/>
        </w:rPr>
        <w:t>5.</w:t>
      </w:r>
      <w:r>
        <w:rPr>
          <w:rFonts w:ascii="Cambria" w:hAnsi="Cambria"/>
          <w:noProof/>
          <w:sz w:val="22"/>
          <w:szCs w:val="22"/>
        </w:rPr>
        <w:tab/>
      </w:r>
      <w:r>
        <w:rPr>
          <w:noProof/>
        </w:rPr>
        <w:t>Data Analysis</w:t>
      </w:r>
      <w:r>
        <w:rPr>
          <w:noProof/>
        </w:rPr>
        <w:tab/>
        <w:t>9</w:t>
      </w:r>
    </w:p>
    <w:p w14:paraId="04D3BD03" w14:textId="77777777" w:rsidR="0035257C" w:rsidRDefault="0035257C" w:rsidP="0035257C">
      <w:pPr>
        <w:pStyle w:val="TOC1"/>
        <w:rPr>
          <w:noProof/>
        </w:rPr>
      </w:pPr>
      <w:r>
        <w:rPr>
          <w:noProof/>
        </w:rPr>
        <w:t>6.</w:t>
      </w:r>
      <w:r>
        <w:rPr>
          <w:rFonts w:ascii="Cambria" w:hAnsi="Cambria"/>
          <w:noProof/>
          <w:sz w:val="22"/>
          <w:szCs w:val="22"/>
        </w:rPr>
        <w:tab/>
      </w:r>
      <w:r>
        <w:rPr>
          <w:noProof/>
        </w:rPr>
        <w:t>Troubleshooting</w:t>
      </w:r>
      <w:r>
        <w:rPr>
          <w:noProof/>
        </w:rPr>
        <w:tab/>
        <w:t>10</w:t>
      </w:r>
    </w:p>
    <w:p w14:paraId="04D3BD04" w14:textId="77777777" w:rsidR="0035257C" w:rsidRPr="007C4420" w:rsidRDefault="0035257C" w:rsidP="0035257C"/>
    <w:p w14:paraId="04D3BD05" w14:textId="77777777" w:rsidR="0035257C" w:rsidRDefault="0035257C" w:rsidP="0035257C"/>
    <w:p w14:paraId="04D3BD06" w14:textId="77777777" w:rsidR="0035257C" w:rsidRDefault="0035257C" w:rsidP="0035257C"/>
    <w:p w14:paraId="04D3BD07" w14:textId="77777777" w:rsidR="0035257C" w:rsidRDefault="0035257C" w:rsidP="0035257C"/>
    <w:p w14:paraId="04D3BD08" w14:textId="77777777" w:rsidR="0035257C" w:rsidRDefault="0035257C" w:rsidP="0035257C"/>
    <w:p w14:paraId="04D3BD09" w14:textId="77777777" w:rsidR="0035257C" w:rsidRDefault="0035257C" w:rsidP="0035257C"/>
    <w:p w14:paraId="04D3BD0A" w14:textId="77777777" w:rsidR="0035257C" w:rsidRPr="00404AD8" w:rsidRDefault="0035257C" w:rsidP="0035257C"/>
    <w:p w14:paraId="04D3BD0B" w14:textId="77777777" w:rsidR="0035257C" w:rsidRDefault="0035257C" w:rsidP="0035257C">
      <w:pPr>
        <w:pStyle w:val="Heading1"/>
        <w:spacing w:before="0"/>
        <w:ind w:left="502"/>
      </w:pPr>
      <w:r>
        <w:lastRenderedPageBreak/>
        <w:fldChar w:fldCharType="end"/>
      </w:r>
      <w:bookmarkStart w:id="1" w:name="_Toc315440410"/>
      <w:r>
        <w:t>Overview</w:t>
      </w:r>
      <w:bookmarkEnd w:id="1"/>
    </w:p>
    <w:p w14:paraId="04D3BD0C" w14:textId="77777777" w:rsidR="0035257C" w:rsidRDefault="0035257C" w:rsidP="0035257C">
      <w:bookmarkStart w:id="2" w:name="_Toc315440411"/>
      <w:r>
        <w:t xml:space="preserve">Cell death or cytotoxicity is classically evaluated by the quantification of plasma membrane damage. Abcam’s LDH-Cytotoxicity Assay Kit provides a fast and simple method for quantitating cytotoxicity based on the measurement of activity of lactate dehydrogenase (LDH) released from damaged cells. </w:t>
      </w:r>
    </w:p>
    <w:p w14:paraId="04D3BD0D" w14:textId="77777777" w:rsidR="0035257C" w:rsidRDefault="0035257C" w:rsidP="0035257C">
      <w:r>
        <w:t xml:space="preserve">Unlike many other cytoplasmic enzymes which exist in many cells either in low amount (e.g., alkaline and acid phosphatase) or unstable, LDH is a stable cytoplasmic enzyme present in all cells and rapidly released into the cell culture supernatant upon damage of the plasma membrane. LDH activity can be determined by a coupled enzymatic reaction: LDH oxidizes lactate to pyruvate which then reacts with tetrazolium salt INT to form formazan. The increase in the amount of formazan produced in culture supernatant directly correlates to the increase in the number of lysed cells. The formazan dye is water-soluble and can be detected by spectrophotometer at 500 nm. </w:t>
      </w:r>
    </w:p>
    <w:p w14:paraId="04D3BD0E" w14:textId="77777777" w:rsidR="0035257C" w:rsidRDefault="0035257C" w:rsidP="0035257C">
      <w:pPr>
        <w:rPr>
          <w:lang w:val="en-GB"/>
        </w:rPr>
      </w:pPr>
      <w:r>
        <w:t>The LDH-cytotoxicity assay is sensitive, convenient, and precise, and is applicable to a variety of cytotoxicity studies. Assay takes ~0.5-1 hr.</w:t>
      </w:r>
    </w:p>
    <w:p w14:paraId="04D3BD0F" w14:textId="77777777" w:rsidR="0035257C" w:rsidRDefault="0035257C" w:rsidP="0035257C"/>
    <w:p w14:paraId="6EE47879" w14:textId="77777777" w:rsidR="006238C7" w:rsidRDefault="006238C7" w:rsidP="0035257C"/>
    <w:p w14:paraId="04D3BD10" w14:textId="77777777" w:rsidR="0035257C" w:rsidRDefault="0035257C" w:rsidP="0035257C">
      <w:pPr>
        <w:pStyle w:val="Heading1"/>
        <w:spacing w:before="0"/>
        <w:ind w:left="502"/>
      </w:pPr>
      <w:r>
        <w:lastRenderedPageBreak/>
        <w:t>Protocol Summary</w:t>
      </w:r>
      <w:bookmarkEnd w:id="2"/>
    </w:p>
    <w:p w14:paraId="04D3BD11" w14:textId="77777777" w:rsidR="0035257C" w:rsidRDefault="0035257C" w:rsidP="0035257C">
      <w:pPr>
        <w:pStyle w:val="ListParagraph"/>
        <w:spacing w:before="0"/>
        <w:ind w:left="426" w:firstLine="0"/>
        <w:jc w:val="center"/>
        <w:rPr>
          <w:b/>
        </w:rPr>
      </w:pPr>
    </w:p>
    <w:p w14:paraId="04D3BD12" w14:textId="77777777" w:rsidR="0035257C" w:rsidRDefault="00A50666" w:rsidP="0035257C">
      <w:pPr>
        <w:spacing w:before="0"/>
        <w:ind w:left="426"/>
        <w:jc w:val="center"/>
      </w:pPr>
      <w:r>
        <w:rPr>
          <w:noProof/>
          <w:lang w:val="en-GB" w:eastAsia="en-GB"/>
        </w:rPr>
        <mc:AlternateContent>
          <mc:Choice Requires="wps">
            <w:drawing>
              <wp:anchor distT="0" distB="0" distL="114300" distR="114300" simplePos="0" relativeHeight="251660800" behindDoc="0" locked="0" layoutInCell="1" allowOverlap="1" wp14:anchorId="04D3BDF2" wp14:editId="04D3BDF3">
                <wp:simplePos x="0" y="0"/>
                <wp:positionH relativeFrom="margin">
                  <wp:posOffset>2018030</wp:posOffset>
                </wp:positionH>
                <wp:positionV relativeFrom="paragraph">
                  <wp:posOffset>167640</wp:posOffset>
                </wp:positionV>
                <wp:extent cx="180975" cy="231140"/>
                <wp:effectExtent l="22225" t="12700" r="25400"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0EA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9pt;margin-top:13.2pt;width:14.25pt;height:18.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">
                <w10:wrap anchorx="margin"/>
              </v:shape>
            </w:pict>
          </mc:Fallback>
        </mc:AlternateContent>
      </w:r>
      <w:r w:rsidR="0035257C" w:rsidRPr="004465CF">
        <w:t>Sample Preparation</w:t>
      </w:r>
    </w:p>
    <w:p w14:paraId="04D3BD13" w14:textId="77777777" w:rsidR="0035257C" w:rsidRDefault="0035257C" w:rsidP="0035257C">
      <w:pPr>
        <w:spacing w:before="0"/>
        <w:ind w:left="426"/>
        <w:jc w:val="center"/>
      </w:pPr>
    </w:p>
    <w:p w14:paraId="04D3BD14" w14:textId="77777777" w:rsidR="0035257C" w:rsidRDefault="00A50666" w:rsidP="0035257C">
      <w:pPr>
        <w:spacing w:before="0"/>
        <w:ind w:left="426"/>
        <w:jc w:val="center"/>
      </w:pPr>
      <w:r>
        <w:rPr>
          <w:noProof/>
          <w:lang w:val="en-GB" w:eastAsia="en-GB"/>
        </w:rPr>
        <mc:AlternateContent>
          <mc:Choice Requires="wps">
            <w:drawing>
              <wp:anchor distT="0" distB="0" distL="114300" distR="114300" simplePos="0" relativeHeight="251661824" behindDoc="0" locked="0" layoutInCell="1" allowOverlap="1" wp14:anchorId="04D3BDF4" wp14:editId="04D3BDF5">
                <wp:simplePos x="0" y="0"/>
                <wp:positionH relativeFrom="margin">
                  <wp:posOffset>2018030</wp:posOffset>
                </wp:positionH>
                <wp:positionV relativeFrom="paragraph">
                  <wp:posOffset>182880</wp:posOffset>
                </wp:positionV>
                <wp:extent cx="180975" cy="231140"/>
                <wp:effectExtent l="22225" t="8890" r="25400" b="762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CC93D" id="AutoShape 9" o:spid="_x0000_s1026" type="#_x0000_t67" style="position:absolute;margin-left:158.9pt;margin-top:14.4pt;width:14.25pt;height:18.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">
                <w10:wrap anchorx="margin"/>
              </v:shape>
            </w:pict>
          </mc:Fallback>
        </mc:AlternateContent>
      </w:r>
      <w:r w:rsidR="0035257C">
        <w:rPr>
          <w:noProof/>
          <w:lang w:val="en-GB" w:eastAsia="en-GB"/>
        </w:rPr>
        <w:t>Sample Incubation</w:t>
      </w:r>
    </w:p>
    <w:p w14:paraId="04D3BD15" w14:textId="77777777" w:rsidR="0035257C" w:rsidRDefault="0035257C" w:rsidP="0035257C">
      <w:pPr>
        <w:spacing w:before="0"/>
        <w:ind w:left="426"/>
        <w:jc w:val="center"/>
      </w:pPr>
    </w:p>
    <w:p w14:paraId="04D3BD16" w14:textId="77777777" w:rsidR="0035257C" w:rsidRDefault="00A50666" w:rsidP="0035257C">
      <w:pPr>
        <w:spacing w:before="0"/>
        <w:ind w:left="426"/>
        <w:jc w:val="center"/>
      </w:pPr>
      <w:r>
        <w:rPr>
          <w:noProof/>
          <w:lang w:val="en-GB" w:eastAsia="en-GB"/>
        </w:rPr>
        <mc:AlternateContent>
          <mc:Choice Requires="wps">
            <w:drawing>
              <wp:anchor distT="0" distB="0" distL="114300" distR="114300" simplePos="0" relativeHeight="251662848" behindDoc="0" locked="0" layoutInCell="1" allowOverlap="1" wp14:anchorId="04D3BDF6" wp14:editId="04D3BDF7">
                <wp:simplePos x="0" y="0"/>
                <wp:positionH relativeFrom="margin">
                  <wp:posOffset>2018030</wp:posOffset>
                </wp:positionH>
                <wp:positionV relativeFrom="paragraph">
                  <wp:posOffset>193675</wp:posOffset>
                </wp:positionV>
                <wp:extent cx="180975" cy="231140"/>
                <wp:effectExtent l="22225" t="10160" r="25400" b="1587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D8420" id="AutoShape 10" o:spid="_x0000_s1026" type="#_x0000_t67" style="position:absolute;margin-left:158.9pt;margin-top:15.25pt;width:14.25pt;height:18.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">
                <w10:wrap anchorx="margin"/>
              </v:shape>
            </w:pict>
          </mc:Fallback>
        </mc:AlternateContent>
      </w:r>
      <w:r w:rsidR="0035257C">
        <w:t>Prepare and Add Reaction Mixture</w:t>
      </w:r>
    </w:p>
    <w:p w14:paraId="04D3BD17" w14:textId="77777777" w:rsidR="0035257C" w:rsidRDefault="0035257C" w:rsidP="0035257C">
      <w:pPr>
        <w:spacing w:before="0"/>
        <w:ind w:left="426"/>
        <w:jc w:val="center"/>
      </w:pPr>
    </w:p>
    <w:p w14:paraId="04D3BD18" w14:textId="77777777" w:rsidR="0035257C" w:rsidRDefault="0035257C" w:rsidP="0035257C">
      <w:pPr>
        <w:spacing w:before="0"/>
        <w:ind w:left="426"/>
        <w:jc w:val="center"/>
      </w:pPr>
      <w:r>
        <w:t>Measure Absorbance</w:t>
      </w:r>
    </w:p>
    <w:p w14:paraId="04D3BD19" w14:textId="77777777" w:rsidR="0035257C" w:rsidRDefault="0035257C" w:rsidP="0035257C">
      <w:pPr>
        <w:ind w:left="426"/>
      </w:pPr>
    </w:p>
    <w:p w14:paraId="04D3BD1A" w14:textId="77777777" w:rsidR="0035257C" w:rsidRDefault="0035257C" w:rsidP="0035257C">
      <w:pPr>
        <w:ind w:left="426"/>
      </w:pPr>
    </w:p>
    <w:p w14:paraId="04D3BD1B" w14:textId="77777777" w:rsidR="0035257C" w:rsidRDefault="0035257C" w:rsidP="0035257C">
      <w:pPr>
        <w:ind w:left="426"/>
      </w:pPr>
    </w:p>
    <w:p w14:paraId="04D3BD1C" w14:textId="77777777" w:rsidR="0035257C" w:rsidRDefault="0035257C" w:rsidP="0035257C">
      <w:pPr>
        <w:ind w:left="426"/>
      </w:pPr>
    </w:p>
    <w:p w14:paraId="04D3BD1D" w14:textId="77777777" w:rsidR="0035257C" w:rsidRDefault="0035257C" w:rsidP="0035257C">
      <w:pPr>
        <w:ind w:left="426"/>
      </w:pPr>
    </w:p>
    <w:p w14:paraId="04D3BD1E" w14:textId="77777777" w:rsidR="0035257C" w:rsidRDefault="0035257C" w:rsidP="0035257C">
      <w:pPr>
        <w:ind w:left="426"/>
      </w:pPr>
    </w:p>
    <w:p w14:paraId="04D3BD1F" w14:textId="77777777" w:rsidR="0035257C" w:rsidRDefault="0035257C" w:rsidP="0035257C">
      <w:pPr>
        <w:ind w:left="426"/>
      </w:pPr>
    </w:p>
    <w:p w14:paraId="04D3BD20" w14:textId="77777777" w:rsidR="0035257C" w:rsidRDefault="0035257C" w:rsidP="0035257C">
      <w:pPr>
        <w:ind w:left="426"/>
      </w:pPr>
    </w:p>
    <w:p w14:paraId="04D3BD21" w14:textId="77777777" w:rsidR="0035257C" w:rsidRDefault="0035257C" w:rsidP="0035257C">
      <w:pPr>
        <w:pStyle w:val="Heading1"/>
        <w:pBdr>
          <w:bottom w:val="single" w:sz="4" w:space="6" w:color="auto"/>
        </w:pBdr>
        <w:spacing w:before="0"/>
        <w:ind w:left="426"/>
      </w:pPr>
      <w:bookmarkStart w:id="3" w:name="_Toc315440412"/>
      <w:bookmarkStart w:id="4" w:name="_Toc271554832"/>
      <w:bookmarkStart w:id="5" w:name="_Toc273532551"/>
      <w:r>
        <w:lastRenderedPageBreak/>
        <w:t>Components and Storage</w:t>
      </w:r>
      <w:bookmarkEnd w:id="3"/>
    </w:p>
    <w:p w14:paraId="04D3BD22" w14:textId="77777777" w:rsidR="0035257C" w:rsidRPr="004F1FBE" w:rsidRDefault="0035257C" w:rsidP="0035257C">
      <w:pPr>
        <w:pStyle w:val="ListParagraph"/>
        <w:numPr>
          <w:ilvl w:val="0"/>
          <w:numId w:val="20"/>
        </w:numPr>
        <w:rPr>
          <w:b/>
        </w:rPr>
      </w:pPr>
      <w:r w:rsidRPr="004F1FBE">
        <w:rPr>
          <w:b/>
        </w:rPr>
        <w:t xml:space="preserve">Kit Components </w:t>
      </w:r>
    </w:p>
    <w:tbl>
      <w:tblPr>
        <w:tblW w:w="0" w:type="auto"/>
        <w:jc w:val="center"/>
        <w:tblBorders>
          <w:top w:val="single" w:sz="8" w:space="0" w:color="000000"/>
          <w:bottom w:val="single" w:sz="8" w:space="0" w:color="000000"/>
        </w:tblBorders>
        <w:tblLayout w:type="fixed"/>
        <w:tblLook w:val="00A0" w:firstRow="1" w:lastRow="0" w:firstColumn="1" w:lastColumn="0" w:noHBand="0" w:noVBand="0"/>
      </w:tblPr>
      <w:tblGrid>
        <w:gridCol w:w="3611"/>
        <w:gridCol w:w="1276"/>
      </w:tblGrid>
      <w:tr w:rsidR="0035257C" w:rsidRPr="00913AF2" w14:paraId="04D3BD25" w14:textId="77777777" w:rsidTr="007E3D65">
        <w:trPr>
          <w:jc w:val="center"/>
        </w:trPr>
        <w:tc>
          <w:tcPr>
            <w:tcW w:w="3611" w:type="dxa"/>
            <w:tcBorders>
              <w:top w:val="single" w:sz="8" w:space="0" w:color="000000"/>
              <w:left w:val="nil"/>
              <w:bottom w:val="single" w:sz="8" w:space="0" w:color="000000"/>
              <w:right w:val="nil"/>
            </w:tcBorders>
          </w:tcPr>
          <w:p w14:paraId="04D3BD23" w14:textId="77777777" w:rsidR="0035257C" w:rsidRPr="00913AF2" w:rsidRDefault="0035257C" w:rsidP="007E3D65">
            <w:pPr>
              <w:autoSpaceDE w:val="0"/>
              <w:autoSpaceDN w:val="0"/>
              <w:adjustRightInd w:val="0"/>
              <w:spacing w:after="240" w:line="240" w:lineRule="auto"/>
              <w:rPr>
                <w:rFonts w:cs="Arial"/>
                <w:b/>
                <w:bCs/>
                <w:color w:val="000000"/>
                <w:sz w:val="18"/>
                <w:szCs w:val="18"/>
                <w:lang w:val="en-GB"/>
              </w:rPr>
            </w:pPr>
            <w:r w:rsidRPr="00913AF2">
              <w:rPr>
                <w:rFonts w:cs="Arial"/>
                <w:b/>
                <w:bCs/>
                <w:color w:val="000000"/>
                <w:sz w:val="18"/>
                <w:szCs w:val="18"/>
                <w:lang w:val="en-GB"/>
              </w:rPr>
              <w:t>Item</w:t>
            </w:r>
          </w:p>
        </w:tc>
        <w:tc>
          <w:tcPr>
            <w:tcW w:w="1276" w:type="dxa"/>
            <w:tcBorders>
              <w:top w:val="single" w:sz="8" w:space="0" w:color="000000"/>
              <w:left w:val="nil"/>
              <w:bottom w:val="single" w:sz="8" w:space="0" w:color="000000"/>
              <w:right w:val="nil"/>
            </w:tcBorders>
          </w:tcPr>
          <w:p w14:paraId="04D3BD24" w14:textId="77777777" w:rsidR="0035257C" w:rsidRPr="00913AF2" w:rsidRDefault="0035257C" w:rsidP="007E3D65">
            <w:pPr>
              <w:autoSpaceDE w:val="0"/>
              <w:autoSpaceDN w:val="0"/>
              <w:adjustRightInd w:val="0"/>
              <w:spacing w:after="240" w:line="240" w:lineRule="auto"/>
              <w:jc w:val="right"/>
              <w:rPr>
                <w:rFonts w:cs="Arial"/>
                <w:b/>
                <w:bCs/>
                <w:color w:val="000000"/>
                <w:sz w:val="18"/>
                <w:szCs w:val="18"/>
                <w:lang w:val="en-GB"/>
              </w:rPr>
            </w:pPr>
            <w:r w:rsidRPr="00913AF2">
              <w:rPr>
                <w:rFonts w:cs="Arial"/>
                <w:b/>
                <w:bCs/>
                <w:color w:val="000000"/>
                <w:sz w:val="18"/>
                <w:szCs w:val="18"/>
                <w:lang w:val="en-GB"/>
              </w:rPr>
              <w:t>Quantity</w:t>
            </w:r>
          </w:p>
        </w:tc>
      </w:tr>
      <w:tr w:rsidR="0035257C" w:rsidRPr="00913AF2" w14:paraId="04D3BD28" w14:textId="77777777" w:rsidTr="007E3D65">
        <w:trPr>
          <w:jc w:val="center"/>
        </w:trPr>
        <w:tc>
          <w:tcPr>
            <w:tcW w:w="3611" w:type="dxa"/>
            <w:tcBorders>
              <w:left w:val="nil"/>
              <w:right w:val="nil"/>
            </w:tcBorders>
          </w:tcPr>
          <w:p w14:paraId="04D3BD26" w14:textId="75285DC0" w:rsidR="0035257C" w:rsidRPr="00913AF2" w:rsidRDefault="00EE0662" w:rsidP="00EE0662">
            <w:pPr>
              <w:autoSpaceDE w:val="0"/>
              <w:autoSpaceDN w:val="0"/>
              <w:adjustRightInd w:val="0"/>
              <w:spacing w:line="240" w:lineRule="auto"/>
              <w:jc w:val="left"/>
              <w:rPr>
                <w:rFonts w:cs="Arial"/>
                <w:b/>
                <w:bCs/>
                <w:color w:val="000000"/>
                <w:sz w:val="18"/>
                <w:szCs w:val="18"/>
              </w:rPr>
            </w:pPr>
            <w:r>
              <w:rPr>
                <w:rFonts w:cs="Arial"/>
                <w:bCs/>
                <w:color w:val="000000"/>
                <w:sz w:val="18"/>
                <w:szCs w:val="18"/>
              </w:rPr>
              <w:t>LDH Catalyst Reagent/</w:t>
            </w:r>
            <w:r w:rsidR="0035257C" w:rsidRPr="00913AF2">
              <w:rPr>
                <w:rFonts w:cs="Arial"/>
                <w:bCs/>
                <w:color w:val="000000"/>
                <w:sz w:val="18"/>
                <w:szCs w:val="18"/>
              </w:rPr>
              <w:t>Catalyst (</w:t>
            </w:r>
            <w:r w:rsidR="0035257C">
              <w:rPr>
                <w:rFonts w:cs="Arial"/>
                <w:bCs/>
                <w:color w:val="000000"/>
                <w:sz w:val="18"/>
                <w:szCs w:val="18"/>
              </w:rPr>
              <w:t>L</w:t>
            </w:r>
            <w:r w:rsidR="0035257C" w:rsidRPr="00913AF2">
              <w:rPr>
                <w:rFonts w:cs="Arial"/>
                <w:bCs/>
                <w:color w:val="000000"/>
                <w:sz w:val="18"/>
                <w:szCs w:val="18"/>
              </w:rPr>
              <w:t xml:space="preserve">yophilized) </w:t>
            </w:r>
          </w:p>
        </w:tc>
        <w:tc>
          <w:tcPr>
            <w:tcW w:w="1276" w:type="dxa"/>
            <w:tcBorders>
              <w:left w:val="nil"/>
              <w:right w:val="nil"/>
            </w:tcBorders>
          </w:tcPr>
          <w:p w14:paraId="04D3BD27" w14:textId="77777777" w:rsidR="0035257C" w:rsidRPr="00913AF2" w:rsidRDefault="0035257C" w:rsidP="007E3D65">
            <w:pPr>
              <w:autoSpaceDE w:val="0"/>
              <w:autoSpaceDN w:val="0"/>
              <w:adjustRightInd w:val="0"/>
              <w:spacing w:line="276" w:lineRule="auto"/>
              <w:jc w:val="right"/>
              <w:rPr>
                <w:rFonts w:cs="Arial"/>
                <w:color w:val="000000"/>
                <w:sz w:val="18"/>
                <w:szCs w:val="18"/>
                <w:lang w:val="en-GB"/>
              </w:rPr>
            </w:pPr>
            <w:r w:rsidRPr="00913AF2">
              <w:rPr>
                <w:rFonts w:cs="Arial"/>
                <w:color w:val="000000"/>
                <w:sz w:val="18"/>
                <w:szCs w:val="18"/>
                <w:lang w:val="en-GB"/>
              </w:rPr>
              <w:t>1 vial</w:t>
            </w:r>
          </w:p>
        </w:tc>
      </w:tr>
      <w:tr w:rsidR="0035257C" w:rsidRPr="00913AF2" w14:paraId="04D3BD2B" w14:textId="77777777" w:rsidTr="007E3D65">
        <w:trPr>
          <w:jc w:val="center"/>
        </w:trPr>
        <w:tc>
          <w:tcPr>
            <w:tcW w:w="3611" w:type="dxa"/>
            <w:tcBorders>
              <w:bottom w:val="single" w:sz="8" w:space="0" w:color="000000"/>
            </w:tcBorders>
          </w:tcPr>
          <w:p w14:paraId="04D3BD29" w14:textId="20C16DFA" w:rsidR="0035257C" w:rsidRPr="00913AF2" w:rsidRDefault="009B6805" w:rsidP="007E3D65">
            <w:pPr>
              <w:rPr>
                <w:b/>
                <w:bCs/>
                <w:color w:val="000000"/>
                <w:sz w:val="18"/>
                <w:szCs w:val="18"/>
              </w:rPr>
            </w:pPr>
            <w:r>
              <w:rPr>
                <w:rFonts w:cs="Arial"/>
                <w:bCs/>
                <w:color w:val="000000"/>
                <w:sz w:val="18"/>
                <w:szCs w:val="18"/>
              </w:rPr>
              <w:t>Dye Solution I/</w:t>
            </w:r>
            <w:r w:rsidR="0035257C" w:rsidRPr="00913AF2">
              <w:rPr>
                <w:rFonts w:cs="Arial"/>
                <w:bCs/>
                <w:color w:val="000000"/>
                <w:sz w:val="18"/>
                <w:szCs w:val="18"/>
              </w:rPr>
              <w:t xml:space="preserve">Dye Solution </w:t>
            </w:r>
          </w:p>
        </w:tc>
        <w:tc>
          <w:tcPr>
            <w:tcW w:w="1276" w:type="dxa"/>
            <w:tcBorders>
              <w:bottom w:val="single" w:sz="8" w:space="0" w:color="000000"/>
            </w:tcBorders>
          </w:tcPr>
          <w:p w14:paraId="04D3BD2A" w14:textId="77777777" w:rsidR="0035257C" w:rsidRPr="00913AF2" w:rsidRDefault="0035257C" w:rsidP="007E3D65">
            <w:pPr>
              <w:autoSpaceDE w:val="0"/>
              <w:autoSpaceDN w:val="0"/>
              <w:adjustRightInd w:val="0"/>
              <w:spacing w:line="276" w:lineRule="auto"/>
              <w:jc w:val="right"/>
              <w:rPr>
                <w:rFonts w:cs="Arial"/>
                <w:color w:val="000000"/>
                <w:sz w:val="18"/>
                <w:szCs w:val="18"/>
                <w:lang w:val="en-GB"/>
              </w:rPr>
            </w:pPr>
            <w:r w:rsidRPr="00913AF2">
              <w:rPr>
                <w:rFonts w:cs="Arial"/>
                <w:color w:val="000000"/>
                <w:sz w:val="18"/>
                <w:szCs w:val="18"/>
                <w:lang w:val="en-GB"/>
              </w:rPr>
              <w:t>45 mL</w:t>
            </w:r>
          </w:p>
        </w:tc>
      </w:tr>
    </w:tbl>
    <w:p w14:paraId="04D3BD2C" w14:textId="77777777" w:rsidR="0035257C" w:rsidRDefault="0035257C" w:rsidP="0035257C">
      <w:r>
        <w:t xml:space="preserve">* </w:t>
      </w:r>
      <w:r w:rsidRPr="004465CF">
        <w:t xml:space="preserve">Store kit at </w:t>
      </w:r>
      <w:r>
        <w:t>-</w:t>
      </w:r>
      <w:r w:rsidRPr="004465CF">
        <w:t>20°C</w:t>
      </w:r>
    </w:p>
    <w:p w14:paraId="04D3BD2D" w14:textId="67339BDC" w:rsidR="0035257C" w:rsidRDefault="00B94086" w:rsidP="0035257C">
      <w:r>
        <w:t xml:space="preserve">LDH CATALYST </w:t>
      </w:r>
      <w:r w:rsidR="005365AD">
        <w:t>REAGENT/</w:t>
      </w:r>
      <w:r w:rsidR="0035257C">
        <w:t xml:space="preserve">CATALYST SOLUTION: </w:t>
      </w:r>
      <w:r w:rsidR="0035257C" w:rsidRPr="00016566">
        <w:t>Reconstitute the Catalyst in 1 ml ddH</w:t>
      </w:r>
      <w:r w:rsidR="0035257C" w:rsidRPr="00016566">
        <w:rPr>
          <w:vertAlign w:val="subscript"/>
        </w:rPr>
        <w:t>2</w:t>
      </w:r>
      <w:r w:rsidR="0035257C" w:rsidRPr="00016566">
        <w:t>O for 10 min and mix thoroughly. The Catalyst</w:t>
      </w:r>
      <w:r w:rsidR="0035257C">
        <w:t xml:space="preserve"> </w:t>
      </w:r>
      <w:r w:rsidR="0035257C" w:rsidRPr="00016566">
        <w:t xml:space="preserve">Solution is stable for several weeks at </w:t>
      </w:r>
      <w:r w:rsidR="0035257C">
        <w:t>+</w:t>
      </w:r>
      <w:r w:rsidR="0035257C" w:rsidRPr="00016566">
        <w:t>4°C.</w:t>
      </w:r>
    </w:p>
    <w:p w14:paraId="04D3BD2E" w14:textId="70F0904F" w:rsidR="0035257C" w:rsidRDefault="005365AD" w:rsidP="0035257C">
      <w:r>
        <w:t>DYE SOLUTION I/</w:t>
      </w:r>
      <w:r w:rsidR="0035257C">
        <w:t xml:space="preserve">DYE SOLUTION: After thawing, the </w:t>
      </w:r>
      <w:r>
        <w:t>Dye Solution I/</w:t>
      </w:r>
      <w:r w:rsidR="0035257C">
        <w:t>Dye Solution is stable for several weeks at +4°C. Avoid freeze/thaw cycles.</w:t>
      </w:r>
    </w:p>
    <w:p w14:paraId="04D3BD2F" w14:textId="4B1378AD" w:rsidR="0035257C" w:rsidRDefault="0035257C" w:rsidP="0035257C">
      <w:r>
        <w:t xml:space="preserve">REACTION MIXTURE: For 100 assays, mix 250 </w:t>
      </w:r>
      <w:proofErr w:type="spellStart"/>
      <w:r>
        <w:t>μl</w:t>
      </w:r>
      <w:proofErr w:type="spellEnd"/>
      <w:r>
        <w:t xml:space="preserve"> of Catalyst Solution with 11.25 ml of </w:t>
      </w:r>
      <w:r w:rsidR="005365AD">
        <w:t>Dye Solution I/</w:t>
      </w:r>
      <w:r>
        <w:t>Dye Solution. The mixture solution should be prepared immediately before use.</w:t>
      </w:r>
    </w:p>
    <w:p w14:paraId="04D3BD30" w14:textId="77777777" w:rsidR="0035257C" w:rsidRDefault="0035257C" w:rsidP="0035257C"/>
    <w:p w14:paraId="04D3BD31" w14:textId="77777777" w:rsidR="0035257C" w:rsidRDefault="0035257C" w:rsidP="0035257C"/>
    <w:p w14:paraId="04D3BD32" w14:textId="77777777" w:rsidR="0035257C" w:rsidRDefault="0035257C" w:rsidP="0035257C"/>
    <w:p w14:paraId="04D3BD33" w14:textId="77777777" w:rsidR="0035257C" w:rsidRPr="004F1FBE" w:rsidRDefault="0035257C" w:rsidP="0035257C">
      <w:pPr>
        <w:pStyle w:val="ListParagraph"/>
        <w:numPr>
          <w:ilvl w:val="0"/>
          <w:numId w:val="20"/>
        </w:numPr>
        <w:rPr>
          <w:b/>
        </w:rPr>
      </w:pPr>
      <w:r w:rsidRPr="004F1FBE">
        <w:rPr>
          <w:b/>
        </w:rPr>
        <w:t>Additional Materials Required</w:t>
      </w:r>
    </w:p>
    <w:p w14:paraId="04D3BD34" w14:textId="77777777" w:rsidR="0035257C" w:rsidRDefault="0035257C" w:rsidP="0035257C">
      <w:pPr>
        <w:pStyle w:val="ListParagraph"/>
        <w:numPr>
          <w:ilvl w:val="0"/>
          <w:numId w:val="19"/>
        </w:numPr>
        <w:ind w:left="851" w:hanging="357"/>
        <w:contextualSpacing w:val="0"/>
      </w:pPr>
      <w:r>
        <w:t>Microcentrifuge</w:t>
      </w:r>
    </w:p>
    <w:p w14:paraId="04D3BD35" w14:textId="77777777" w:rsidR="0035257C" w:rsidRDefault="0035257C" w:rsidP="0035257C">
      <w:pPr>
        <w:pStyle w:val="ListParagraph"/>
        <w:numPr>
          <w:ilvl w:val="0"/>
          <w:numId w:val="19"/>
        </w:numPr>
        <w:ind w:left="851" w:hanging="357"/>
        <w:contextualSpacing w:val="0"/>
      </w:pPr>
      <w:r>
        <w:t>Pipettes and pipette tips</w:t>
      </w:r>
    </w:p>
    <w:p w14:paraId="04D3BD36" w14:textId="77777777" w:rsidR="0035257C" w:rsidRDefault="0035257C" w:rsidP="0035257C">
      <w:pPr>
        <w:pStyle w:val="ListParagraph"/>
        <w:numPr>
          <w:ilvl w:val="0"/>
          <w:numId w:val="19"/>
        </w:numPr>
        <w:ind w:left="851" w:hanging="357"/>
        <w:contextualSpacing w:val="0"/>
      </w:pPr>
      <w:r>
        <w:t>Colorimetric microplate reader</w:t>
      </w:r>
    </w:p>
    <w:p w14:paraId="04D3BD37" w14:textId="77777777" w:rsidR="0035257C" w:rsidRDefault="0035257C" w:rsidP="0035257C">
      <w:pPr>
        <w:pStyle w:val="ListParagraph"/>
        <w:numPr>
          <w:ilvl w:val="0"/>
          <w:numId w:val="19"/>
        </w:numPr>
        <w:ind w:left="851" w:hanging="357"/>
        <w:contextualSpacing w:val="0"/>
      </w:pPr>
      <w:r>
        <w:t>96 well plate</w:t>
      </w:r>
    </w:p>
    <w:p w14:paraId="04D3BD38" w14:textId="77777777" w:rsidR="0035257C" w:rsidRDefault="0035257C" w:rsidP="0035257C">
      <w:pPr>
        <w:pStyle w:val="ListParagraph"/>
        <w:numPr>
          <w:ilvl w:val="0"/>
          <w:numId w:val="19"/>
        </w:numPr>
        <w:ind w:left="851" w:hanging="357"/>
        <w:contextualSpacing w:val="0"/>
      </w:pPr>
      <w:r>
        <w:t>Orbital shaker</w:t>
      </w:r>
    </w:p>
    <w:p w14:paraId="04D3BD39" w14:textId="77777777" w:rsidR="0035257C" w:rsidRDefault="0035257C" w:rsidP="0035257C">
      <w:pPr>
        <w:pStyle w:val="Heading1"/>
        <w:spacing w:before="0"/>
        <w:ind w:left="426"/>
      </w:pPr>
      <w:bookmarkStart w:id="6" w:name="_Toc315440413"/>
      <w:bookmarkEnd w:id="4"/>
      <w:bookmarkEnd w:id="5"/>
      <w:r>
        <w:br w:type="page"/>
      </w:r>
      <w:r>
        <w:lastRenderedPageBreak/>
        <w:t>Assay Protocol</w:t>
      </w:r>
      <w:bookmarkEnd w:id="6"/>
    </w:p>
    <w:p w14:paraId="04D3BD3A" w14:textId="77777777" w:rsidR="0035257C" w:rsidRDefault="0035257C" w:rsidP="0035257C">
      <w:pPr>
        <w:pStyle w:val="ListParagraph"/>
        <w:numPr>
          <w:ilvl w:val="0"/>
          <w:numId w:val="22"/>
        </w:numPr>
        <w:autoSpaceDE w:val="0"/>
        <w:autoSpaceDN w:val="0"/>
        <w:adjustRightInd w:val="0"/>
        <w:ind w:left="284" w:hanging="284"/>
        <w:rPr>
          <w:rFonts w:cs="Arial"/>
          <w:szCs w:val="20"/>
        </w:rPr>
      </w:pPr>
      <w:bookmarkStart w:id="7" w:name="_Toc271554840"/>
      <w:bookmarkStart w:id="8" w:name="_Toc273532559"/>
      <w:r w:rsidRPr="00016566">
        <w:rPr>
          <w:rFonts w:cs="Arial"/>
          <w:szCs w:val="20"/>
        </w:rPr>
        <w:t>Collect cells</w:t>
      </w:r>
      <w:r w:rsidR="00A50666">
        <w:rPr>
          <w:rFonts w:cs="Arial"/>
          <w:szCs w:val="20"/>
        </w:rPr>
        <w:t xml:space="preserve"> (adherent and suspension)</w:t>
      </w:r>
      <w:r w:rsidRPr="00016566">
        <w:rPr>
          <w:rFonts w:cs="Arial"/>
          <w:szCs w:val="20"/>
        </w:rPr>
        <w:t xml:space="preserve"> and wash 1X with assay me</w:t>
      </w:r>
      <w:r>
        <w:rPr>
          <w:rFonts w:cs="Arial"/>
          <w:szCs w:val="20"/>
        </w:rPr>
        <w:t>dium (e.g., medium containing 1</w:t>
      </w:r>
      <w:r w:rsidRPr="00016566">
        <w:rPr>
          <w:rFonts w:cs="Arial"/>
          <w:szCs w:val="20"/>
        </w:rPr>
        <w:t>% serum or 1% BSA).</w:t>
      </w:r>
    </w:p>
    <w:p w14:paraId="04D3BD3B" w14:textId="77777777" w:rsidR="00A50666" w:rsidRPr="00A50666" w:rsidRDefault="00A50666" w:rsidP="00A50666">
      <w:pPr>
        <w:autoSpaceDE w:val="0"/>
        <w:autoSpaceDN w:val="0"/>
        <w:adjustRightInd w:val="0"/>
        <w:rPr>
          <w:rFonts w:cs="Arial"/>
          <w:i/>
          <w:szCs w:val="20"/>
        </w:rPr>
      </w:pPr>
      <w:r w:rsidRPr="00A50666">
        <w:rPr>
          <w:rFonts w:cs="Arial"/>
          <w:i/>
          <w:szCs w:val="20"/>
        </w:rPr>
        <w:t>Note: Trypsin may be used to remove adherent cells from a culture surface.</w:t>
      </w:r>
    </w:p>
    <w:p w14:paraId="04D3BD3C" w14:textId="77777777" w:rsidR="0035257C" w:rsidRPr="00016566" w:rsidRDefault="0035257C" w:rsidP="0035257C">
      <w:pPr>
        <w:pStyle w:val="ListParagraph"/>
        <w:numPr>
          <w:ilvl w:val="0"/>
          <w:numId w:val="22"/>
        </w:numPr>
        <w:autoSpaceDE w:val="0"/>
        <w:autoSpaceDN w:val="0"/>
        <w:adjustRightInd w:val="0"/>
        <w:ind w:left="284" w:hanging="284"/>
        <w:contextualSpacing w:val="0"/>
        <w:rPr>
          <w:rFonts w:cs="Arial"/>
          <w:szCs w:val="20"/>
        </w:rPr>
      </w:pPr>
      <w:r w:rsidRPr="00016566">
        <w:rPr>
          <w:rFonts w:cs="Arial"/>
          <w:szCs w:val="20"/>
        </w:rPr>
        <w:t>Prepar</w:t>
      </w:r>
      <w:r>
        <w:rPr>
          <w:rFonts w:cs="Arial"/>
          <w:szCs w:val="20"/>
        </w:rPr>
        <w:t>e</w:t>
      </w:r>
      <w:r w:rsidRPr="00016566">
        <w:rPr>
          <w:rFonts w:cs="Arial"/>
          <w:szCs w:val="20"/>
        </w:rPr>
        <w:t xml:space="preserve"> the following samples individually in a 96-well plate:</w:t>
      </w:r>
    </w:p>
    <w:p w14:paraId="04D3BD3D" w14:textId="77777777" w:rsidR="0035257C" w:rsidRDefault="0035257C" w:rsidP="0035257C">
      <w:pPr>
        <w:pStyle w:val="ListParagraph"/>
        <w:numPr>
          <w:ilvl w:val="0"/>
          <w:numId w:val="23"/>
        </w:numPr>
        <w:autoSpaceDE w:val="0"/>
        <w:autoSpaceDN w:val="0"/>
        <w:adjustRightInd w:val="0"/>
        <w:spacing w:before="0"/>
        <w:ind w:left="567" w:hanging="283"/>
        <w:contextualSpacing w:val="0"/>
        <w:rPr>
          <w:rFonts w:cs="Arial"/>
          <w:szCs w:val="20"/>
        </w:rPr>
      </w:pPr>
      <w:r w:rsidRPr="00016566">
        <w:rPr>
          <w:rFonts w:cs="Arial"/>
          <w:b/>
          <w:szCs w:val="20"/>
        </w:rPr>
        <w:t>Background Control:</w:t>
      </w:r>
      <w:r w:rsidRPr="00016566">
        <w:rPr>
          <w:rFonts w:cs="Arial"/>
          <w:szCs w:val="20"/>
        </w:rPr>
        <w:t xml:space="preserve"> </w:t>
      </w:r>
    </w:p>
    <w:p w14:paraId="04D3BD3E" w14:textId="77777777" w:rsidR="0035257C" w:rsidRPr="00016566" w:rsidRDefault="0035257C" w:rsidP="0035257C">
      <w:pPr>
        <w:pStyle w:val="ListParagraph"/>
        <w:autoSpaceDE w:val="0"/>
        <w:autoSpaceDN w:val="0"/>
        <w:adjustRightInd w:val="0"/>
        <w:spacing w:before="0"/>
        <w:ind w:left="567" w:firstLine="0"/>
        <w:contextualSpacing w:val="0"/>
        <w:rPr>
          <w:rFonts w:cs="Arial"/>
          <w:szCs w:val="20"/>
        </w:rPr>
      </w:pPr>
      <w:r w:rsidRPr="00016566">
        <w:rPr>
          <w:rFonts w:cs="Arial"/>
          <w:szCs w:val="20"/>
        </w:rPr>
        <w:t xml:space="preserve">Add 200 </w:t>
      </w:r>
      <w:proofErr w:type="spellStart"/>
      <w:r w:rsidRPr="00016566">
        <w:rPr>
          <w:rFonts w:cs="Arial"/>
          <w:szCs w:val="20"/>
        </w:rPr>
        <w:t>μl</w:t>
      </w:r>
      <w:proofErr w:type="spellEnd"/>
      <w:r w:rsidRPr="00016566">
        <w:rPr>
          <w:rFonts w:cs="Arial"/>
          <w:szCs w:val="20"/>
        </w:rPr>
        <w:t xml:space="preserve"> medium/well into triplicate wells. The background</w:t>
      </w:r>
      <w:r>
        <w:rPr>
          <w:rFonts w:cs="Arial"/>
          <w:szCs w:val="20"/>
        </w:rPr>
        <w:t xml:space="preserve"> </w:t>
      </w:r>
      <w:r w:rsidRPr="00016566">
        <w:rPr>
          <w:rFonts w:cs="Arial"/>
          <w:szCs w:val="20"/>
        </w:rPr>
        <w:t xml:space="preserve">value </w:t>
      </w:r>
      <w:proofErr w:type="gramStart"/>
      <w:r w:rsidRPr="00016566">
        <w:rPr>
          <w:rFonts w:cs="Arial"/>
          <w:szCs w:val="20"/>
        </w:rPr>
        <w:t>has to</w:t>
      </w:r>
      <w:proofErr w:type="gramEnd"/>
      <w:r w:rsidRPr="00016566">
        <w:rPr>
          <w:rFonts w:cs="Arial"/>
          <w:szCs w:val="20"/>
        </w:rPr>
        <w:t xml:space="preserve"> be subtracted from all other values.</w:t>
      </w:r>
    </w:p>
    <w:p w14:paraId="04D3BD3F" w14:textId="77777777" w:rsidR="0035257C" w:rsidRDefault="0035257C" w:rsidP="0035257C">
      <w:pPr>
        <w:pStyle w:val="ListParagraph"/>
        <w:numPr>
          <w:ilvl w:val="0"/>
          <w:numId w:val="23"/>
        </w:numPr>
        <w:autoSpaceDE w:val="0"/>
        <w:autoSpaceDN w:val="0"/>
        <w:adjustRightInd w:val="0"/>
        <w:spacing w:before="0"/>
        <w:ind w:left="567" w:hanging="283"/>
        <w:contextualSpacing w:val="0"/>
        <w:rPr>
          <w:rFonts w:cs="Arial"/>
          <w:szCs w:val="20"/>
        </w:rPr>
      </w:pPr>
      <w:r w:rsidRPr="00016566">
        <w:rPr>
          <w:rFonts w:cs="Arial"/>
          <w:b/>
          <w:szCs w:val="20"/>
        </w:rPr>
        <w:t>Low Control:</w:t>
      </w:r>
      <w:r w:rsidRPr="00016566">
        <w:rPr>
          <w:rFonts w:cs="Arial"/>
          <w:szCs w:val="20"/>
        </w:rPr>
        <w:t xml:space="preserve"> </w:t>
      </w:r>
    </w:p>
    <w:p w14:paraId="04D3BD40" w14:textId="77777777" w:rsidR="0035257C" w:rsidRPr="00016566" w:rsidRDefault="0035257C" w:rsidP="0035257C">
      <w:pPr>
        <w:pStyle w:val="ListParagraph"/>
        <w:autoSpaceDE w:val="0"/>
        <w:autoSpaceDN w:val="0"/>
        <w:adjustRightInd w:val="0"/>
        <w:spacing w:before="0"/>
        <w:ind w:left="567" w:firstLine="0"/>
        <w:contextualSpacing w:val="0"/>
        <w:rPr>
          <w:rFonts w:cs="Arial"/>
          <w:szCs w:val="20"/>
        </w:rPr>
      </w:pPr>
      <w:r w:rsidRPr="00016566">
        <w:rPr>
          <w:rFonts w:cs="Arial"/>
          <w:szCs w:val="20"/>
        </w:rPr>
        <w:t>Add 1-2 x 10</w:t>
      </w:r>
      <w:r w:rsidRPr="0008139E">
        <w:rPr>
          <w:rFonts w:cs="Arial"/>
          <w:szCs w:val="20"/>
          <w:vertAlign w:val="superscript"/>
        </w:rPr>
        <w:t xml:space="preserve">4 </w:t>
      </w:r>
      <w:r w:rsidRPr="00016566">
        <w:rPr>
          <w:rFonts w:cs="Arial"/>
          <w:szCs w:val="20"/>
        </w:rPr>
        <w:t xml:space="preserve">cells/well in 200 </w:t>
      </w:r>
      <w:proofErr w:type="spellStart"/>
      <w:r w:rsidRPr="00016566">
        <w:rPr>
          <w:rFonts w:cs="Arial"/>
          <w:szCs w:val="20"/>
        </w:rPr>
        <w:t>μl</w:t>
      </w:r>
      <w:proofErr w:type="spellEnd"/>
      <w:r w:rsidRPr="00016566">
        <w:rPr>
          <w:rFonts w:cs="Arial"/>
          <w:szCs w:val="20"/>
        </w:rPr>
        <w:t xml:space="preserve"> assay medium into triplicate wells.</w:t>
      </w:r>
    </w:p>
    <w:p w14:paraId="04D3BD41" w14:textId="77777777" w:rsidR="0035257C" w:rsidRDefault="0035257C" w:rsidP="0035257C">
      <w:pPr>
        <w:pStyle w:val="ListParagraph"/>
        <w:numPr>
          <w:ilvl w:val="0"/>
          <w:numId w:val="23"/>
        </w:numPr>
        <w:autoSpaceDE w:val="0"/>
        <w:autoSpaceDN w:val="0"/>
        <w:adjustRightInd w:val="0"/>
        <w:spacing w:before="0"/>
        <w:ind w:left="567" w:hanging="283"/>
        <w:contextualSpacing w:val="0"/>
        <w:rPr>
          <w:rFonts w:cs="Arial"/>
          <w:szCs w:val="20"/>
        </w:rPr>
      </w:pPr>
      <w:r w:rsidRPr="00016566">
        <w:rPr>
          <w:rFonts w:cs="Arial"/>
          <w:b/>
          <w:szCs w:val="20"/>
        </w:rPr>
        <w:t>High Control:</w:t>
      </w:r>
      <w:r w:rsidRPr="00016566">
        <w:rPr>
          <w:rFonts w:cs="Arial"/>
          <w:szCs w:val="20"/>
        </w:rPr>
        <w:t xml:space="preserve"> </w:t>
      </w:r>
    </w:p>
    <w:p w14:paraId="04D3BD42" w14:textId="77777777" w:rsidR="0035257C" w:rsidRPr="00016566" w:rsidRDefault="0035257C" w:rsidP="0035257C">
      <w:pPr>
        <w:pStyle w:val="ListParagraph"/>
        <w:autoSpaceDE w:val="0"/>
        <w:autoSpaceDN w:val="0"/>
        <w:adjustRightInd w:val="0"/>
        <w:spacing w:before="0"/>
        <w:ind w:left="567" w:firstLine="0"/>
        <w:contextualSpacing w:val="0"/>
        <w:rPr>
          <w:rFonts w:cs="Arial"/>
          <w:szCs w:val="20"/>
        </w:rPr>
      </w:pPr>
      <w:r w:rsidRPr="00016566">
        <w:rPr>
          <w:rFonts w:cs="Arial"/>
          <w:szCs w:val="20"/>
        </w:rPr>
        <w:t>Add 1-2 x 10</w:t>
      </w:r>
      <w:r w:rsidRPr="0008139E">
        <w:rPr>
          <w:rFonts w:cs="Arial"/>
          <w:szCs w:val="20"/>
          <w:vertAlign w:val="superscript"/>
        </w:rPr>
        <w:t>4</w:t>
      </w:r>
      <w:r w:rsidRPr="00016566">
        <w:rPr>
          <w:rFonts w:cs="Arial"/>
          <w:szCs w:val="20"/>
        </w:rPr>
        <w:t xml:space="preserve"> cells/well in 200 </w:t>
      </w:r>
      <w:proofErr w:type="spellStart"/>
      <w:r w:rsidRPr="00016566">
        <w:rPr>
          <w:rFonts w:cs="Arial"/>
          <w:szCs w:val="20"/>
        </w:rPr>
        <w:t>μl</w:t>
      </w:r>
      <w:proofErr w:type="spellEnd"/>
      <w:r w:rsidRPr="00016566">
        <w:rPr>
          <w:rFonts w:cs="Arial"/>
          <w:szCs w:val="20"/>
        </w:rPr>
        <w:t xml:space="preserve"> assay medium containing 1% Triton X-100 into triplicate wells.</w:t>
      </w:r>
    </w:p>
    <w:p w14:paraId="04D3BD43" w14:textId="77777777" w:rsidR="0035257C" w:rsidRDefault="0035257C" w:rsidP="0035257C">
      <w:pPr>
        <w:pStyle w:val="ListParagraph"/>
        <w:numPr>
          <w:ilvl w:val="0"/>
          <w:numId w:val="23"/>
        </w:numPr>
        <w:autoSpaceDE w:val="0"/>
        <w:autoSpaceDN w:val="0"/>
        <w:adjustRightInd w:val="0"/>
        <w:spacing w:before="0"/>
        <w:ind w:left="567" w:hanging="283"/>
        <w:contextualSpacing w:val="0"/>
        <w:rPr>
          <w:rFonts w:cs="Arial"/>
          <w:szCs w:val="20"/>
        </w:rPr>
      </w:pPr>
      <w:r w:rsidRPr="00016566">
        <w:rPr>
          <w:rFonts w:cs="Arial"/>
          <w:b/>
          <w:szCs w:val="20"/>
        </w:rPr>
        <w:t>Test Sample:</w:t>
      </w:r>
      <w:r w:rsidRPr="00016566">
        <w:rPr>
          <w:rFonts w:cs="Arial"/>
          <w:szCs w:val="20"/>
        </w:rPr>
        <w:t xml:space="preserve"> </w:t>
      </w:r>
    </w:p>
    <w:p w14:paraId="04D3BD44" w14:textId="77777777" w:rsidR="0035257C" w:rsidRDefault="0035257C" w:rsidP="0035257C">
      <w:pPr>
        <w:pStyle w:val="ListParagraph"/>
        <w:autoSpaceDE w:val="0"/>
        <w:autoSpaceDN w:val="0"/>
        <w:adjustRightInd w:val="0"/>
        <w:spacing w:before="0"/>
        <w:ind w:left="567" w:firstLine="0"/>
        <w:contextualSpacing w:val="0"/>
        <w:rPr>
          <w:rFonts w:cs="Arial"/>
          <w:szCs w:val="20"/>
        </w:rPr>
      </w:pPr>
      <w:r w:rsidRPr="00016566">
        <w:rPr>
          <w:rFonts w:cs="Arial"/>
          <w:szCs w:val="20"/>
        </w:rPr>
        <w:t>Add 1</w:t>
      </w:r>
      <w:r>
        <w:rPr>
          <w:rFonts w:cs="Arial"/>
          <w:szCs w:val="20"/>
        </w:rPr>
        <w:t>-</w:t>
      </w:r>
      <w:r w:rsidRPr="00016566">
        <w:rPr>
          <w:rFonts w:cs="Arial"/>
          <w:szCs w:val="20"/>
        </w:rPr>
        <w:t>2 x 10</w:t>
      </w:r>
      <w:r w:rsidRPr="0008139E">
        <w:rPr>
          <w:rFonts w:cs="Arial"/>
          <w:szCs w:val="20"/>
          <w:vertAlign w:val="superscript"/>
        </w:rPr>
        <w:t xml:space="preserve">4 </w:t>
      </w:r>
      <w:r w:rsidRPr="00016566">
        <w:rPr>
          <w:rFonts w:cs="Arial"/>
          <w:szCs w:val="20"/>
        </w:rPr>
        <w:t xml:space="preserve">cells/well in 200 </w:t>
      </w:r>
      <w:proofErr w:type="spellStart"/>
      <w:r w:rsidRPr="00016566">
        <w:rPr>
          <w:rFonts w:cs="Arial"/>
          <w:szCs w:val="20"/>
        </w:rPr>
        <w:t>μl</w:t>
      </w:r>
      <w:proofErr w:type="spellEnd"/>
      <w:r w:rsidRPr="00016566">
        <w:rPr>
          <w:rFonts w:cs="Arial"/>
          <w:szCs w:val="20"/>
        </w:rPr>
        <w:t xml:space="preserve"> assay medium containing test</w:t>
      </w:r>
      <w:r>
        <w:rPr>
          <w:rFonts w:cs="Arial"/>
          <w:szCs w:val="20"/>
        </w:rPr>
        <w:t xml:space="preserve"> </w:t>
      </w:r>
      <w:r w:rsidRPr="00016566">
        <w:rPr>
          <w:rFonts w:cs="Arial"/>
          <w:szCs w:val="20"/>
        </w:rPr>
        <w:t>substance into triplicate wells.</w:t>
      </w:r>
    </w:p>
    <w:p w14:paraId="04D3BD45" w14:textId="77777777" w:rsidR="0035257C" w:rsidRPr="00016566" w:rsidRDefault="0035257C" w:rsidP="0035257C">
      <w:pPr>
        <w:pStyle w:val="ListParagraph"/>
        <w:numPr>
          <w:ilvl w:val="0"/>
          <w:numId w:val="22"/>
        </w:numPr>
        <w:autoSpaceDE w:val="0"/>
        <w:autoSpaceDN w:val="0"/>
        <w:adjustRightInd w:val="0"/>
        <w:ind w:left="284" w:hanging="284"/>
        <w:contextualSpacing w:val="0"/>
        <w:rPr>
          <w:rFonts w:cs="Arial"/>
          <w:szCs w:val="20"/>
        </w:rPr>
      </w:pPr>
      <w:r w:rsidRPr="00016566">
        <w:rPr>
          <w:rFonts w:cs="Arial"/>
          <w:szCs w:val="20"/>
        </w:rPr>
        <w:t>Incubate cells in an incubator (5 % CO</w:t>
      </w:r>
      <w:r w:rsidRPr="0008139E">
        <w:rPr>
          <w:rFonts w:cs="Arial"/>
          <w:szCs w:val="20"/>
          <w:vertAlign w:val="subscript"/>
        </w:rPr>
        <w:t>2</w:t>
      </w:r>
      <w:r w:rsidRPr="00016566">
        <w:rPr>
          <w:rFonts w:cs="Arial"/>
          <w:szCs w:val="20"/>
        </w:rPr>
        <w:t>, 90 % humidity, 37°C) for the appropriate time of treatment determined for test substance.</w:t>
      </w:r>
    </w:p>
    <w:p w14:paraId="04D3BD46" w14:textId="77777777" w:rsidR="0035257C" w:rsidRPr="00016566" w:rsidRDefault="0035257C" w:rsidP="0035257C">
      <w:pPr>
        <w:pStyle w:val="ListParagraph"/>
        <w:numPr>
          <w:ilvl w:val="0"/>
          <w:numId w:val="22"/>
        </w:numPr>
        <w:autoSpaceDE w:val="0"/>
        <w:autoSpaceDN w:val="0"/>
        <w:adjustRightInd w:val="0"/>
        <w:ind w:left="284" w:hanging="284"/>
        <w:contextualSpacing w:val="0"/>
        <w:rPr>
          <w:rFonts w:cs="Arial"/>
          <w:szCs w:val="20"/>
        </w:rPr>
      </w:pPr>
      <w:r w:rsidRPr="00016566">
        <w:rPr>
          <w:rFonts w:cs="Arial"/>
          <w:szCs w:val="20"/>
        </w:rPr>
        <w:t>Centrifuge the cells at 250</w:t>
      </w:r>
      <w:r>
        <w:rPr>
          <w:rFonts w:cs="Arial"/>
          <w:szCs w:val="20"/>
        </w:rPr>
        <w:t xml:space="preserve"> x</w:t>
      </w:r>
      <w:r w:rsidRPr="00016566">
        <w:rPr>
          <w:rFonts w:cs="Arial"/>
          <w:szCs w:val="20"/>
        </w:rPr>
        <w:t xml:space="preserve"> g for 10 min.</w:t>
      </w:r>
    </w:p>
    <w:p w14:paraId="04D3BD47" w14:textId="77777777" w:rsidR="0035257C" w:rsidRDefault="0035257C" w:rsidP="0035257C">
      <w:pPr>
        <w:pStyle w:val="ListParagraph"/>
        <w:numPr>
          <w:ilvl w:val="0"/>
          <w:numId w:val="22"/>
        </w:numPr>
        <w:autoSpaceDE w:val="0"/>
        <w:autoSpaceDN w:val="0"/>
        <w:adjustRightInd w:val="0"/>
        <w:ind w:left="284" w:hanging="284"/>
        <w:contextualSpacing w:val="0"/>
        <w:rPr>
          <w:rFonts w:cs="Arial"/>
          <w:szCs w:val="20"/>
        </w:rPr>
      </w:pPr>
      <w:r w:rsidRPr="00016566">
        <w:rPr>
          <w:rFonts w:cs="Arial"/>
          <w:szCs w:val="20"/>
        </w:rPr>
        <w:lastRenderedPageBreak/>
        <w:t xml:space="preserve">Transfer 100 </w:t>
      </w:r>
      <w:proofErr w:type="spellStart"/>
      <w:r w:rsidRPr="00016566">
        <w:rPr>
          <w:rFonts w:cs="Arial"/>
          <w:szCs w:val="20"/>
        </w:rPr>
        <w:t>μl</w:t>
      </w:r>
      <w:proofErr w:type="spellEnd"/>
      <w:r w:rsidRPr="00016566">
        <w:rPr>
          <w:rFonts w:cs="Arial"/>
          <w:szCs w:val="20"/>
        </w:rPr>
        <w:t>/well supernatant carefully into corresponding wells of an optically clear</w:t>
      </w:r>
      <w:r>
        <w:rPr>
          <w:rFonts w:cs="Arial"/>
          <w:szCs w:val="20"/>
        </w:rPr>
        <w:t xml:space="preserve"> </w:t>
      </w:r>
      <w:r w:rsidRPr="00016566">
        <w:rPr>
          <w:rFonts w:cs="Arial"/>
          <w:szCs w:val="20"/>
        </w:rPr>
        <w:t>96-well plate.</w:t>
      </w:r>
    </w:p>
    <w:p w14:paraId="04D3BD48" w14:textId="77777777" w:rsidR="0035257C" w:rsidRPr="00016566" w:rsidRDefault="0035257C" w:rsidP="0035257C">
      <w:pPr>
        <w:pStyle w:val="ListParagraph"/>
        <w:numPr>
          <w:ilvl w:val="0"/>
          <w:numId w:val="22"/>
        </w:numPr>
        <w:autoSpaceDE w:val="0"/>
        <w:autoSpaceDN w:val="0"/>
        <w:adjustRightInd w:val="0"/>
        <w:ind w:left="284" w:hanging="284"/>
        <w:contextualSpacing w:val="0"/>
        <w:rPr>
          <w:rFonts w:cs="Arial"/>
          <w:szCs w:val="20"/>
        </w:rPr>
      </w:pPr>
      <w:r w:rsidRPr="00016566">
        <w:rPr>
          <w:rFonts w:cs="Arial"/>
          <w:szCs w:val="20"/>
        </w:rPr>
        <w:t xml:space="preserve">Add 100 </w:t>
      </w:r>
      <w:proofErr w:type="spellStart"/>
      <w:r w:rsidRPr="00016566">
        <w:rPr>
          <w:rFonts w:cs="Arial"/>
          <w:szCs w:val="20"/>
        </w:rPr>
        <w:t>μl</w:t>
      </w:r>
      <w:proofErr w:type="spellEnd"/>
      <w:r w:rsidRPr="00016566">
        <w:rPr>
          <w:rFonts w:cs="Arial"/>
          <w:szCs w:val="20"/>
        </w:rPr>
        <w:t xml:space="preserve"> Reaction Mixture to each well and incubate for up to 30 min at room</w:t>
      </w:r>
      <w:r>
        <w:rPr>
          <w:rFonts w:cs="Arial"/>
          <w:szCs w:val="20"/>
        </w:rPr>
        <w:t xml:space="preserve"> </w:t>
      </w:r>
      <w:r w:rsidRPr="00016566">
        <w:rPr>
          <w:rFonts w:cs="Arial"/>
          <w:szCs w:val="20"/>
        </w:rPr>
        <w:t>temperature. Protect the plate from light.</w:t>
      </w:r>
    </w:p>
    <w:p w14:paraId="04D3BD49" w14:textId="77777777" w:rsidR="0035257C" w:rsidRPr="0008139E" w:rsidRDefault="0035257C" w:rsidP="0035257C">
      <w:pPr>
        <w:pStyle w:val="ListParagraph"/>
        <w:numPr>
          <w:ilvl w:val="0"/>
          <w:numId w:val="22"/>
        </w:numPr>
        <w:autoSpaceDE w:val="0"/>
        <w:autoSpaceDN w:val="0"/>
        <w:adjustRightInd w:val="0"/>
        <w:ind w:left="284" w:hanging="284"/>
        <w:contextualSpacing w:val="0"/>
        <w:rPr>
          <w:rFonts w:cs="Arial"/>
          <w:szCs w:val="20"/>
        </w:rPr>
      </w:pPr>
      <w:r w:rsidRPr="00016566">
        <w:rPr>
          <w:rFonts w:cs="Arial"/>
          <w:szCs w:val="20"/>
        </w:rPr>
        <w:t>Measure the a</w:t>
      </w:r>
      <w:r>
        <w:rPr>
          <w:rFonts w:cs="Arial"/>
          <w:szCs w:val="20"/>
        </w:rPr>
        <w:t>bsorbance of all samples at 490-</w:t>
      </w:r>
      <w:r w:rsidRPr="00016566">
        <w:rPr>
          <w:rFonts w:cs="Arial"/>
          <w:szCs w:val="20"/>
        </w:rPr>
        <w:t>500 nm using a microtiter plate</w:t>
      </w:r>
      <w:r>
        <w:rPr>
          <w:rFonts w:cs="Arial"/>
          <w:szCs w:val="20"/>
        </w:rPr>
        <w:t xml:space="preserve"> </w:t>
      </w:r>
      <w:r w:rsidRPr="00016566">
        <w:rPr>
          <w:rFonts w:cs="Arial"/>
          <w:szCs w:val="20"/>
        </w:rPr>
        <w:t>reader. The reference wavelength should be more than 600 nm.</w:t>
      </w:r>
    </w:p>
    <w:p w14:paraId="04D3BD4A" w14:textId="77777777" w:rsidR="0035257C" w:rsidRDefault="0035257C" w:rsidP="0035257C">
      <w:pPr>
        <w:pStyle w:val="Heading1"/>
        <w:spacing w:before="0" w:after="240"/>
        <w:ind w:left="426"/>
      </w:pPr>
      <w:bookmarkStart w:id="9" w:name="_Toc315440414"/>
      <w:r>
        <w:br w:type="page"/>
      </w:r>
      <w:r>
        <w:lastRenderedPageBreak/>
        <w:t>Data Analysis</w:t>
      </w:r>
      <w:bookmarkEnd w:id="9"/>
    </w:p>
    <w:tbl>
      <w:tblPr>
        <w:tblW w:w="0" w:type="auto"/>
        <w:tblLook w:val="00A0" w:firstRow="1" w:lastRow="0" w:firstColumn="1" w:lastColumn="0" w:noHBand="0" w:noVBand="0"/>
      </w:tblPr>
      <w:tblGrid>
        <w:gridCol w:w="2059"/>
        <w:gridCol w:w="2971"/>
        <w:gridCol w:w="1076"/>
      </w:tblGrid>
      <w:tr w:rsidR="0035257C" w:rsidRPr="00913AF2" w14:paraId="04D3BD4E" w14:textId="77777777" w:rsidTr="007E3D65">
        <w:trPr>
          <w:trHeight w:val="299"/>
        </w:trPr>
        <w:tc>
          <w:tcPr>
            <w:tcW w:w="2107" w:type="dxa"/>
            <w:vMerge w:val="restart"/>
            <w:vAlign w:val="center"/>
          </w:tcPr>
          <w:p w14:paraId="04D3BD4B" w14:textId="77777777" w:rsidR="0035257C" w:rsidRPr="00913AF2" w:rsidRDefault="0035257C" w:rsidP="0035257C">
            <w:pPr>
              <w:autoSpaceDE w:val="0"/>
              <w:autoSpaceDN w:val="0"/>
              <w:adjustRightInd w:val="0"/>
              <w:spacing w:before="0"/>
              <w:jc w:val="left"/>
              <w:rPr>
                <w:rFonts w:cs="Arial"/>
                <w:b/>
                <w:szCs w:val="20"/>
              </w:rPr>
            </w:pPr>
            <w:r w:rsidRPr="00913AF2">
              <w:rPr>
                <w:rFonts w:cs="Arial"/>
                <w:b/>
                <w:szCs w:val="20"/>
              </w:rPr>
              <w:t>Cytotoxicity (%) =</w:t>
            </w:r>
          </w:p>
        </w:tc>
        <w:tc>
          <w:tcPr>
            <w:tcW w:w="3104" w:type="dxa"/>
            <w:tcBorders>
              <w:bottom w:val="single" w:sz="4" w:space="0" w:color="auto"/>
            </w:tcBorders>
            <w:vAlign w:val="bottom"/>
          </w:tcPr>
          <w:p w14:paraId="04D3BD4C" w14:textId="77777777" w:rsidR="0035257C" w:rsidRPr="00913AF2" w:rsidRDefault="0035257C" w:rsidP="007E3D65">
            <w:pPr>
              <w:autoSpaceDE w:val="0"/>
              <w:autoSpaceDN w:val="0"/>
              <w:adjustRightInd w:val="0"/>
              <w:spacing w:before="0"/>
              <w:jc w:val="center"/>
              <w:rPr>
                <w:rFonts w:cs="Arial"/>
                <w:b/>
                <w:szCs w:val="20"/>
              </w:rPr>
            </w:pPr>
            <w:r w:rsidRPr="00913AF2">
              <w:rPr>
                <w:rFonts w:cs="Arial"/>
                <w:b/>
                <w:szCs w:val="20"/>
              </w:rPr>
              <w:t>(Test Sample – Low Control)</w:t>
            </w:r>
          </w:p>
        </w:tc>
        <w:tc>
          <w:tcPr>
            <w:tcW w:w="1111" w:type="dxa"/>
            <w:vMerge w:val="restart"/>
            <w:vAlign w:val="center"/>
          </w:tcPr>
          <w:p w14:paraId="04D3BD4D" w14:textId="77777777" w:rsidR="0035257C" w:rsidRPr="00913AF2" w:rsidRDefault="0035257C" w:rsidP="007E3D65">
            <w:pPr>
              <w:autoSpaceDE w:val="0"/>
              <w:autoSpaceDN w:val="0"/>
              <w:adjustRightInd w:val="0"/>
              <w:spacing w:before="0"/>
              <w:jc w:val="left"/>
              <w:rPr>
                <w:rFonts w:cs="Arial"/>
                <w:b/>
                <w:szCs w:val="20"/>
              </w:rPr>
            </w:pPr>
            <w:r w:rsidRPr="00913AF2">
              <w:rPr>
                <w:rFonts w:cs="Arial"/>
                <w:b/>
                <w:szCs w:val="20"/>
              </w:rPr>
              <w:t>X 100</w:t>
            </w:r>
          </w:p>
        </w:tc>
      </w:tr>
      <w:tr w:rsidR="0035257C" w:rsidRPr="00913AF2" w14:paraId="04D3BD52" w14:textId="77777777" w:rsidTr="007E3D65">
        <w:trPr>
          <w:trHeight w:val="510"/>
        </w:trPr>
        <w:tc>
          <w:tcPr>
            <w:tcW w:w="2107" w:type="dxa"/>
            <w:vMerge/>
          </w:tcPr>
          <w:p w14:paraId="04D3BD4F" w14:textId="77777777" w:rsidR="0035257C" w:rsidRPr="00913AF2" w:rsidRDefault="0035257C" w:rsidP="007E3D65">
            <w:pPr>
              <w:autoSpaceDE w:val="0"/>
              <w:autoSpaceDN w:val="0"/>
              <w:adjustRightInd w:val="0"/>
              <w:spacing w:before="0"/>
              <w:rPr>
                <w:rFonts w:cs="Arial"/>
                <w:b/>
                <w:szCs w:val="20"/>
              </w:rPr>
            </w:pPr>
          </w:p>
        </w:tc>
        <w:tc>
          <w:tcPr>
            <w:tcW w:w="3104" w:type="dxa"/>
            <w:tcBorders>
              <w:top w:val="single" w:sz="4" w:space="0" w:color="auto"/>
            </w:tcBorders>
            <w:vAlign w:val="bottom"/>
          </w:tcPr>
          <w:p w14:paraId="04D3BD50" w14:textId="77777777" w:rsidR="0035257C" w:rsidRPr="00913AF2" w:rsidRDefault="0035257C" w:rsidP="007E3D65">
            <w:pPr>
              <w:autoSpaceDE w:val="0"/>
              <w:autoSpaceDN w:val="0"/>
              <w:adjustRightInd w:val="0"/>
              <w:spacing w:before="0"/>
              <w:jc w:val="center"/>
              <w:rPr>
                <w:rFonts w:cs="Arial"/>
                <w:b/>
                <w:szCs w:val="20"/>
              </w:rPr>
            </w:pPr>
            <w:r w:rsidRPr="00913AF2">
              <w:rPr>
                <w:rFonts w:cs="Arial"/>
                <w:b/>
                <w:szCs w:val="20"/>
              </w:rPr>
              <w:t>(High Control – Low Control)</w:t>
            </w:r>
          </w:p>
        </w:tc>
        <w:tc>
          <w:tcPr>
            <w:tcW w:w="1111" w:type="dxa"/>
            <w:vMerge/>
          </w:tcPr>
          <w:p w14:paraId="04D3BD51" w14:textId="77777777" w:rsidR="0035257C" w:rsidRPr="00913AF2" w:rsidRDefault="0035257C" w:rsidP="007E3D65">
            <w:pPr>
              <w:autoSpaceDE w:val="0"/>
              <w:autoSpaceDN w:val="0"/>
              <w:adjustRightInd w:val="0"/>
              <w:spacing w:before="0"/>
              <w:rPr>
                <w:rFonts w:cs="Arial"/>
                <w:b/>
                <w:szCs w:val="20"/>
              </w:rPr>
            </w:pPr>
          </w:p>
        </w:tc>
      </w:tr>
    </w:tbl>
    <w:p w14:paraId="04D3BD53" w14:textId="77777777" w:rsidR="0035257C" w:rsidRDefault="0035257C" w:rsidP="0035257C">
      <w:pPr>
        <w:autoSpaceDE w:val="0"/>
        <w:autoSpaceDN w:val="0"/>
        <w:adjustRightInd w:val="0"/>
        <w:spacing w:before="0"/>
        <w:jc w:val="center"/>
        <w:rPr>
          <w:rFonts w:cs="Arial"/>
          <w:noProof/>
          <w:szCs w:val="20"/>
        </w:rPr>
      </w:pPr>
    </w:p>
    <w:p w14:paraId="04D3BD54" w14:textId="77777777" w:rsidR="0035257C" w:rsidRDefault="0035257C" w:rsidP="0035257C">
      <w:pPr>
        <w:spacing w:before="0"/>
      </w:pPr>
      <w:r>
        <w:rPr>
          <w:rFonts w:cs="Arial"/>
          <w:noProof/>
          <w:szCs w:val="20"/>
          <w:lang w:val="en-GB" w:eastAsia="en-GB"/>
        </w:rPr>
        <w:drawing>
          <wp:inline distT="0" distB="0" distL="0" distR="0" wp14:anchorId="04D3BDF8" wp14:editId="04D3BDF9">
            <wp:extent cx="3795395" cy="24974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795395" cy="2497455"/>
                    </a:xfrm>
                    <a:prstGeom prst="rect">
                      <a:avLst/>
                    </a:prstGeom>
                    <a:noFill/>
                    <a:ln w="9525">
                      <a:noFill/>
                      <a:miter lim="800000"/>
                      <a:headEnd/>
                      <a:tailEnd/>
                    </a:ln>
                  </pic:spPr>
                </pic:pic>
              </a:graphicData>
            </a:graphic>
          </wp:inline>
        </w:drawing>
      </w:r>
      <w:r w:rsidRPr="0035257C">
        <w:rPr>
          <w:b/>
        </w:rPr>
        <w:t xml:space="preserve"> </w:t>
      </w:r>
      <w:r w:rsidRPr="0008139E">
        <w:rPr>
          <w:b/>
        </w:rPr>
        <w:t>Light bar:</w:t>
      </w:r>
      <w:r>
        <w:t xml:space="preserve"> Low control </w:t>
      </w:r>
    </w:p>
    <w:p w14:paraId="04D3BD55" w14:textId="77777777" w:rsidR="0035257C" w:rsidRDefault="0035257C" w:rsidP="0035257C">
      <w:pPr>
        <w:spacing w:before="0"/>
      </w:pPr>
      <w:r w:rsidRPr="0008139E">
        <w:rPr>
          <w:b/>
        </w:rPr>
        <w:t>Dark bar:</w:t>
      </w:r>
      <w:r>
        <w:t xml:space="preserve"> High control.</w:t>
      </w:r>
    </w:p>
    <w:p w14:paraId="04D3BD56" w14:textId="77777777" w:rsidR="0035257C" w:rsidRDefault="0035257C" w:rsidP="0035257C">
      <w:bookmarkStart w:id="10" w:name="_Toc315440415"/>
      <w:proofErr w:type="spellStart"/>
      <w:r>
        <w:t>Jurkat</w:t>
      </w:r>
      <w:proofErr w:type="spellEnd"/>
      <w:r>
        <w:t xml:space="preserve"> cells were cultured in 96-well plate in 100 </w:t>
      </w:r>
      <w:proofErr w:type="spellStart"/>
      <w:r>
        <w:t>μl</w:t>
      </w:r>
      <w:proofErr w:type="spellEnd"/>
      <w:r>
        <w:t xml:space="preserve"> of culture medium. LDH assay was performed using 10 </w:t>
      </w:r>
      <w:proofErr w:type="spellStart"/>
      <w:r>
        <w:t>μl</w:t>
      </w:r>
      <w:proofErr w:type="spellEnd"/>
      <w:r>
        <w:t xml:space="preserve"> of culture medium according to the kit instructions. </w:t>
      </w:r>
    </w:p>
    <w:p w14:paraId="04D3BD57" w14:textId="77777777" w:rsidR="0035257C" w:rsidRDefault="0035257C" w:rsidP="0035257C">
      <w:pPr>
        <w:pStyle w:val="Heading1"/>
        <w:spacing w:before="0"/>
        <w:ind w:left="426"/>
      </w:pPr>
      <w:r>
        <w:br w:type="page"/>
      </w:r>
      <w:r>
        <w:lastRenderedPageBreak/>
        <w:t>Troubleshooting</w:t>
      </w:r>
      <w:bookmarkEnd w:id="7"/>
      <w:bookmarkEnd w:id="8"/>
      <w:bookmarkEnd w:id="10"/>
    </w:p>
    <w:tbl>
      <w:tblPr>
        <w:tblW w:w="6542" w:type="dxa"/>
        <w:tblLayout w:type="fixed"/>
        <w:tblCellMar>
          <w:top w:w="28" w:type="dxa"/>
          <w:bottom w:w="28" w:type="dxa"/>
        </w:tblCellMar>
        <w:tblLook w:val="00A0" w:firstRow="1" w:lastRow="0" w:firstColumn="1" w:lastColumn="0" w:noHBand="0" w:noVBand="0"/>
      </w:tblPr>
      <w:tblGrid>
        <w:gridCol w:w="1297"/>
        <w:gridCol w:w="2126"/>
        <w:gridCol w:w="3119"/>
      </w:tblGrid>
      <w:tr w:rsidR="0035257C" w:rsidRPr="00913AF2" w14:paraId="04D3BD5B" w14:textId="77777777" w:rsidTr="007E3D65">
        <w:trPr>
          <w:trHeight w:val="300"/>
        </w:trPr>
        <w:tc>
          <w:tcPr>
            <w:tcW w:w="1297" w:type="dxa"/>
            <w:tcBorders>
              <w:top w:val="single" w:sz="4" w:space="0" w:color="auto"/>
              <w:left w:val="single" w:sz="4" w:space="0" w:color="auto"/>
              <w:bottom w:val="double" w:sz="4" w:space="0" w:color="auto"/>
              <w:right w:val="single" w:sz="4" w:space="0" w:color="auto"/>
            </w:tcBorders>
            <w:noWrap/>
            <w:vAlign w:val="center"/>
          </w:tcPr>
          <w:p w14:paraId="04D3BD58" w14:textId="77777777" w:rsidR="0035257C" w:rsidRPr="002003DC" w:rsidRDefault="0035257C" w:rsidP="007E3D65">
            <w:pPr>
              <w:spacing w:before="0" w:line="240" w:lineRule="auto"/>
              <w:jc w:val="left"/>
              <w:rPr>
                <w:rFonts w:cs="Arial"/>
                <w:b/>
                <w:bCs/>
                <w:color w:val="000000"/>
                <w:szCs w:val="20"/>
                <w:lang w:val="en-GB" w:eastAsia="en-GB"/>
              </w:rPr>
            </w:pPr>
            <w:r w:rsidRPr="002003DC">
              <w:rPr>
                <w:rFonts w:cs="Arial"/>
                <w:b/>
                <w:bCs/>
                <w:color w:val="000000"/>
                <w:szCs w:val="20"/>
                <w:lang w:val="en-GB" w:eastAsia="en-GB"/>
              </w:rPr>
              <w:t>Problem</w:t>
            </w:r>
          </w:p>
        </w:tc>
        <w:tc>
          <w:tcPr>
            <w:tcW w:w="2126" w:type="dxa"/>
            <w:tcBorders>
              <w:top w:val="single" w:sz="4" w:space="0" w:color="auto"/>
              <w:left w:val="single" w:sz="4" w:space="0" w:color="auto"/>
              <w:bottom w:val="double" w:sz="4" w:space="0" w:color="auto"/>
              <w:right w:val="single" w:sz="4" w:space="0" w:color="auto"/>
            </w:tcBorders>
            <w:vAlign w:val="center"/>
          </w:tcPr>
          <w:p w14:paraId="04D3BD59" w14:textId="77777777" w:rsidR="0035257C" w:rsidRPr="002003DC" w:rsidRDefault="0035257C" w:rsidP="007E3D65">
            <w:pPr>
              <w:spacing w:before="0" w:line="240" w:lineRule="auto"/>
              <w:jc w:val="left"/>
              <w:rPr>
                <w:rFonts w:cs="Arial"/>
                <w:b/>
                <w:bCs/>
                <w:color w:val="000000"/>
                <w:szCs w:val="20"/>
                <w:lang w:val="en-GB" w:eastAsia="en-GB"/>
              </w:rPr>
            </w:pPr>
            <w:r w:rsidRPr="002003DC">
              <w:rPr>
                <w:rFonts w:cs="Arial"/>
                <w:b/>
                <w:bCs/>
                <w:color w:val="000000"/>
                <w:szCs w:val="20"/>
                <w:lang w:val="en-GB" w:eastAsia="en-GB"/>
              </w:rPr>
              <w:t>Reason</w:t>
            </w:r>
          </w:p>
        </w:tc>
        <w:tc>
          <w:tcPr>
            <w:tcW w:w="3119" w:type="dxa"/>
            <w:tcBorders>
              <w:top w:val="single" w:sz="4" w:space="0" w:color="auto"/>
              <w:left w:val="single" w:sz="4" w:space="0" w:color="auto"/>
              <w:bottom w:val="double" w:sz="4" w:space="0" w:color="auto"/>
              <w:right w:val="single" w:sz="4" w:space="0" w:color="auto"/>
            </w:tcBorders>
            <w:vAlign w:val="center"/>
          </w:tcPr>
          <w:p w14:paraId="04D3BD5A" w14:textId="77777777" w:rsidR="0035257C" w:rsidRPr="002003DC" w:rsidRDefault="0035257C" w:rsidP="007E3D65">
            <w:pPr>
              <w:spacing w:before="0" w:line="240" w:lineRule="auto"/>
              <w:jc w:val="left"/>
              <w:rPr>
                <w:rFonts w:cs="Arial"/>
                <w:b/>
                <w:bCs/>
                <w:color w:val="000000"/>
                <w:szCs w:val="20"/>
                <w:lang w:val="en-GB" w:eastAsia="en-GB"/>
              </w:rPr>
            </w:pPr>
            <w:r w:rsidRPr="002003DC">
              <w:rPr>
                <w:rFonts w:cs="Arial"/>
                <w:b/>
                <w:bCs/>
                <w:color w:val="000000"/>
                <w:szCs w:val="20"/>
                <w:lang w:val="en-GB" w:eastAsia="en-GB"/>
              </w:rPr>
              <w:t xml:space="preserve"> Solution</w:t>
            </w:r>
          </w:p>
        </w:tc>
      </w:tr>
      <w:tr w:rsidR="0035257C" w:rsidRPr="00913AF2" w14:paraId="04D3BD5F" w14:textId="77777777" w:rsidTr="007E3D65">
        <w:trPr>
          <w:trHeight w:val="525"/>
        </w:trPr>
        <w:tc>
          <w:tcPr>
            <w:tcW w:w="1297" w:type="dxa"/>
            <w:vMerge w:val="restart"/>
            <w:tcBorders>
              <w:top w:val="double" w:sz="4" w:space="0" w:color="auto"/>
              <w:left w:val="single" w:sz="4" w:space="0" w:color="auto"/>
              <w:right w:val="single" w:sz="4" w:space="0" w:color="auto"/>
            </w:tcBorders>
            <w:noWrap/>
          </w:tcPr>
          <w:p w14:paraId="04D3BD5C" w14:textId="77777777" w:rsidR="0035257C" w:rsidRPr="00AF7CBE" w:rsidRDefault="0035257C" w:rsidP="007E3D65">
            <w:pPr>
              <w:spacing w:before="0" w:line="240" w:lineRule="auto"/>
              <w:jc w:val="left"/>
              <w:rPr>
                <w:rFonts w:cs="Arial"/>
                <w:color w:val="000000"/>
                <w:szCs w:val="20"/>
                <w:lang w:val="en-GB" w:eastAsia="en-GB"/>
              </w:rPr>
            </w:pPr>
            <w:r w:rsidRPr="00AF7CBE">
              <w:rPr>
                <w:rFonts w:cs="Arial"/>
                <w:color w:val="000000"/>
                <w:szCs w:val="20"/>
                <w:lang w:val="en-GB" w:eastAsia="en-GB"/>
              </w:rPr>
              <w:t>Assay not working</w:t>
            </w:r>
          </w:p>
        </w:tc>
        <w:tc>
          <w:tcPr>
            <w:tcW w:w="2126" w:type="dxa"/>
            <w:tcBorders>
              <w:top w:val="double" w:sz="4" w:space="0" w:color="auto"/>
              <w:left w:val="nil"/>
              <w:bottom w:val="single" w:sz="4" w:space="0" w:color="auto"/>
              <w:right w:val="single" w:sz="4" w:space="0" w:color="auto"/>
            </w:tcBorders>
            <w:vAlign w:val="center"/>
          </w:tcPr>
          <w:p w14:paraId="04D3BD5D"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Assay buffer at wrong temp</w:t>
            </w:r>
            <w:r>
              <w:rPr>
                <w:rFonts w:cs="Arial"/>
                <w:color w:val="000000"/>
                <w:szCs w:val="20"/>
                <w:lang w:val="en-GB" w:eastAsia="en-GB"/>
              </w:rPr>
              <w:t>erature</w:t>
            </w:r>
          </w:p>
        </w:tc>
        <w:tc>
          <w:tcPr>
            <w:tcW w:w="3119" w:type="dxa"/>
            <w:tcBorders>
              <w:top w:val="double" w:sz="4" w:space="0" w:color="auto"/>
              <w:left w:val="nil"/>
              <w:bottom w:val="single" w:sz="4" w:space="0" w:color="auto"/>
              <w:right w:val="single" w:sz="4" w:space="0" w:color="auto"/>
            </w:tcBorders>
            <w:vAlign w:val="center"/>
          </w:tcPr>
          <w:p w14:paraId="04D3BD5E"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 xml:space="preserve">Assay buffer must not be chilled - needs to be at </w:t>
            </w:r>
            <w:r>
              <w:rPr>
                <w:rFonts w:cs="Arial"/>
                <w:color w:val="000000"/>
                <w:szCs w:val="20"/>
                <w:lang w:val="en-GB" w:eastAsia="en-GB"/>
              </w:rPr>
              <w:t>RT</w:t>
            </w:r>
          </w:p>
        </w:tc>
      </w:tr>
      <w:tr w:rsidR="0035257C" w:rsidRPr="00913AF2" w14:paraId="04D3BD63" w14:textId="77777777" w:rsidTr="007E3D65">
        <w:trPr>
          <w:trHeight w:val="300"/>
        </w:trPr>
        <w:tc>
          <w:tcPr>
            <w:tcW w:w="1297" w:type="dxa"/>
            <w:vMerge/>
            <w:tcBorders>
              <w:left w:val="single" w:sz="4" w:space="0" w:color="auto"/>
              <w:right w:val="single" w:sz="4" w:space="0" w:color="auto"/>
            </w:tcBorders>
            <w:noWrap/>
          </w:tcPr>
          <w:p w14:paraId="04D3BD60" w14:textId="77777777" w:rsidR="0035257C" w:rsidRPr="00AF7CBE"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61"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 xml:space="preserve">Protocol </w:t>
            </w:r>
            <w:r w:rsidRPr="002003DC">
              <w:rPr>
                <w:rFonts w:cs="Arial"/>
                <w:color w:val="000000"/>
                <w:szCs w:val="20"/>
                <w:lang w:val="en-GB" w:eastAsia="en-GB"/>
              </w:rPr>
              <w:t>step</w:t>
            </w:r>
            <w:r>
              <w:rPr>
                <w:rFonts w:cs="Arial"/>
                <w:color w:val="000000"/>
                <w:szCs w:val="20"/>
                <w:lang w:val="en-GB" w:eastAsia="en-GB"/>
              </w:rPr>
              <w:t xml:space="preserve"> missed</w:t>
            </w:r>
          </w:p>
        </w:tc>
        <w:tc>
          <w:tcPr>
            <w:tcW w:w="3119" w:type="dxa"/>
            <w:tcBorders>
              <w:top w:val="nil"/>
              <w:left w:val="nil"/>
              <w:bottom w:val="single" w:sz="4" w:space="0" w:color="auto"/>
              <w:right w:val="single" w:sz="4" w:space="0" w:color="auto"/>
            </w:tcBorders>
            <w:vAlign w:val="center"/>
          </w:tcPr>
          <w:p w14:paraId="04D3BD62"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Re-read and follow the protocol</w:t>
            </w:r>
            <w:r w:rsidRPr="002003DC">
              <w:rPr>
                <w:rFonts w:cs="Arial"/>
                <w:color w:val="000000"/>
                <w:szCs w:val="20"/>
                <w:lang w:val="en-GB" w:eastAsia="en-GB"/>
              </w:rPr>
              <w:t xml:space="preserve"> exactly</w:t>
            </w:r>
          </w:p>
        </w:tc>
      </w:tr>
      <w:tr w:rsidR="0035257C" w:rsidRPr="00913AF2" w14:paraId="04D3BD67" w14:textId="77777777" w:rsidTr="007E3D65">
        <w:trPr>
          <w:trHeight w:val="525"/>
        </w:trPr>
        <w:tc>
          <w:tcPr>
            <w:tcW w:w="1297" w:type="dxa"/>
            <w:vMerge/>
            <w:tcBorders>
              <w:left w:val="single" w:sz="4" w:space="0" w:color="auto"/>
              <w:right w:val="single" w:sz="4" w:space="0" w:color="auto"/>
            </w:tcBorders>
            <w:noWrap/>
          </w:tcPr>
          <w:p w14:paraId="04D3BD64" w14:textId="77777777" w:rsidR="0035257C" w:rsidRPr="00AF7CBE"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65"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Plate read at incorrect wavelength</w:t>
            </w:r>
          </w:p>
        </w:tc>
        <w:tc>
          <w:tcPr>
            <w:tcW w:w="3119" w:type="dxa"/>
            <w:tcBorders>
              <w:top w:val="nil"/>
              <w:left w:val="nil"/>
              <w:bottom w:val="single" w:sz="4" w:space="0" w:color="auto"/>
              <w:right w:val="single" w:sz="4" w:space="0" w:color="auto"/>
            </w:tcBorders>
            <w:vAlign w:val="center"/>
          </w:tcPr>
          <w:p w14:paraId="04D3BD66"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Ensure</w:t>
            </w:r>
            <w:r w:rsidRPr="002003DC">
              <w:rPr>
                <w:rFonts w:cs="Arial"/>
                <w:color w:val="000000"/>
                <w:szCs w:val="20"/>
                <w:lang w:val="en-GB" w:eastAsia="en-GB"/>
              </w:rPr>
              <w:t xml:space="preserve"> </w:t>
            </w:r>
            <w:r>
              <w:rPr>
                <w:rFonts w:cs="Arial"/>
                <w:color w:val="000000"/>
                <w:szCs w:val="20"/>
                <w:lang w:val="en-GB" w:eastAsia="en-GB"/>
              </w:rPr>
              <w:t xml:space="preserve">you are </w:t>
            </w:r>
            <w:r w:rsidRPr="002003DC">
              <w:rPr>
                <w:rFonts w:cs="Arial"/>
                <w:color w:val="000000"/>
                <w:szCs w:val="20"/>
                <w:lang w:val="en-GB" w:eastAsia="en-GB"/>
              </w:rPr>
              <w:t>using appropriate reader and filter settings</w:t>
            </w:r>
            <w:r>
              <w:rPr>
                <w:rFonts w:cs="Arial"/>
                <w:color w:val="000000"/>
                <w:szCs w:val="20"/>
                <w:lang w:val="en-GB" w:eastAsia="en-GB"/>
              </w:rPr>
              <w:t xml:space="preserve"> (refer to datasheet</w:t>
            </w:r>
            <w:r w:rsidRPr="002003DC">
              <w:rPr>
                <w:rFonts w:cs="Arial"/>
                <w:color w:val="000000"/>
                <w:szCs w:val="20"/>
                <w:lang w:val="en-GB" w:eastAsia="en-GB"/>
              </w:rPr>
              <w:t>)</w:t>
            </w:r>
          </w:p>
        </w:tc>
      </w:tr>
      <w:tr w:rsidR="0035257C" w:rsidRPr="00913AF2" w14:paraId="04D3BD6B" w14:textId="77777777" w:rsidTr="007E3D65">
        <w:trPr>
          <w:trHeight w:val="1035"/>
        </w:trPr>
        <w:tc>
          <w:tcPr>
            <w:tcW w:w="1297" w:type="dxa"/>
            <w:vMerge/>
            <w:tcBorders>
              <w:left w:val="single" w:sz="4" w:space="0" w:color="auto"/>
              <w:bottom w:val="double" w:sz="4" w:space="0" w:color="auto"/>
              <w:right w:val="single" w:sz="4" w:space="0" w:color="auto"/>
            </w:tcBorders>
            <w:noWrap/>
          </w:tcPr>
          <w:p w14:paraId="04D3BD68" w14:textId="77777777" w:rsidR="0035257C" w:rsidRPr="00AF7CBE" w:rsidRDefault="0035257C" w:rsidP="007E3D65">
            <w:pPr>
              <w:spacing w:before="0" w:line="240" w:lineRule="auto"/>
              <w:jc w:val="left"/>
              <w:rPr>
                <w:rFonts w:cs="Arial"/>
                <w:color w:val="000000"/>
                <w:szCs w:val="20"/>
                <w:lang w:val="en-GB" w:eastAsia="en-GB"/>
              </w:rPr>
            </w:pPr>
          </w:p>
        </w:tc>
        <w:tc>
          <w:tcPr>
            <w:tcW w:w="2126" w:type="dxa"/>
            <w:tcBorders>
              <w:top w:val="nil"/>
              <w:left w:val="nil"/>
              <w:bottom w:val="double" w:sz="4" w:space="0" w:color="auto"/>
              <w:right w:val="single" w:sz="4" w:space="0" w:color="auto"/>
            </w:tcBorders>
            <w:vAlign w:val="center"/>
          </w:tcPr>
          <w:p w14:paraId="04D3BD69"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U</w:t>
            </w:r>
            <w:r w:rsidRPr="002003DC">
              <w:rPr>
                <w:rFonts w:cs="Arial"/>
                <w:color w:val="000000"/>
                <w:szCs w:val="20"/>
                <w:lang w:val="en-GB" w:eastAsia="en-GB"/>
              </w:rPr>
              <w:t>nsuitable microtiter plate</w:t>
            </w:r>
            <w:r>
              <w:rPr>
                <w:rFonts w:cs="Arial"/>
                <w:color w:val="000000"/>
                <w:szCs w:val="20"/>
                <w:lang w:val="en-GB" w:eastAsia="en-GB"/>
              </w:rPr>
              <w:t xml:space="preserve"> for assay</w:t>
            </w:r>
          </w:p>
        </w:tc>
        <w:tc>
          <w:tcPr>
            <w:tcW w:w="3119" w:type="dxa"/>
            <w:tcBorders>
              <w:top w:val="nil"/>
              <w:left w:val="nil"/>
              <w:bottom w:val="double" w:sz="4" w:space="0" w:color="auto"/>
              <w:right w:val="single" w:sz="4" w:space="0" w:color="auto"/>
            </w:tcBorders>
            <w:vAlign w:val="center"/>
          </w:tcPr>
          <w:p w14:paraId="04D3BD6A"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Fluorescence: Black plates (clear bottoms)</w:t>
            </w:r>
            <w:r>
              <w:rPr>
                <w:rFonts w:cs="Arial"/>
                <w:color w:val="000000"/>
                <w:szCs w:val="20"/>
                <w:lang w:val="en-GB" w:eastAsia="en-GB"/>
              </w:rPr>
              <w:t>;</w:t>
            </w:r>
            <w:r>
              <w:rPr>
                <w:rFonts w:cs="Arial"/>
                <w:color w:val="000000"/>
                <w:szCs w:val="20"/>
                <w:lang w:val="en-GB" w:eastAsia="en-GB"/>
              </w:rPr>
              <w:br/>
            </w:r>
            <w:r w:rsidRPr="002003DC">
              <w:rPr>
                <w:rFonts w:cs="Arial"/>
                <w:color w:val="000000"/>
                <w:szCs w:val="20"/>
                <w:lang w:val="en-GB" w:eastAsia="en-GB"/>
              </w:rPr>
              <w:t>Luminescence: White plates</w:t>
            </w:r>
            <w:r>
              <w:rPr>
                <w:rFonts w:cs="Arial"/>
                <w:color w:val="000000"/>
                <w:szCs w:val="20"/>
                <w:lang w:val="en-GB" w:eastAsia="en-GB"/>
              </w:rPr>
              <w:t>;</w:t>
            </w:r>
            <w:r>
              <w:rPr>
                <w:rFonts w:cs="Arial"/>
                <w:color w:val="000000"/>
                <w:szCs w:val="20"/>
                <w:lang w:val="en-GB" w:eastAsia="en-GB"/>
              </w:rPr>
              <w:br/>
            </w:r>
            <w:r w:rsidRPr="002003DC">
              <w:rPr>
                <w:rFonts w:cs="Arial"/>
                <w:color w:val="000000"/>
                <w:szCs w:val="20"/>
                <w:lang w:val="en-GB" w:eastAsia="en-GB"/>
              </w:rPr>
              <w:t>Colorimetry: Clear plates</w:t>
            </w:r>
            <w:r>
              <w:rPr>
                <w:rFonts w:cs="Arial"/>
                <w:color w:val="000000"/>
                <w:szCs w:val="20"/>
                <w:lang w:val="en-GB" w:eastAsia="en-GB"/>
              </w:rPr>
              <w:t>.</w:t>
            </w:r>
            <w:r w:rsidRPr="002003DC">
              <w:rPr>
                <w:rFonts w:cs="Arial"/>
                <w:color w:val="000000"/>
                <w:szCs w:val="20"/>
                <w:lang w:val="en-GB" w:eastAsia="en-GB"/>
              </w:rPr>
              <w:br/>
              <w:t>If critical, datasheet will indicate whether to use flat- or U-shaped wells</w:t>
            </w:r>
          </w:p>
        </w:tc>
      </w:tr>
      <w:tr w:rsidR="0035257C" w:rsidRPr="00913AF2" w14:paraId="04D3BD6F" w14:textId="77777777" w:rsidTr="007E3D65">
        <w:trPr>
          <w:trHeight w:val="525"/>
        </w:trPr>
        <w:tc>
          <w:tcPr>
            <w:tcW w:w="1297" w:type="dxa"/>
            <w:vMerge w:val="restart"/>
            <w:tcBorders>
              <w:top w:val="double" w:sz="4" w:space="0" w:color="auto"/>
              <w:left w:val="single" w:sz="4" w:space="0" w:color="auto"/>
              <w:right w:val="single" w:sz="4" w:space="0" w:color="auto"/>
            </w:tcBorders>
            <w:noWrap/>
          </w:tcPr>
          <w:p w14:paraId="04D3BD6C" w14:textId="77777777" w:rsidR="0035257C" w:rsidRPr="00AF7CBE" w:rsidRDefault="0035257C" w:rsidP="007E3D65">
            <w:pPr>
              <w:spacing w:before="0" w:line="240" w:lineRule="auto"/>
              <w:jc w:val="left"/>
              <w:rPr>
                <w:rFonts w:cs="Arial"/>
                <w:color w:val="000000"/>
                <w:szCs w:val="20"/>
                <w:lang w:val="en-GB" w:eastAsia="en-GB"/>
              </w:rPr>
            </w:pPr>
            <w:r w:rsidRPr="00AF7CBE">
              <w:rPr>
                <w:rFonts w:cs="Arial"/>
                <w:color w:val="000000"/>
                <w:szCs w:val="20"/>
                <w:lang w:val="en-GB" w:eastAsia="en-GB"/>
              </w:rPr>
              <w:t>Unexpected results</w:t>
            </w:r>
          </w:p>
        </w:tc>
        <w:tc>
          <w:tcPr>
            <w:tcW w:w="2126" w:type="dxa"/>
            <w:tcBorders>
              <w:top w:val="double" w:sz="4" w:space="0" w:color="auto"/>
              <w:left w:val="nil"/>
              <w:bottom w:val="single" w:sz="4" w:space="0" w:color="auto"/>
              <w:right w:val="single" w:sz="4" w:space="0" w:color="auto"/>
            </w:tcBorders>
            <w:vAlign w:val="center"/>
          </w:tcPr>
          <w:p w14:paraId="04D3BD6D"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 xml:space="preserve">Measured at wrong wavelength </w:t>
            </w:r>
          </w:p>
        </w:tc>
        <w:tc>
          <w:tcPr>
            <w:tcW w:w="3119" w:type="dxa"/>
            <w:tcBorders>
              <w:top w:val="double" w:sz="4" w:space="0" w:color="auto"/>
              <w:left w:val="nil"/>
              <w:bottom w:val="single" w:sz="4" w:space="0" w:color="auto"/>
              <w:right w:val="single" w:sz="4" w:space="0" w:color="auto"/>
            </w:tcBorders>
            <w:vAlign w:val="center"/>
          </w:tcPr>
          <w:p w14:paraId="04D3BD6E"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Use</w:t>
            </w:r>
            <w:r w:rsidRPr="002003DC">
              <w:rPr>
                <w:rFonts w:cs="Arial"/>
                <w:color w:val="000000"/>
                <w:szCs w:val="20"/>
                <w:lang w:val="en-GB" w:eastAsia="en-GB"/>
              </w:rPr>
              <w:t xml:space="preserve"> appropriate reader and filter settings </w:t>
            </w:r>
            <w:r>
              <w:rPr>
                <w:rFonts w:cs="Arial"/>
                <w:color w:val="000000"/>
                <w:szCs w:val="20"/>
                <w:lang w:val="en-GB" w:eastAsia="en-GB"/>
              </w:rPr>
              <w:t>described in</w:t>
            </w:r>
            <w:r w:rsidRPr="002003DC">
              <w:rPr>
                <w:rFonts w:cs="Arial"/>
                <w:color w:val="000000"/>
                <w:szCs w:val="20"/>
                <w:lang w:val="en-GB" w:eastAsia="en-GB"/>
              </w:rPr>
              <w:t xml:space="preserve"> datasheet</w:t>
            </w:r>
          </w:p>
        </w:tc>
      </w:tr>
      <w:tr w:rsidR="0035257C" w:rsidRPr="00913AF2" w14:paraId="04D3BD73" w14:textId="77777777" w:rsidTr="007E3D65">
        <w:trPr>
          <w:trHeight w:val="300"/>
        </w:trPr>
        <w:tc>
          <w:tcPr>
            <w:tcW w:w="1297" w:type="dxa"/>
            <w:vMerge/>
            <w:tcBorders>
              <w:left w:val="single" w:sz="4" w:space="0" w:color="auto"/>
              <w:right w:val="single" w:sz="4" w:space="0" w:color="auto"/>
            </w:tcBorders>
            <w:noWrap/>
          </w:tcPr>
          <w:p w14:paraId="04D3BD70" w14:textId="77777777" w:rsidR="0035257C" w:rsidRPr="00AF7CBE"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71"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Samples contain impeding substances</w:t>
            </w:r>
          </w:p>
        </w:tc>
        <w:tc>
          <w:tcPr>
            <w:tcW w:w="3119" w:type="dxa"/>
            <w:tcBorders>
              <w:top w:val="nil"/>
              <w:left w:val="nil"/>
              <w:bottom w:val="single" w:sz="4" w:space="0" w:color="auto"/>
              <w:right w:val="single" w:sz="4" w:space="0" w:color="auto"/>
            </w:tcBorders>
            <w:vAlign w:val="center"/>
          </w:tcPr>
          <w:p w14:paraId="04D3BD72"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 xml:space="preserve">Troubleshoot </w:t>
            </w:r>
            <w:proofErr w:type="gramStart"/>
            <w:r w:rsidRPr="002003DC">
              <w:rPr>
                <w:rFonts w:cs="Arial"/>
                <w:color w:val="000000"/>
                <w:szCs w:val="20"/>
                <w:lang w:val="en-GB" w:eastAsia="en-GB"/>
              </w:rPr>
              <w:t>and also</w:t>
            </w:r>
            <w:proofErr w:type="gramEnd"/>
            <w:r w:rsidRPr="002003DC">
              <w:rPr>
                <w:rFonts w:cs="Arial"/>
                <w:color w:val="000000"/>
                <w:szCs w:val="20"/>
                <w:lang w:val="en-GB" w:eastAsia="en-GB"/>
              </w:rPr>
              <w:t xml:space="preserve"> consider deproteinizing samples</w:t>
            </w:r>
          </w:p>
        </w:tc>
      </w:tr>
      <w:tr w:rsidR="0035257C" w:rsidRPr="00913AF2" w14:paraId="04D3BD77" w14:textId="77777777" w:rsidTr="007E3D65">
        <w:trPr>
          <w:trHeight w:val="300"/>
        </w:trPr>
        <w:tc>
          <w:tcPr>
            <w:tcW w:w="1297" w:type="dxa"/>
            <w:vMerge/>
            <w:tcBorders>
              <w:left w:val="single" w:sz="4" w:space="0" w:color="auto"/>
              <w:right w:val="single" w:sz="4" w:space="0" w:color="auto"/>
            </w:tcBorders>
            <w:noWrap/>
          </w:tcPr>
          <w:p w14:paraId="04D3BD74"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75"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U</w:t>
            </w:r>
            <w:r w:rsidRPr="002003DC">
              <w:rPr>
                <w:rFonts w:cs="Arial"/>
                <w:color w:val="000000"/>
                <w:szCs w:val="20"/>
                <w:lang w:val="en-GB" w:eastAsia="en-GB"/>
              </w:rPr>
              <w:t>nsuitable sample type</w:t>
            </w:r>
          </w:p>
        </w:tc>
        <w:tc>
          <w:tcPr>
            <w:tcW w:w="3119" w:type="dxa"/>
            <w:tcBorders>
              <w:top w:val="nil"/>
              <w:left w:val="nil"/>
              <w:bottom w:val="single" w:sz="4" w:space="0" w:color="auto"/>
              <w:right w:val="single" w:sz="4" w:space="0" w:color="auto"/>
            </w:tcBorders>
            <w:vAlign w:val="center"/>
          </w:tcPr>
          <w:p w14:paraId="04D3BD76"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Use r</w:t>
            </w:r>
            <w:r w:rsidRPr="002003DC">
              <w:rPr>
                <w:rFonts w:cs="Arial"/>
                <w:color w:val="000000"/>
                <w:szCs w:val="20"/>
                <w:lang w:val="en-GB" w:eastAsia="en-GB"/>
              </w:rPr>
              <w:t xml:space="preserve">ecommended </w:t>
            </w:r>
            <w:proofErr w:type="gramStart"/>
            <w:r w:rsidRPr="002003DC">
              <w:rPr>
                <w:rFonts w:cs="Arial"/>
                <w:color w:val="000000"/>
                <w:szCs w:val="20"/>
                <w:lang w:val="en-GB" w:eastAsia="en-GB"/>
              </w:rPr>
              <w:t>samples</w:t>
            </w:r>
            <w:proofErr w:type="gramEnd"/>
            <w:r w:rsidRPr="002003DC">
              <w:rPr>
                <w:rFonts w:cs="Arial"/>
                <w:color w:val="000000"/>
                <w:szCs w:val="20"/>
                <w:lang w:val="en-GB" w:eastAsia="en-GB"/>
              </w:rPr>
              <w:t xml:space="preserve"> types </w:t>
            </w:r>
            <w:r>
              <w:rPr>
                <w:rFonts w:cs="Arial"/>
                <w:color w:val="000000"/>
                <w:szCs w:val="20"/>
                <w:lang w:val="en-GB" w:eastAsia="en-GB"/>
              </w:rPr>
              <w:t>as</w:t>
            </w:r>
            <w:r w:rsidRPr="002003DC">
              <w:rPr>
                <w:rFonts w:cs="Arial"/>
                <w:color w:val="000000"/>
                <w:szCs w:val="20"/>
                <w:lang w:val="en-GB" w:eastAsia="en-GB"/>
              </w:rPr>
              <w:t xml:space="preserve"> listed on the datasheet</w:t>
            </w:r>
          </w:p>
        </w:tc>
      </w:tr>
      <w:tr w:rsidR="0035257C" w:rsidRPr="00913AF2" w14:paraId="04D3BD7B" w14:textId="77777777" w:rsidTr="007E3D65">
        <w:trPr>
          <w:trHeight w:val="300"/>
        </w:trPr>
        <w:tc>
          <w:tcPr>
            <w:tcW w:w="1297" w:type="dxa"/>
            <w:vMerge/>
            <w:tcBorders>
              <w:left w:val="single" w:sz="4" w:space="0" w:color="auto"/>
              <w:bottom w:val="double" w:sz="4" w:space="0" w:color="auto"/>
              <w:right w:val="single" w:sz="4" w:space="0" w:color="auto"/>
            </w:tcBorders>
            <w:noWrap/>
          </w:tcPr>
          <w:p w14:paraId="04D3BD78" w14:textId="77777777" w:rsidR="0035257C" w:rsidRPr="002003DC" w:rsidRDefault="0035257C" w:rsidP="007E3D65">
            <w:pPr>
              <w:spacing w:before="0" w:line="240" w:lineRule="auto"/>
              <w:jc w:val="left"/>
              <w:rPr>
                <w:rFonts w:cs="Arial"/>
                <w:color w:val="000000"/>
                <w:szCs w:val="20"/>
                <w:lang w:val="en-GB" w:eastAsia="en-GB"/>
              </w:rPr>
            </w:pPr>
          </w:p>
        </w:tc>
        <w:tc>
          <w:tcPr>
            <w:tcW w:w="2126" w:type="dxa"/>
            <w:tcBorders>
              <w:top w:val="nil"/>
              <w:left w:val="nil"/>
              <w:bottom w:val="double" w:sz="4" w:space="0" w:color="auto"/>
              <w:right w:val="single" w:sz="4" w:space="0" w:color="auto"/>
            </w:tcBorders>
            <w:vAlign w:val="center"/>
          </w:tcPr>
          <w:p w14:paraId="04D3BD79"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Sample readings are outside linear range</w:t>
            </w:r>
          </w:p>
        </w:tc>
        <w:tc>
          <w:tcPr>
            <w:tcW w:w="3119" w:type="dxa"/>
            <w:tcBorders>
              <w:top w:val="nil"/>
              <w:left w:val="nil"/>
              <w:bottom w:val="double" w:sz="4" w:space="0" w:color="auto"/>
              <w:right w:val="single" w:sz="4" w:space="0" w:color="auto"/>
            </w:tcBorders>
            <w:vAlign w:val="center"/>
          </w:tcPr>
          <w:p w14:paraId="04D3BD7A"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Co</w:t>
            </w:r>
            <w:r w:rsidRPr="002003DC">
              <w:rPr>
                <w:rFonts w:cs="Arial"/>
                <w:color w:val="000000"/>
                <w:szCs w:val="20"/>
                <w:lang w:val="en-GB" w:eastAsia="en-GB"/>
              </w:rPr>
              <w:t>ncentrate</w:t>
            </w:r>
            <w:r>
              <w:rPr>
                <w:rFonts w:cs="Arial"/>
                <w:color w:val="000000"/>
                <w:szCs w:val="20"/>
                <w:lang w:val="en-GB" w:eastAsia="en-GB"/>
              </w:rPr>
              <w:t>/</w:t>
            </w:r>
            <w:r w:rsidRPr="002003DC">
              <w:rPr>
                <w:rFonts w:cs="Arial"/>
                <w:color w:val="000000"/>
                <w:szCs w:val="20"/>
                <w:lang w:val="en-GB" w:eastAsia="en-GB"/>
              </w:rPr>
              <w:t xml:space="preserve"> dilute samples</w:t>
            </w:r>
            <w:r>
              <w:rPr>
                <w:rFonts w:cs="Arial"/>
                <w:color w:val="000000"/>
                <w:szCs w:val="20"/>
                <w:lang w:val="en-GB" w:eastAsia="en-GB"/>
              </w:rPr>
              <w:t xml:space="preserve"> to be in linear range</w:t>
            </w:r>
          </w:p>
        </w:tc>
      </w:tr>
    </w:tbl>
    <w:p w14:paraId="04D3BD7C" w14:textId="77777777" w:rsidR="0035257C" w:rsidRDefault="0035257C" w:rsidP="0035257C"/>
    <w:p w14:paraId="04D3BD7D" w14:textId="77777777" w:rsidR="0035257C" w:rsidRDefault="0035257C" w:rsidP="0035257C"/>
    <w:p w14:paraId="04D3BD7E" w14:textId="77777777" w:rsidR="0035257C" w:rsidRDefault="0035257C" w:rsidP="0035257C"/>
    <w:tbl>
      <w:tblPr>
        <w:tblW w:w="6542" w:type="dxa"/>
        <w:tblLayout w:type="fixed"/>
        <w:tblCellMar>
          <w:top w:w="28" w:type="dxa"/>
        </w:tblCellMar>
        <w:tblLook w:val="00A0" w:firstRow="1" w:lastRow="0" w:firstColumn="1" w:lastColumn="0" w:noHBand="0" w:noVBand="0"/>
      </w:tblPr>
      <w:tblGrid>
        <w:gridCol w:w="1297"/>
        <w:gridCol w:w="2126"/>
        <w:gridCol w:w="3119"/>
      </w:tblGrid>
      <w:tr w:rsidR="0035257C" w:rsidRPr="00913AF2" w14:paraId="04D3BD82" w14:textId="77777777" w:rsidTr="007E3D65">
        <w:trPr>
          <w:trHeight w:val="525"/>
        </w:trPr>
        <w:tc>
          <w:tcPr>
            <w:tcW w:w="1297" w:type="dxa"/>
            <w:vMerge w:val="restart"/>
            <w:tcBorders>
              <w:top w:val="double" w:sz="4" w:space="0" w:color="auto"/>
              <w:left w:val="single" w:sz="4" w:space="0" w:color="auto"/>
              <w:right w:val="single" w:sz="4" w:space="0" w:color="auto"/>
            </w:tcBorders>
          </w:tcPr>
          <w:p w14:paraId="04D3BD7F"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lastRenderedPageBreak/>
              <w:t>Samples with inconsistent readings</w:t>
            </w:r>
          </w:p>
        </w:tc>
        <w:tc>
          <w:tcPr>
            <w:tcW w:w="2126" w:type="dxa"/>
            <w:tcBorders>
              <w:top w:val="double" w:sz="4" w:space="0" w:color="auto"/>
              <w:left w:val="nil"/>
              <w:bottom w:val="single" w:sz="4" w:space="0" w:color="auto"/>
              <w:right w:val="single" w:sz="4" w:space="0" w:color="auto"/>
            </w:tcBorders>
            <w:vAlign w:val="center"/>
          </w:tcPr>
          <w:p w14:paraId="04D3BD80"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U</w:t>
            </w:r>
            <w:r w:rsidRPr="002003DC">
              <w:rPr>
                <w:rFonts w:cs="Arial"/>
                <w:color w:val="000000"/>
                <w:szCs w:val="20"/>
                <w:lang w:val="en-GB" w:eastAsia="en-GB"/>
              </w:rPr>
              <w:t>nsuitable sample type</w:t>
            </w:r>
          </w:p>
        </w:tc>
        <w:tc>
          <w:tcPr>
            <w:tcW w:w="3119" w:type="dxa"/>
            <w:tcBorders>
              <w:top w:val="double" w:sz="4" w:space="0" w:color="auto"/>
              <w:left w:val="nil"/>
              <w:bottom w:val="single" w:sz="4" w:space="0" w:color="auto"/>
              <w:right w:val="single" w:sz="4" w:space="0" w:color="auto"/>
            </w:tcBorders>
            <w:vAlign w:val="center"/>
          </w:tcPr>
          <w:p w14:paraId="04D3BD81"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Refer to datasheet for details about incompatible samples</w:t>
            </w:r>
          </w:p>
        </w:tc>
      </w:tr>
      <w:tr w:rsidR="0035257C" w:rsidRPr="00913AF2" w14:paraId="04D3BD86" w14:textId="77777777" w:rsidTr="007E3D65">
        <w:trPr>
          <w:trHeight w:val="525"/>
        </w:trPr>
        <w:tc>
          <w:tcPr>
            <w:tcW w:w="1297" w:type="dxa"/>
            <w:vMerge/>
            <w:tcBorders>
              <w:left w:val="single" w:sz="4" w:space="0" w:color="auto"/>
              <w:right w:val="single" w:sz="4" w:space="0" w:color="auto"/>
            </w:tcBorders>
            <w:noWrap/>
            <w:vAlign w:val="center"/>
          </w:tcPr>
          <w:p w14:paraId="04D3BD83"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84"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 xml:space="preserve">Samples </w:t>
            </w:r>
            <w:r w:rsidRPr="002003DC">
              <w:rPr>
                <w:rFonts w:cs="Arial"/>
                <w:color w:val="000000"/>
                <w:szCs w:val="20"/>
                <w:lang w:val="en-GB" w:eastAsia="en-GB"/>
              </w:rPr>
              <w:t xml:space="preserve">prepared in </w:t>
            </w:r>
            <w:r>
              <w:rPr>
                <w:rFonts w:cs="Arial"/>
                <w:color w:val="000000"/>
                <w:szCs w:val="20"/>
                <w:lang w:val="en-GB" w:eastAsia="en-GB"/>
              </w:rPr>
              <w:t xml:space="preserve">the wrong </w:t>
            </w:r>
            <w:r w:rsidRPr="002003DC">
              <w:rPr>
                <w:rFonts w:cs="Arial"/>
                <w:color w:val="000000"/>
                <w:szCs w:val="20"/>
                <w:lang w:val="en-GB" w:eastAsia="en-GB"/>
              </w:rPr>
              <w:t>buffer</w:t>
            </w:r>
          </w:p>
        </w:tc>
        <w:tc>
          <w:tcPr>
            <w:tcW w:w="3119" w:type="dxa"/>
            <w:tcBorders>
              <w:top w:val="nil"/>
              <w:left w:val="nil"/>
              <w:bottom w:val="single" w:sz="4" w:space="0" w:color="auto"/>
              <w:right w:val="single" w:sz="4" w:space="0" w:color="auto"/>
            </w:tcBorders>
            <w:vAlign w:val="center"/>
          </w:tcPr>
          <w:p w14:paraId="04D3BD85"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Use the ass</w:t>
            </w:r>
            <w:r>
              <w:rPr>
                <w:rFonts w:cs="Arial"/>
                <w:color w:val="000000"/>
                <w:szCs w:val="20"/>
                <w:lang w:val="en-GB" w:eastAsia="en-GB"/>
              </w:rPr>
              <w:t>ay buffer provided (</w:t>
            </w:r>
            <w:r w:rsidRPr="002003DC">
              <w:rPr>
                <w:rFonts w:cs="Arial"/>
                <w:color w:val="000000"/>
                <w:szCs w:val="20"/>
                <w:lang w:val="en-GB" w:eastAsia="en-GB"/>
              </w:rPr>
              <w:t>or refer to datasheet for instructions</w:t>
            </w:r>
            <w:r>
              <w:rPr>
                <w:rFonts w:cs="Arial"/>
                <w:color w:val="000000"/>
                <w:szCs w:val="20"/>
                <w:lang w:val="en-GB" w:eastAsia="en-GB"/>
              </w:rPr>
              <w:t>)</w:t>
            </w:r>
          </w:p>
        </w:tc>
      </w:tr>
      <w:tr w:rsidR="0035257C" w:rsidRPr="00913AF2" w14:paraId="04D3BD8A" w14:textId="77777777" w:rsidTr="007E3D65">
        <w:trPr>
          <w:trHeight w:val="525"/>
        </w:trPr>
        <w:tc>
          <w:tcPr>
            <w:tcW w:w="1297" w:type="dxa"/>
            <w:vMerge/>
            <w:tcBorders>
              <w:left w:val="single" w:sz="4" w:space="0" w:color="auto"/>
              <w:right w:val="single" w:sz="4" w:space="0" w:color="auto"/>
            </w:tcBorders>
            <w:noWrap/>
            <w:vAlign w:val="center"/>
          </w:tcPr>
          <w:p w14:paraId="04D3BD87"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88"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Samples</w:t>
            </w:r>
            <w:r w:rsidRPr="002003DC">
              <w:rPr>
                <w:rFonts w:cs="Arial"/>
                <w:color w:val="000000"/>
                <w:szCs w:val="20"/>
                <w:lang w:val="en-GB" w:eastAsia="en-GB"/>
              </w:rPr>
              <w:t xml:space="preserve"> not deproteinized (</w:t>
            </w:r>
            <w:r>
              <w:rPr>
                <w:rFonts w:cs="Arial"/>
                <w:color w:val="000000"/>
                <w:szCs w:val="20"/>
                <w:lang w:val="en-GB" w:eastAsia="en-GB"/>
              </w:rPr>
              <w:t xml:space="preserve">if </w:t>
            </w:r>
            <w:r w:rsidRPr="002003DC">
              <w:rPr>
                <w:rFonts w:cs="Arial"/>
                <w:color w:val="000000"/>
                <w:szCs w:val="20"/>
                <w:lang w:val="en-GB" w:eastAsia="en-GB"/>
              </w:rPr>
              <w:t>indicated on datasheet)</w:t>
            </w:r>
          </w:p>
        </w:tc>
        <w:tc>
          <w:tcPr>
            <w:tcW w:w="3119" w:type="dxa"/>
            <w:tcBorders>
              <w:top w:val="nil"/>
              <w:left w:val="nil"/>
              <w:bottom w:val="single" w:sz="4" w:space="0" w:color="auto"/>
              <w:right w:val="single" w:sz="4" w:space="0" w:color="auto"/>
            </w:tcBorders>
            <w:vAlign w:val="center"/>
          </w:tcPr>
          <w:p w14:paraId="04D3BD89"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 xml:space="preserve">Use the </w:t>
            </w:r>
            <w:r w:rsidRPr="002056E4">
              <w:rPr>
                <w:rFonts w:cs="Arial"/>
                <w:b/>
                <w:bCs/>
                <w:i/>
                <w:color w:val="000000"/>
                <w:szCs w:val="20"/>
                <w:lang w:val="en-GB" w:eastAsia="en-GB"/>
              </w:rPr>
              <w:t>10kDa spin column (ab93349)</w:t>
            </w:r>
          </w:p>
        </w:tc>
      </w:tr>
      <w:tr w:rsidR="0035257C" w:rsidRPr="00913AF2" w14:paraId="04D3BD8E" w14:textId="77777777" w:rsidTr="007E3D65">
        <w:trPr>
          <w:trHeight w:val="525"/>
        </w:trPr>
        <w:tc>
          <w:tcPr>
            <w:tcW w:w="1297" w:type="dxa"/>
            <w:vMerge/>
            <w:tcBorders>
              <w:left w:val="single" w:sz="4" w:space="0" w:color="auto"/>
              <w:right w:val="single" w:sz="4" w:space="0" w:color="auto"/>
            </w:tcBorders>
            <w:noWrap/>
            <w:vAlign w:val="center"/>
          </w:tcPr>
          <w:p w14:paraId="04D3BD8B"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8C"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 xml:space="preserve">Cell/ tissue samples </w:t>
            </w:r>
            <w:r w:rsidRPr="002003DC">
              <w:rPr>
                <w:rFonts w:cs="Arial"/>
                <w:color w:val="000000"/>
                <w:szCs w:val="20"/>
                <w:lang w:val="en-GB" w:eastAsia="en-GB"/>
              </w:rPr>
              <w:t>not sufficiently homogenized</w:t>
            </w:r>
          </w:p>
        </w:tc>
        <w:tc>
          <w:tcPr>
            <w:tcW w:w="3119" w:type="dxa"/>
            <w:tcBorders>
              <w:top w:val="nil"/>
              <w:left w:val="nil"/>
              <w:bottom w:val="single" w:sz="4" w:space="0" w:color="auto"/>
              <w:right w:val="single" w:sz="4" w:space="0" w:color="auto"/>
            </w:tcBorders>
            <w:vAlign w:val="center"/>
          </w:tcPr>
          <w:p w14:paraId="04D3BD8D"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Increase sonication time</w:t>
            </w:r>
            <w:r>
              <w:rPr>
                <w:rFonts w:cs="Arial"/>
                <w:color w:val="000000"/>
                <w:szCs w:val="20"/>
                <w:lang w:val="en-GB" w:eastAsia="en-GB"/>
              </w:rPr>
              <w:t>/</w:t>
            </w:r>
            <w:r w:rsidRPr="002003DC">
              <w:rPr>
                <w:rFonts w:cs="Arial"/>
                <w:color w:val="000000"/>
                <w:szCs w:val="20"/>
                <w:lang w:val="en-GB" w:eastAsia="en-GB"/>
              </w:rPr>
              <w:t xml:space="preserve"> number of strokes with the Dounce homogenizer</w:t>
            </w:r>
          </w:p>
        </w:tc>
      </w:tr>
      <w:tr w:rsidR="0035257C" w:rsidRPr="00913AF2" w14:paraId="04D3BD92" w14:textId="77777777" w:rsidTr="007E3D65">
        <w:trPr>
          <w:trHeight w:val="300"/>
        </w:trPr>
        <w:tc>
          <w:tcPr>
            <w:tcW w:w="1297" w:type="dxa"/>
            <w:vMerge/>
            <w:tcBorders>
              <w:left w:val="single" w:sz="4" w:space="0" w:color="auto"/>
              <w:right w:val="single" w:sz="4" w:space="0" w:color="auto"/>
            </w:tcBorders>
            <w:noWrap/>
            <w:vAlign w:val="center"/>
          </w:tcPr>
          <w:p w14:paraId="04D3BD8F"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90"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Too many freeze-thaw cycles</w:t>
            </w:r>
          </w:p>
        </w:tc>
        <w:tc>
          <w:tcPr>
            <w:tcW w:w="3119" w:type="dxa"/>
            <w:tcBorders>
              <w:top w:val="nil"/>
              <w:left w:val="nil"/>
              <w:bottom w:val="single" w:sz="4" w:space="0" w:color="auto"/>
              <w:right w:val="single" w:sz="4" w:space="0" w:color="auto"/>
            </w:tcBorders>
            <w:vAlign w:val="center"/>
          </w:tcPr>
          <w:p w14:paraId="04D3BD91"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Aliquot samples to reduce the number of freeze-thaw cycles</w:t>
            </w:r>
          </w:p>
        </w:tc>
      </w:tr>
      <w:tr w:rsidR="0035257C" w:rsidRPr="00913AF2" w14:paraId="04D3BD96" w14:textId="77777777" w:rsidTr="007E3D65">
        <w:trPr>
          <w:trHeight w:val="300"/>
        </w:trPr>
        <w:tc>
          <w:tcPr>
            <w:tcW w:w="1297" w:type="dxa"/>
            <w:vMerge/>
            <w:tcBorders>
              <w:left w:val="single" w:sz="4" w:space="0" w:color="auto"/>
              <w:right w:val="single" w:sz="4" w:space="0" w:color="auto"/>
            </w:tcBorders>
            <w:noWrap/>
            <w:vAlign w:val="center"/>
          </w:tcPr>
          <w:p w14:paraId="04D3BD93"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94"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Samples contain impeding substances</w:t>
            </w:r>
          </w:p>
        </w:tc>
        <w:tc>
          <w:tcPr>
            <w:tcW w:w="3119" w:type="dxa"/>
            <w:tcBorders>
              <w:top w:val="nil"/>
              <w:left w:val="nil"/>
              <w:bottom w:val="single" w:sz="4" w:space="0" w:color="auto"/>
              <w:right w:val="single" w:sz="4" w:space="0" w:color="auto"/>
            </w:tcBorders>
            <w:vAlign w:val="center"/>
          </w:tcPr>
          <w:p w14:paraId="04D3BD95"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 xml:space="preserve">Troubleshoot </w:t>
            </w:r>
            <w:proofErr w:type="gramStart"/>
            <w:r w:rsidRPr="002003DC">
              <w:rPr>
                <w:rFonts w:cs="Arial"/>
                <w:color w:val="000000"/>
                <w:szCs w:val="20"/>
                <w:lang w:val="en-GB" w:eastAsia="en-GB"/>
              </w:rPr>
              <w:t>and also</w:t>
            </w:r>
            <w:proofErr w:type="gramEnd"/>
            <w:r w:rsidRPr="002003DC">
              <w:rPr>
                <w:rFonts w:cs="Arial"/>
                <w:color w:val="000000"/>
                <w:szCs w:val="20"/>
                <w:lang w:val="en-GB" w:eastAsia="en-GB"/>
              </w:rPr>
              <w:t xml:space="preserve"> consider deproteinizing samples</w:t>
            </w:r>
          </w:p>
        </w:tc>
      </w:tr>
      <w:tr w:rsidR="0035257C" w:rsidRPr="00913AF2" w14:paraId="04D3BD9A" w14:textId="77777777" w:rsidTr="007E3D65">
        <w:trPr>
          <w:trHeight w:val="525"/>
        </w:trPr>
        <w:tc>
          <w:tcPr>
            <w:tcW w:w="1297" w:type="dxa"/>
            <w:vMerge/>
            <w:tcBorders>
              <w:left w:val="single" w:sz="4" w:space="0" w:color="auto"/>
              <w:bottom w:val="double" w:sz="4" w:space="0" w:color="auto"/>
              <w:right w:val="single" w:sz="4" w:space="0" w:color="auto"/>
            </w:tcBorders>
            <w:noWrap/>
            <w:vAlign w:val="center"/>
          </w:tcPr>
          <w:p w14:paraId="04D3BD97" w14:textId="77777777" w:rsidR="0035257C" w:rsidRPr="002003DC" w:rsidRDefault="0035257C" w:rsidP="007E3D65">
            <w:pPr>
              <w:spacing w:before="0" w:line="240" w:lineRule="auto"/>
              <w:jc w:val="left"/>
              <w:rPr>
                <w:rFonts w:cs="Arial"/>
                <w:color w:val="000000"/>
                <w:szCs w:val="20"/>
                <w:lang w:val="en-GB" w:eastAsia="en-GB"/>
              </w:rPr>
            </w:pPr>
          </w:p>
        </w:tc>
        <w:tc>
          <w:tcPr>
            <w:tcW w:w="2126" w:type="dxa"/>
            <w:tcBorders>
              <w:top w:val="nil"/>
              <w:left w:val="nil"/>
              <w:bottom w:val="double" w:sz="4" w:space="0" w:color="auto"/>
              <w:right w:val="single" w:sz="4" w:space="0" w:color="auto"/>
            </w:tcBorders>
            <w:vAlign w:val="center"/>
          </w:tcPr>
          <w:p w14:paraId="04D3BD98"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Samples are too old or incorrectly stored</w:t>
            </w:r>
          </w:p>
        </w:tc>
        <w:tc>
          <w:tcPr>
            <w:tcW w:w="3119" w:type="dxa"/>
            <w:tcBorders>
              <w:top w:val="nil"/>
              <w:left w:val="nil"/>
              <w:bottom w:val="double" w:sz="4" w:space="0" w:color="auto"/>
              <w:right w:val="single" w:sz="4" w:space="0" w:color="auto"/>
            </w:tcBorders>
            <w:vAlign w:val="center"/>
          </w:tcPr>
          <w:p w14:paraId="04D3BD99"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Use freshly made samples and store at recommended temperature until use</w:t>
            </w:r>
          </w:p>
        </w:tc>
      </w:tr>
      <w:tr w:rsidR="0035257C" w:rsidRPr="00913AF2" w14:paraId="04D3BD9E" w14:textId="77777777" w:rsidTr="007E3D65">
        <w:trPr>
          <w:trHeight w:val="525"/>
        </w:trPr>
        <w:tc>
          <w:tcPr>
            <w:tcW w:w="1297" w:type="dxa"/>
            <w:vMerge w:val="restart"/>
            <w:tcBorders>
              <w:top w:val="double" w:sz="4" w:space="0" w:color="auto"/>
              <w:left w:val="single" w:sz="4" w:space="0" w:color="auto"/>
              <w:right w:val="single" w:sz="4" w:space="0" w:color="auto"/>
            </w:tcBorders>
          </w:tcPr>
          <w:p w14:paraId="04D3BD9B"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Lower/ Higher readings in samples and standards</w:t>
            </w:r>
          </w:p>
        </w:tc>
        <w:tc>
          <w:tcPr>
            <w:tcW w:w="2126" w:type="dxa"/>
            <w:tcBorders>
              <w:top w:val="double" w:sz="4" w:space="0" w:color="auto"/>
              <w:left w:val="nil"/>
              <w:bottom w:val="single" w:sz="4" w:space="0" w:color="auto"/>
              <w:right w:val="single" w:sz="4" w:space="0" w:color="auto"/>
            </w:tcBorders>
            <w:vAlign w:val="center"/>
          </w:tcPr>
          <w:p w14:paraId="04D3BD9C"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Not</w:t>
            </w:r>
            <w:r w:rsidRPr="002003DC">
              <w:rPr>
                <w:rFonts w:cs="Arial"/>
                <w:color w:val="000000"/>
                <w:szCs w:val="20"/>
                <w:lang w:val="en-GB" w:eastAsia="en-GB"/>
              </w:rPr>
              <w:t xml:space="preserve"> fully thawed kit components</w:t>
            </w:r>
          </w:p>
        </w:tc>
        <w:tc>
          <w:tcPr>
            <w:tcW w:w="3119" w:type="dxa"/>
            <w:tcBorders>
              <w:top w:val="double" w:sz="4" w:space="0" w:color="auto"/>
              <w:left w:val="nil"/>
              <w:bottom w:val="single" w:sz="4" w:space="0" w:color="auto"/>
              <w:right w:val="single" w:sz="4" w:space="0" w:color="auto"/>
            </w:tcBorders>
            <w:vAlign w:val="center"/>
          </w:tcPr>
          <w:p w14:paraId="04D3BD9D"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Wait for components to thaw completely and gently mix prior use</w:t>
            </w:r>
          </w:p>
        </w:tc>
      </w:tr>
      <w:tr w:rsidR="0035257C" w:rsidRPr="00913AF2" w14:paraId="04D3BDA2" w14:textId="77777777" w:rsidTr="007E3D65">
        <w:trPr>
          <w:trHeight w:val="525"/>
        </w:trPr>
        <w:tc>
          <w:tcPr>
            <w:tcW w:w="1297" w:type="dxa"/>
            <w:vMerge/>
            <w:tcBorders>
              <w:left w:val="single" w:sz="4" w:space="0" w:color="auto"/>
              <w:right w:val="single" w:sz="4" w:space="0" w:color="auto"/>
            </w:tcBorders>
            <w:noWrap/>
          </w:tcPr>
          <w:p w14:paraId="04D3BD9F"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A0"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O</w:t>
            </w:r>
            <w:r w:rsidRPr="002003DC">
              <w:rPr>
                <w:rFonts w:cs="Arial"/>
                <w:color w:val="000000"/>
                <w:szCs w:val="20"/>
                <w:lang w:val="en-GB" w:eastAsia="en-GB"/>
              </w:rPr>
              <w:t>ut-of-date kit or incorrectly stored reagents</w:t>
            </w:r>
          </w:p>
        </w:tc>
        <w:tc>
          <w:tcPr>
            <w:tcW w:w="3119" w:type="dxa"/>
            <w:tcBorders>
              <w:top w:val="nil"/>
              <w:left w:val="nil"/>
              <w:bottom w:val="single" w:sz="4" w:space="0" w:color="auto"/>
              <w:right w:val="single" w:sz="4" w:space="0" w:color="auto"/>
            </w:tcBorders>
            <w:vAlign w:val="center"/>
          </w:tcPr>
          <w:p w14:paraId="04D3BDA1"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 xml:space="preserve">Always check </w:t>
            </w:r>
            <w:r w:rsidRPr="002003DC">
              <w:rPr>
                <w:rFonts w:cs="Arial"/>
                <w:color w:val="000000"/>
                <w:szCs w:val="20"/>
                <w:lang w:val="en-GB" w:eastAsia="en-GB"/>
              </w:rPr>
              <w:t>expiry date and store kit components as recommended on the datasheet</w:t>
            </w:r>
          </w:p>
        </w:tc>
      </w:tr>
      <w:tr w:rsidR="0035257C" w:rsidRPr="00913AF2" w14:paraId="04D3BDA6" w14:textId="77777777" w:rsidTr="007E3D65">
        <w:trPr>
          <w:trHeight w:val="300"/>
        </w:trPr>
        <w:tc>
          <w:tcPr>
            <w:tcW w:w="1297" w:type="dxa"/>
            <w:vMerge/>
            <w:tcBorders>
              <w:left w:val="single" w:sz="4" w:space="0" w:color="auto"/>
              <w:right w:val="single" w:sz="4" w:space="0" w:color="auto"/>
            </w:tcBorders>
            <w:noWrap/>
          </w:tcPr>
          <w:p w14:paraId="04D3BDA3"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A4"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R</w:t>
            </w:r>
            <w:r w:rsidRPr="002003DC">
              <w:rPr>
                <w:rFonts w:cs="Arial"/>
                <w:color w:val="000000"/>
                <w:szCs w:val="20"/>
                <w:lang w:val="en-GB" w:eastAsia="en-GB"/>
              </w:rPr>
              <w:t>eagents sit</w:t>
            </w:r>
            <w:r>
              <w:rPr>
                <w:rFonts w:cs="Arial"/>
                <w:color w:val="000000"/>
                <w:szCs w:val="20"/>
                <w:lang w:val="en-GB" w:eastAsia="en-GB"/>
              </w:rPr>
              <w:t>ting</w:t>
            </w:r>
            <w:r w:rsidRPr="002003DC">
              <w:rPr>
                <w:rFonts w:cs="Arial"/>
                <w:color w:val="000000"/>
                <w:szCs w:val="20"/>
                <w:lang w:val="en-GB" w:eastAsia="en-GB"/>
              </w:rPr>
              <w:t xml:space="preserve"> for extended periods on ice </w:t>
            </w:r>
          </w:p>
        </w:tc>
        <w:tc>
          <w:tcPr>
            <w:tcW w:w="3119" w:type="dxa"/>
            <w:tcBorders>
              <w:top w:val="nil"/>
              <w:left w:val="nil"/>
              <w:bottom w:val="single" w:sz="4" w:space="0" w:color="auto"/>
              <w:right w:val="single" w:sz="4" w:space="0" w:color="auto"/>
            </w:tcBorders>
            <w:vAlign w:val="center"/>
          </w:tcPr>
          <w:p w14:paraId="04D3BDA5"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Try to prepare a fresh reaction mix prior to each use</w:t>
            </w:r>
          </w:p>
        </w:tc>
      </w:tr>
      <w:tr w:rsidR="0035257C" w:rsidRPr="00913AF2" w14:paraId="04D3BDAA" w14:textId="77777777" w:rsidTr="007E3D65">
        <w:trPr>
          <w:trHeight w:val="300"/>
        </w:trPr>
        <w:tc>
          <w:tcPr>
            <w:tcW w:w="1297" w:type="dxa"/>
            <w:vMerge/>
            <w:tcBorders>
              <w:left w:val="single" w:sz="4" w:space="0" w:color="auto"/>
              <w:right w:val="single" w:sz="4" w:space="0" w:color="auto"/>
            </w:tcBorders>
            <w:noWrap/>
          </w:tcPr>
          <w:p w14:paraId="04D3BDA7"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A8"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Incorrect incubation time</w:t>
            </w:r>
            <w:r>
              <w:rPr>
                <w:rFonts w:cs="Arial"/>
                <w:color w:val="000000"/>
                <w:szCs w:val="20"/>
                <w:lang w:val="en-GB" w:eastAsia="en-GB"/>
              </w:rPr>
              <w:t>/</w:t>
            </w:r>
            <w:r w:rsidRPr="002003DC">
              <w:rPr>
                <w:rFonts w:cs="Arial"/>
                <w:color w:val="000000"/>
                <w:szCs w:val="20"/>
                <w:lang w:val="en-GB" w:eastAsia="en-GB"/>
              </w:rPr>
              <w:t xml:space="preserve"> temperature</w:t>
            </w:r>
          </w:p>
        </w:tc>
        <w:tc>
          <w:tcPr>
            <w:tcW w:w="3119" w:type="dxa"/>
            <w:tcBorders>
              <w:top w:val="nil"/>
              <w:left w:val="nil"/>
              <w:bottom w:val="single" w:sz="4" w:space="0" w:color="auto"/>
              <w:right w:val="single" w:sz="4" w:space="0" w:color="auto"/>
            </w:tcBorders>
            <w:vAlign w:val="center"/>
          </w:tcPr>
          <w:p w14:paraId="04D3BDA9"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Refer to datasheet for recommended incubation time and</w:t>
            </w:r>
            <w:r>
              <w:rPr>
                <w:rFonts w:cs="Arial"/>
                <w:color w:val="000000"/>
                <w:szCs w:val="20"/>
                <w:lang w:val="en-GB" w:eastAsia="en-GB"/>
              </w:rPr>
              <w:t>/or</w:t>
            </w:r>
            <w:r w:rsidRPr="002003DC">
              <w:rPr>
                <w:rFonts w:cs="Arial"/>
                <w:color w:val="000000"/>
                <w:szCs w:val="20"/>
                <w:lang w:val="en-GB" w:eastAsia="en-GB"/>
              </w:rPr>
              <w:t xml:space="preserve"> temperature</w:t>
            </w:r>
          </w:p>
        </w:tc>
      </w:tr>
      <w:tr w:rsidR="0035257C" w:rsidRPr="00913AF2" w14:paraId="04D3BDAE" w14:textId="77777777" w:rsidTr="007E3D65">
        <w:trPr>
          <w:trHeight w:val="780"/>
        </w:trPr>
        <w:tc>
          <w:tcPr>
            <w:tcW w:w="1297" w:type="dxa"/>
            <w:vMerge/>
            <w:tcBorders>
              <w:left w:val="single" w:sz="4" w:space="0" w:color="auto"/>
              <w:bottom w:val="double" w:sz="4" w:space="0" w:color="auto"/>
              <w:right w:val="single" w:sz="4" w:space="0" w:color="auto"/>
            </w:tcBorders>
            <w:noWrap/>
          </w:tcPr>
          <w:p w14:paraId="04D3BDAB" w14:textId="77777777" w:rsidR="0035257C" w:rsidRPr="002003DC" w:rsidRDefault="0035257C" w:rsidP="007E3D65">
            <w:pPr>
              <w:spacing w:before="0" w:line="240" w:lineRule="auto"/>
              <w:jc w:val="left"/>
              <w:rPr>
                <w:rFonts w:cs="Arial"/>
                <w:color w:val="000000"/>
                <w:szCs w:val="20"/>
                <w:lang w:val="en-GB" w:eastAsia="en-GB"/>
              </w:rPr>
            </w:pPr>
          </w:p>
        </w:tc>
        <w:tc>
          <w:tcPr>
            <w:tcW w:w="2126" w:type="dxa"/>
            <w:tcBorders>
              <w:top w:val="nil"/>
              <w:left w:val="nil"/>
              <w:bottom w:val="double" w:sz="4" w:space="0" w:color="auto"/>
              <w:right w:val="single" w:sz="4" w:space="0" w:color="auto"/>
            </w:tcBorders>
            <w:vAlign w:val="center"/>
          </w:tcPr>
          <w:p w14:paraId="04D3BDAC"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Incorrect amounts used</w:t>
            </w:r>
          </w:p>
        </w:tc>
        <w:tc>
          <w:tcPr>
            <w:tcW w:w="3119" w:type="dxa"/>
            <w:tcBorders>
              <w:top w:val="nil"/>
              <w:left w:val="nil"/>
              <w:bottom w:val="double" w:sz="4" w:space="0" w:color="auto"/>
              <w:right w:val="single" w:sz="4" w:space="0" w:color="auto"/>
            </w:tcBorders>
            <w:vAlign w:val="center"/>
          </w:tcPr>
          <w:p w14:paraId="04D3BDAD"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Check pipette is calibrated correctly</w:t>
            </w:r>
            <w:r>
              <w:rPr>
                <w:rFonts w:cs="Arial"/>
                <w:color w:val="000000"/>
                <w:szCs w:val="20"/>
                <w:lang w:val="en-GB" w:eastAsia="en-GB"/>
              </w:rPr>
              <w:t xml:space="preserve"> (</w:t>
            </w:r>
            <w:r w:rsidRPr="002003DC">
              <w:rPr>
                <w:rFonts w:cs="Arial"/>
                <w:color w:val="000000"/>
                <w:szCs w:val="20"/>
                <w:lang w:val="en-GB" w:eastAsia="en-GB"/>
              </w:rPr>
              <w:t xml:space="preserve">always use </w:t>
            </w:r>
            <w:r>
              <w:rPr>
                <w:rFonts w:cs="Arial"/>
                <w:color w:val="000000"/>
                <w:szCs w:val="20"/>
                <w:lang w:val="en-GB" w:eastAsia="en-GB"/>
              </w:rPr>
              <w:t>s</w:t>
            </w:r>
            <w:r w:rsidRPr="002003DC">
              <w:rPr>
                <w:rFonts w:cs="Arial"/>
                <w:color w:val="000000"/>
                <w:szCs w:val="20"/>
                <w:lang w:val="en-GB" w:eastAsia="en-GB"/>
              </w:rPr>
              <w:t>mallest volu</w:t>
            </w:r>
            <w:r>
              <w:rPr>
                <w:rFonts w:cs="Arial"/>
                <w:color w:val="000000"/>
                <w:szCs w:val="20"/>
                <w:lang w:val="en-GB" w:eastAsia="en-GB"/>
              </w:rPr>
              <w:t xml:space="preserve">me pipette that can pipette </w:t>
            </w:r>
            <w:r w:rsidRPr="002003DC">
              <w:rPr>
                <w:rFonts w:cs="Arial"/>
                <w:color w:val="000000"/>
                <w:szCs w:val="20"/>
                <w:lang w:val="en-GB" w:eastAsia="en-GB"/>
              </w:rPr>
              <w:t>entire volume</w:t>
            </w:r>
            <w:r>
              <w:rPr>
                <w:rFonts w:cs="Arial"/>
                <w:color w:val="000000"/>
                <w:szCs w:val="20"/>
                <w:lang w:val="en-GB" w:eastAsia="en-GB"/>
              </w:rPr>
              <w:t>)</w:t>
            </w:r>
          </w:p>
        </w:tc>
      </w:tr>
    </w:tbl>
    <w:p w14:paraId="04D3BDAF" w14:textId="77777777" w:rsidR="0035257C" w:rsidRDefault="0035257C" w:rsidP="0035257C"/>
    <w:tbl>
      <w:tblPr>
        <w:tblW w:w="6542" w:type="dxa"/>
        <w:tblLayout w:type="fixed"/>
        <w:tblCellMar>
          <w:top w:w="28" w:type="dxa"/>
        </w:tblCellMar>
        <w:tblLook w:val="00A0" w:firstRow="1" w:lastRow="0" w:firstColumn="1" w:lastColumn="0" w:noHBand="0" w:noVBand="0"/>
      </w:tblPr>
      <w:tblGrid>
        <w:gridCol w:w="1297"/>
        <w:gridCol w:w="2126"/>
        <w:gridCol w:w="3119"/>
      </w:tblGrid>
      <w:tr w:rsidR="0035257C" w:rsidRPr="00913AF2" w14:paraId="04D3BDB3" w14:textId="77777777" w:rsidTr="007E3D65">
        <w:trPr>
          <w:trHeight w:val="296"/>
        </w:trPr>
        <w:tc>
          <w:tcPr>
            <w:tcW w:w="1297" w:type="dxa"/>
            <w:tcBorders>
              <w:top w:val="double" w:sz="4" w:space="0" w:color="auto"/>
              <w:left w:val="single" w:sz="4" w:space="0" w:color="auto"/>
              <w:right w:val="single" w:sz="4" w:space="0" w:color="auto"/>
            </w:tcBorders>
            <w:vAlign w:val="center"/>
          </w:tcPr>
          <w:p w14:paraId="04D3BDB0" w14:textId="77777777" w:rsidR="0035257C" w:rsidRPr="002003DC" w:rsidRDefault="0035257C" w:rsidP="007E3D65">
            <w:pPr>
              <w:spacing w:before="0" w:line="240" w:lineRule="auto"/>
              <w:jc w:val="left"/>
              <w:rPr>
                <w:rFonts w:cs="Arial"/>
                <w:b/>
                <w:bCs/>
                <w:color w:val="000000"/>
                <w:szCs w:val="20"/>
                <w:lang w:val="en-GB" w:eastAsia="en-GB"/>
              </w:rPr>
            </w:pPr>
            <w:r w:rsidRPr="002003DC">
              <w:rPr>
                <w:rFonts w:cs="Arial"/>
                <w:b/>
                <w:bCs/>
                <w:color w:val="000000"/>
                <w:szCs w:val="20"/>
                <w:lang w:val="en-GB" w:eastAsia="en-GB"/>
              </w:rPr>
              <w:t>Problem</w:t>
            </w:r>
          </w:p>
        </w:tc>
        <w:tc>
          <w:tcPr>
            <w:tcW w:w="2126" w:type="dxa"/>
            <w:tcBorders>
              <w:top w:val="double" w:sz="4" w:space="0" w:color="auto"/>
              <w:left w:val="nil"/>
              <w:bottom w:val="single" w:sz="4" w:space="0" w:color="auto"/>
              <w:right w:val="single" w:sz="4" w:space="0" w:color="auto"/>
            </w:tcBorders>
            <w:vAlign w:val="center"/>
          </w:tcPr>
          <w:p w14:paraId="04D3BDB1" w14:textId="77777777" w:rsidR="0035257C" w:rsidRPr="002003DC" w:rsidRDefault="0035257C" w:rsidP="007E3D65">
            <w:pPr>
              <w:spacing w:before="0" w:line="240" w:lineRule="auto"/>
              <w:jc w:val="left"/>
              <w:rPr>
                <w:rFonts w:cs="Arial"/>
                <w:b/>
                <w:bCs/>
                <w:color w:val="000000"/>
                <w:szCs w:val="20"/>
                <w:lang w:val="en-GB" w:eastAsia="en-GB"/>
              </w:rPr>
            </w:pPr>
            <w:r w:rsidRPr="002003DC">
              <w:rPr>
                <w:rFonts w:cs="Arial"/>
                <w:b/>
                <w:bCs/>
                <w:color w:val="000000"/>
                <w:szCs w:val="20"/>
                <w:lang w:val="en-GB" w:eastAsia="en-GB"/>
              </w:rPr>
              <w:t>Reason</w:t>
            </w:r>
          </w:p>
        </w:tc>
        <w:tc>
          <w:tcPr>
            <w:tcW w:w="3119" w:type="dxa"/>
            <w:tcBorders>
              <w:top w:val="double" w:sz="4" w:space="0" w:color="auto"/>
              <w:left w:val="nil"/>
              <w:bottom w:val="single" w:sz="4" w:space="0" w:color="auto"/>
              <w:right w:val="single" w:sz="4" w:space="0" w:color="auto"/>
            </w:tcBorders>
            <w:vAlign w:val="center"/>
          </w:tcPr>
          <w:p w14:paraId="04D3BDB2" w14:textId="77777777" w:rsidR="0035257C" w:rsidRPr="002003DC" w:rsidRDefault="0035257C" w:rsidP="007E3D65">
            <w:pPr>
              <w:spacing w:before="0" w:line="240" w:lineRule="auto"/>
              <w:jc w:val="left"/>
              <w:rPr>
                <w:rFonts w:cs="Arial"/>
                <w:b/>
                <w:bCs/>
                <w:color w:val="000000"/>
                <w:szCs w:val="20"/>
                <w:lang w:val="en-GB" w:eastAsia="en-GB"/>
              </w:rPr>
            </w:pPr>
            <w:r w:rsidRPr="002003DC">
              <w:rPr>
                <w:rFonts w:cs="Arial"/>
                <w:b/>
                <w:bCs/>
                <w:color w:val="000000"/>
                <w:szCs w:val="20"/>
                <w:lang w:val="en-GB" w:eastAsia="en-GB"/>
              </w:rPr>
              <w:t xml:space="preserve"> Solution</w:t>
            </w:r>
          </w:p>
        </w:tc>
      </w:tr>
      <w:tr w:rsidR="0035257C" w:rsidRPr="00913AF2" w14:paraId="04D3BDB7" w14:textId="77777777" w:rsidTr="007E3D65">
        <w:trPr>
          <w:trHeight w:val="525"/>
        </w:trPr>
        <w:tc>
          <w:tcPr>
            <w:tcW w:w="1297" w:type="dxa"/>
            <w:vMerge w:val="restart"/>
            <w:tcBorders>
              <w:top w:val="double" w:sz="4" w:space="0" w:color="auto"/>
              <w:left w:val="single" w:sz="4" w:space="0" w:color="auto"/>
              <w:right w:val="single" w:sz="4" w:space="0" w:color="auto"/>
            </w:tcBorders>
          </w:tcPr>
          <w:p w14:paraId="04D3BDB4"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Standard curve is not linear</w:t>
            </w:r>
          </w:p>
        </w:tc>
        <w:tc>
          <w:tcPr>
            <w:tcW w:w="2126" w:type="dxa"/>
            <w:tcBorders>
              <w:top w:val="double" w:sz="4" w:space="0" w:color="auto"/>
              <w:left w:val="nil"/>
              <w:bottom w:val="single" w:sz="4" w:space="0" w:color="auto"/>
              <w:right w:val="single" w:sz="4" w:space="0" w:color="auto"/>
            </w:tcBorders>
            <w:vAlign w:val="center"/>
          </w:tcPr>
          <w:p w14:paraId="04D3BDB5" w14:textId="77777777" w:rsidR="0035257C" w:rsidRPr="002003DC" w:rsidRDefault="0035257C" w:rsidP="007E3D65">
            <w:pPr>
              <w:spacing w:before="0" w:line="240" w:lineRule="auto"/>
              <w:jc w:val="left"/>
              <w:rPr>
                <w:rFonts w:cs="Arial"/>
                <w:color w:val="000000"/>
                <w:szCs w:val="20"/>
                <w:lang w:val="en-GB" w:eastAsia="en-GB"/>
              </w:rPr>
            </w:pPr>
            <w:r>
              <w:rPr>
                <w:rFonts w:cs="Arial"/>
                <w:color w:val="000000"/>
                <w:szCs w:val="20"/>
                <w:lang w:val="en-GB" w:eastAsia="en-GB"/>
              </w:rPr>
              <w:t>Not</w:t>
            </w:r>
            <w:r w:rsidRPr="002003DC">
              <w:rPr>
                <w:rFonts w:cs="Arial"/>
                <w:color w:val="000000"/>
                <w:szCs w:val="20"/>
                <w:lang w:val="en-GB" w:eastAsia="en-GB"/>
              </w:rPr>
              <w:t xml:space="preserve"> fully thawed kit components</w:t>
            </w:r>
          </w:p>
        </w:tc>
        <w:tc>
          <w:tcPr>
            <w:tcW w:w="3119" w:type="dxa"/>
            <w:tcBorders>
              <w:top w:val="double" w:sz="4" w:space="0" w:color="auto"/>
              <w:left w:val="nil"/>
              <w:bottom w:val="single" w:sz="4" w:space="0" w:color="auto"/>
              <w:right w:val="single" w:sz="4" w:space="0" w:color="auto"/>
            </w:tcBorders>
            <w:vAlign w:val="center"/>
          </w:tcPr>
          <w:p w14:paraId="04D3BDB6"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Wait for components to thaw com</w:t>
            </w:r>
            <w:r>
              <w:rPr>
                <w:rFonts w:cs="Arial"/>
                <w:color w:val="000000"/>
                <w:szCs w:val="20"/>
                <w:lang w:val="en-GB" w:eastAsia="en-GB"/>
              </w:rPr>
              <w:t xml:space="preserve">pletely and gently mix prior </w:t>
            </w:r>
            <w:r w:rsidRPr="002003DC">
              <w:rPr>
                <w:rFonts w:cs="Arial"/>
                <w:color w:val="000000"/>
                <w:szCs w:val="20"/>
                <w:lang w:val="en-GB" w:eastAsia="en-GB"/>
              </w:rPr>
              <w:t>use</w:t>
            </w:r>
          </w:p>
        </w:tc>
      </w:tr>
      <w:tr w:rsidR="0035257C" w:rsidRPr="00913AF2" w14:paraId="04D3BDBB" w14:textId="77777777" w:rsidTr="007E3D65">
        <w:trPr>
          <w:trHeight w:val="300"/>
        </w:trPr>
        <w:tc>
          <w:tcPr>
            <w:tcW w:w="1297" w:type="dxa"/>
            <w:vMerge/>
            <w:tcBorders>
              <w:left w:val="single" w:sz="4" w:space="0" w:color="auto"/>
              <w:right w:val="single" w:sz="4" w:space="0" w:color="auto"/>
            </w:tcBorders>
            <w:noWrap/>
            <w:vAlign w:val="center"/>
          </w:tcPr>
          <w:p w14:paraId="04D3BDB8"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B9"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Pipetting errors when setting up the standard curve</w:t>
            </w:r>
          </w:p>
        </w:tc>
        <w:tc>
          <w:tcPr>
            <w:tcW w:w="3119" w:type="dxa"/>
            <w:tcBorders>
              <w:top w:val="nil"/>
              <w:left w:val="nil"/>
              <w:bottom w:val="single" w:sz="4" w:space="0" w:color="auto"/>
              <w:right w:val="single" w:sz="4" w:space="0" w:color="auto"/>
            </w:tcBorders>
            <w:vAlign w:val="center"/>
          </w:tcPr>
          <w:p w14:paraId="04D3BDBA"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 xml:space="preserve">Try not to pipette </w:t>
            </w:r>
            <w:r>
              <w:rPr>
                <w:rFonts w:cs="Arial"/>
                <w:color w:val="000000"/>
                <w:szCs w:val="20"/>
                <w:lang w:val="en-GB" w:eastAsia="en-GB"/>
              </w:rPr>
              <w:t xml:space="preserve">too </w:t>
            </w:r>
            <w:r w:rsidRPr="002003DC">
              <w:rPr>
                <w:rFonts w:cs="Arial"/>
                <w:color w:val="000000"/>
                <w:szCs w:val="20"/>
                <w:lang w:val="en-GB" w:eastAsia="en-GB"/>
              </w:rPr>
              <w:t>small volumes</w:t>
            </w:r>
          </w:p>
        </w:tc>
      </w:tr>
      <w:tr w:rsidR="0035257C" w:rsidRPr="00913AF2" w14:paraId="04D3BDBF" w14:textId="77777777" w:rsidTr="007E3D65">
        <w:trPr>
          <w:trHeight w:val="300"/>
        </w:trPr>
        <w:tc>
          <w:tcPr>
            <w:tcW w:w="1297" w:type="dxa"/>
            <w:vMerge/>
            <w:tcBorders>
              <w:left w:val="single" w:sz="4" w:space="0" w:color="auto"/>
              <w:right w:val="single" w:sz="4" w:space="0" w:color="auto"/>
            </w:tcBorders>
            <w:noWrap/>
            <w:vAlign w:val="center"/>
          </w:tcPr>
          <w:p w14:paraId="04D3BDBC"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BD"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Incorrect pipetting when preparing the reaction mix</w:t>
            </w:r>
          </w:p>
        </w:tc>
        <w:tc>
          <w:tcPr>
            <w:tcW w:w="3119" w:type="dxa"/>
            <w:tcBorders>
              <w:top w:val="nil"/>
              <w:left w:val="nil"/>
              <w:bottom w:val="single" w:sz="4" w:space="0" w:color="auto"/>
              <w:right w:val="single" w:sz="4" w:space="0" w:color="auto"/>
            </w:tcBorders>
            <w:vAlign w:val="center"/>
          </w:tcPr>
          <w:p w14:paraId="04D3BDBE"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Always prepare a master mix</w:t>
            </w:r>
          </w:p>
        </w:tc>
      </w:tr>
      <w:tr w:rsidR="0035257C" w:rsidRPr="00913AF2" w14:paraId="04D3BDC3" w14:textId="77777777" w:rsidTr="007E3D65">
        <w:trPr>
          <w:trHeight w:val="780"/>
        </w:trPr>
        <w:tc>
          <w:tcPr>
            <w:tcW w:w="1297" w:type="dxa"/>
            <w:vMerge/>
            <w:tcBorders>
              <w:left w:val="single" w:sz="4" w:space="0" w:color="auto"/>
              <w:right w:val="single" w:sz="4" w:space="0" w:color="auto"/>
            </w:tcBorders>
            <w:noWrap/>
            <w:vAlign w:val="center"/>
          </w:tcPr>
          <w:p w14:paraId="04D3BDC0"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C1"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Air bubbles in wells</w:t>
            </w:r>
          </w:p>
        </w:tc>
        <w:tc>
          <w:tcPr>
            <w:tcW w:w="3119" w:type="dxa"/>
            <w:tcBorders>
              <w:top w:val="nil"/>
              <w:left w:val="nil"/>
              <w:bottom w:val="single" w:sz="4" w:space="0" w:color="auto"/>
              <w:right w:val="single" w:sz="4" w:space="0" w:color="auto"/>
            </w:tcBorders>
            <w:vAlign w:val="center"/>
          </w:tcPr>
          <w:p w14:paraId="04D3BDC2"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 xml:space="preserve">Air bubbles will interfere with readings; try to avoid </w:t>
            </w:r>
            <w:proofErr w:type="gramStart"/>
            <w:r w:rsidRPr="002003DC">
              <w:rPr>
                <w:rFonts w:cs="Arial"/>
                <w:color w:val="000000"/>
                <w:szCs w:val="20"/>
                <w:lang w:val="en-GB" w:eastAsia="en-GB"/>
              </w:rPr>
              <w:t>producing  air</w:t>
            </w:r>
            <w:proofErr w:type="gramEnd"/>
            <w:r w:rsidRPr="002003DC">
              <w:rPr>
                <w:rFonts w:cs="Arial"/>
                <w:color w:val="000000"/>
                <w:szCs w:val="20"/>
                <w:lang w:val="en-GB" w:eastAsia="en-GB"/>
              </w:rPr>
              <w:t xml:space="preserve"> bubbles and always remove bubbles prior to reading plates</w:t>
            </w:r>
          </w:p>
        </w:tc>
      </w:tr>
      <w:tr w:rsidR="0035257C" w:rsidRPr="00913AF2" w14:paraId="04D3BDC7" w14:textId="77777777" w:rsidTr="007E3D65">
        <w:trPr>
          <w:trHeight w:val="525"/>
        </w:trPr>
        <w:tc>
          <w:tcPr>
            <w:tcW w:w="1297" w:type="dxa"/>
            <w:vMerge/>
            <w:tcBorders>
              <w:left w:val="single" w:sz="4" w:space="0" w:color="auto"/>
              <w:right w:val="single" w:sz="4" w:space="0" w:color="auto"/>
            </w:tcBorders>
            <w:noWrap/>
            <w:vAlign w:val="center"/>
          </w:tcPr>
          <w:p w14:paraId="04D3BDC4"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C5"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 xml:space="preserve">Concentration of </w:t>
            </w:r>
            <w:r>
              <w:rPr>
                <w:rFonts w:cs="Arial"/>
                <w:color w:val="000000"/>
                <w:szCs w:val="20"/>
                <w:lang w:val="en-GB" w:eastAsia="en-GB"/>
              </w:rPr>
              <w:t xml:space="preserve">standard stock </w:t>
            </w:r>
            <w:r w:rsidRPr="002003DC">
              <w:rPr>
                <w:rFonts w:cs="Arial"/>
                <w:color w:val="000000"/>
                <w:szCs w:val="20"/>
                <w:lang w:val="en-GB" w:eastAsia="en-GB"/>
              </w:rPr>
              <w:t>incorrect</w:t>
            </w:r>
          </w:p>
        </w:tc>
        <w:tc>
          <w:tcPr>
            <w:tcW w:w="3119" w:type="dxa"/>
            <w:tcBorders>
              <w:top w:val="nil"/>
              <w:left w:val="nil"/>
              <w:bottom w:val="single" w:sz="4" w:space="0" w:color="auto"/>
              <w:right w:val="single" w:sz="4" w:space="0" w:color="auto"/>
            </w:tcBorders>
            <w:vAlign w:val="center"/>
          </w:tcPr>
          <w:p w14:paraId="04D3BDC6"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Re</w:t>
            </w:r>
            <w:r>
              <w:rPr>
                <w:rFonts w:cs="Arial"/>
                <w:color w:val="000000"/>
                <w:szCs w:val="20"/>
                <w:lang w:val="en-GB" w:eastAsia="en-GB"/>
              </w:rPr>
              <w:t>-</w:t>
            </w:r>
            <w:r w:rsidRPr="002003DC">
              <w:rPr>
                <w:rFonts w:cs="Arial"/>
                <w:color w:val="000000"/>
                <w:szCs w:val="20"/>
                <w:lang w:val="en-GB" w:eastAsia="en-GB"/>
              </w:rPr>
              <w:t>check datasheet for recommended concentrations of standard stocks</w:t>
            </w:r>
          </w:p>
        </w:tc>
      </w:tr>
      <w:tr w:rsidR="0035257C" w:rsidRPr="00913AF2" w14:paraId="04D3BDCB" w14:textId="77777777" w:rsidTr="007E3D65">
        <w:trPr>
          <w:trHeight w:val="300"/>
        </w:trPr>
        <w:tc>
          <w:tcPr>
            <w:tcW w:w="1297" w:type="dxa"/>
            <w:vMerge/>
            <w:tcBorders>
              <w:left w:val="single" w:sz="4" w:space="0" w:color="auto"/>
              <w:right w:val="single" w:sz="4" w:space="0" w:color="auto"/>
            </w:tcBorders>
            <w:noWrap/>
            <w:vAlign w:val="center"/>
          </w:tcPr>
          <w:p w14:paraId="04D3BDC8" w14:textId="77777777" w:rsidR="0035257C" w:rsidRPr="002003DC" w:rsidRDefault="0035257C" w:rsidP="007E3D65">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4D3BDC9"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Errors in standard curve calculations</w:t>
            </w:r>
          </w:p>
        </w:tc>
        <w:tc>
          <w:tcPr>
            <w:tcW w:w="3119" w:type="dxa"/>
            <w:tcBorders>
              <w:top w:val="nil"/>
              <w:left w:val="nil"/>
              <w:bottom w:val="single" w:sz="4" w:space="0" w:color="auto"/>
              <w:right w:val="single" w:sz="4" w:space="0" w:color="auto"/>
            </w:tcBorders>
            <w:vAlign w:val="center"/>
          </w:tcPr>
          <w:p w14:paraId="04D3BDCA"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Refer to datasheet and re-check the calculations</w:t>
            </w:r>
          </w:p>
        </w:tc>
      </w:tr>
      <w:tr w:rsidR="0035257C" w:rsidRPr="00913AF2" w14:paraId="04D3BDCF" w14:textId="77777777" w:rsidTr="007E3D65">
        <w:trPr>
          <w:trHeight w:val="300"/>
        </w:trPr>
        <w:tc>
          <w:tcPr>
            <w:tcW w:w="1297" w:type="dxa"/>
            <w:vMerge/>
            <w:tcBorders>
              <w:left w:val="single" w:sz="4" w:space="0" w:color="auto"/>
              <w:bottom w:val="double" w:sz="4" w:space="0" w:color="auto"/>
              <w:right w:val="single" w:sz="4" w:space="0" w:color="auto"/>
            </w:tcBorders>
            <w:noWrap/>
            <w:vAlign w:val="center"/>
          </w:tcPr>
          <w:p w14:paraId="04D3BDCC" w14:textId="77777777" w:rsidR="0035257C" w:rsidRPr="002003DC" w:rsidRDefault="0035257C" w:rsidP="007E3D65">
            <w:pPr>
              <w:spacing w:before="0" w:line="240" w:lineRule="auto"/>
              <w:jc w:val="left"/>
              <w:rPr>
                <w:rFonts w:cs="Arial"/>
                <w:color w:val="000000"/>
                <w:szCs w:val="20"/>
                <w:lang w:val="en-GB" w:eastAsia="en-GB"/>
              </w:rPr>
            </w:pPr>
          </w:p>
        </w:tc>
        <w:tc>
          <w:tcPr>
            <w:tcW w:w="2126" w:type="dxa"/>
            <w:tcBorders>
              <w:top w:val="nil"/>
              <w:left w:val="nil"/>
              <w:bottom w:val="double" w:sz="4" w:space="0" w:color="auto"/>
              <w:right w:val="single" w:sz="4" w:space="0" w:color="auto"/>
            </w:tcBorders>
            <w:vAlign w:val="center"/>
          </w:tcPr>
          <w:p w14:paraId="04D3BDCD"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Us</w:t>
            </w:r>
            <w:r>
              <w:rPr>
                <w:rFonts w:cs="Arial"/>
                <w:color w:val="000000"/>
                <w:szCs w:val="20"/>
                <w:lang w:val="en-GB" w:eastAsia="en-GB"/>
              </w:rPr>
              <w:t>e of</w:t>
            </w:r>
            <w:r w:rsidRPr="002003DC">
              <w:rPr>
                <w:rFonts w:cs="Arial"/>
                <w:color w:val="000000"/>
                <w:szCs w:val="20"/>
                <w:lang w:val="en-GB" w:eastAsia="en-GB"/>
              </w:rPr>
              <w:t xml:space="preserve"> other reagents than those provided with the kit</w:t>
            </w:r>
          </w:p>
        </w:tc>
        <w:tc>
          <w:tcPr>
            <w:tcW w:w="3119" w:type="dxa"/>
            <w:tcBorders>
              <w:top w:val="nil"/>
              <w:left w:val="nil"/>
              <w:bottom w:val="double" w:sz="4" w:space="0" w:color="auto"/>
              <w:right w:val="single" w:sz="4" w:space="0" w:color="auto"/>
            </w:tcBorders>
            <w:vAlign w:val="center"/>
          </w:tcPr>
          <w:p w14:paraId="04D3BDCE" w14:textId="77777777" w:rsidR="0035257C" w:rsidRPr="002003DC" w:rsidRDefault="0035257C" w:rsidP="007E3D65">
            <w:pPr>
              <w:spacing w:before="0" w:line="240" w:lineRule="auto"/>
              <w:jc w:val="left"/>
              <w:rPr>
                <w:rFonts w:cs="Arial"/>
                <w:color w:val="000000"/>
                <w:szCs w:val="20"/>
                <w:lang w:val="en-GB" w:eastAsia="en-GB"/>
              </w:rPr>
            </w:pPr>
            <w:r w:rsidRPr="002003DC">
              <w:rPr>
                <w:rFonts w:cs="Arial"/>
                <w:color w:val="000000"/>
                <w:szCs w:val="20"/>
                <w:lang w:val="en-GB" w:eastAsia="en-GB"/>
              </w:rPr>
              <w:t>Use fresh components from the same kit</w:t>
            </w:r>
          </w:p>
        </w:tc>
      </w:tr>
    </w:tbl>
    <w:p w14:paraId="04D3BDD0" w14:textId="77777777" w:rsidR="0035257C" w:rsidRPr="00527A16" w:rsidRDefault="0035257C" w:rsidP="0035257C"/>
    <w:p w14:paraId="04D3BDD1" w14:textId="77777777" w:rsidR="0035257C" w:rsidRDefault="0035257C" w:rsidP="0035257C">
      <w:pPr>
        <w:spacing w:before="120" w:line="276" w:lineRule="auto"/>
        <w:rPr>
          <w:b/>
        </w:rPr>
      </w:pPr>
      <w:r>
        <w:rPr>
          <w:b/>
        </w:rPr>
        <w:t>For further technical questions p</w:t>
      </w:r>
      <w:r w:rsidRPr="00457A34">
        <w:rPr>
          <w:b/>
        </w:rPr>
        <w:t>lease do not hesitate to contact us by email (</w:t>
      </w:r>
      <w:hyperlink r:id="rId9" w:history="1">
        <w:r w:rsidRPr="00457A34">
          <w:rPr>
            <w:rStyle w:val="Hyperlink"/>
            <w:b/>
          </w:rPr>
          <w:t>technical@abcam.com</w:t>
        </w:r>
      </w:hyperlink>
      <w:r w:rsidRPr="00457A34">
        <w:rPr>
          <w:b/>
        </w:rPr>
        <w:t>) or phone (select “</w:t>
      </w:r>
      <w:r w:rsidRPr="00A4373F">
        <w:rPr>
          <w:b/>
          <w:i/>
        </w:rPr>
        <w:t>contact us</w:t>
      </w:r>
      <w:r w:rsidRPr="00457A34">
        <w:rPr>
          <w:b/>
        </w:rPr>
        <w:t xml:space="preserve">” on </w:t>
      </w:r>
      <w:hyperlink r:id="rId10" w:history="1">
        <w:r w:rsidRPr="00457A34">
          <w:rPr>
            <w:rStyle w:val="Hyperlink"/>
            <w:b/>
          </w:rPr>
          <w:t>www.abcam.com</w:t>
        </w:r>
      </w:hyperlink>
      <w:r w:rsidRPr="00457A34">
        <w:rPr>
          <w:b/>
        </w:rPr>
        <w:t xml:space="preserve"> for t</w:t>
      </w:r>
      <w:r>
        <w:rPr>
          <w:b/>
        </w:rPr>
        <w:t>he phone number for your region).</w:t>
      </w:r>
    </w:p>
    <w:p w14:paraId="04D3BDD2" w14:textId="77777777" w:rsidR="008B2920" w:rsidRDefault="008B2920">
      <w:pPr>
        <w:spacing w:before="0" w:line="240" w:lineRule="auto"/>
        <w:jc w:val="left"/>
        <w:rPr>
          <w:rFonts w:cs="Arial"/>
          <w:lang w:val="en-AU"/>
        </w:rPr>
      </w:pPr>
    </w:p>
    <w:p w14:paraId="04D3BDD3" w14:textId="77777777" w:rsidR="0035257C" w:rsidRDefault="0035257C">
      <w:pPr>
        <w:spacing w:before="0" w:line="240" w:lineRule="auto"/>
        <w:jc w:val="left"/>
        <w:rPr>
          <w:rFonts w:cs="Arial"/>
          <w:lang w:val="en-AU"/>
        </w:rPr>
      </w:pPr>
      <w:r>
        <w:rPr>
          <w:rFonts w:cs="Arial"/>
          <w:lang w:val="en-AU"/>
        </w:rPr>
        <w:br w:type="page"/>
      </w:r>
    </w:p>
    <w:p w14:paraId="4F322D7B" w14:textId="77777777" w:rsidR="00BD2D53" w:rsidRDefault="0035257C">
      <w:pPr>
        <w:spacing w:before="0" w:line="240" w:lineRule="auto"/>
        <w:jc w:val="left"/>
        <w:rPr>
          <w:rFonts w:cs="Arial"/>
          <w:lang w:val="en-AU"/>
        </w:rPr>
      </w:pPr>
      <w:r>
        <w:rPr>
          <w:rFonts w:cs="Arial"/>
          <w:lang w:val="en-AU"/>
        </w:rPr>
        <w:lastRenderedPageBreak/>
        <w:br w:type="page"/>
      </w:r>
    </w:p>
    <w:p w14:paraId="64EC58F2" w14:textId="77777777" w:rsidR="00BD2D53" w:rsidRDefault="00BD2D53">
      <w:pPr>
        <w:spacing w:before="0" w:line="240" w:lineRule="auto"/>
        <w:jc w:val="left"/>
        <w:rPr>
          <w:rFonts w:cs="Arial"/>
          <w:lang w:val="en-AU"/>
        </w:rPr>
      </w:pPr>
    </w:p>
    <w:p w14:paraId="2E2DC15B" w14:textId="77777777" w:rsidR="00BD2D53" w:rsidRDefault="00BD2D53">
      <w:pPr>
        <w:spacing w:before="0" w:line="240" w:lineRule="auto"/>
        <w:jc w:val="left"/>
        <w:rPr>
          <w:rFonts w:cs="Arial"/>
          <w:lang w:val="en-AU"/>
        </w:rPr>
      </w:pPr>
    </w:p>
    <w:p w14:paraId="6A6940AE" w14:textId="77777777" w:rsidR="00BD2D53" w:rsidRDefault="00BD2D53">
      <w:pPr>
        <w:spacing w:before="0" w:line="240" w:lineRule="auto"/>
        <w:jc w:val="left"/>
        <w:rPr>
          <w:rFonts w:cs="Arial"/>
          <w:lang w:val="en-AU"/>
        </w:rPr>
      </w:pPr>
    </w:p>
    <w:p w14:paraId="462EF93D" w14:textId="77777777" w:rsidR="00BD2D53" w:rsidRDefault="00BD2D53">
      <w:pPr>
        <w:spacing w:before="0" w:line="240" w:lineRule="auto"/>
        <w:jc w:val="left"/>
        <w:rPr>
          <w:rFonts w:cs="Arial"/>
          <w:lang w:val="en-AU"/>
        </w:rPr>
      </w:pPr>
    </w:p>
    <w:p w14:paraId="479F5FB6" w14:textId="77777777" w:rsidR="00BD2D53" w:rsidRDefault="00BD2D53">
      <w:pPr>
        <w:spacing w:before="0" w:line="240" w:lineRule="auto"/>
        <w:jc w:val="left"/>
        <w:rPr>
          <w:rFonts w:cs="Arial"/>
          <w:lang w:val="en-AU"/>
        </w:rPr>
      </w:pPr>
    </w:p>
    <w:p w14:paraId="351BF1BC" w14:textId="77777777" w:rsidR="00BD2D53" w:rsidRDefault="00BD2D53">
      <w:pPr>
        <w:spacing w:before="0" w:line="240" w:lineRule="auto"/>
        <w:jc w:val="left"/>
        <w:rPr>
          <w:rFonts w:cs="Arial"/>
          <w:lang w:val="en-AU"/>
        </w:rPr>
      </w:pPr>
    </w:p>
    <w:p w14:paraId="323EDCF3" w14:textId="77777777" w:rsidR="00BD2D53" w:rsidRDefault="00BD2D53">
      <w:pPr>
        <w:spacing w:before="0" w:line="240" w:lineRule="auto"/>
        <w:jc w:val="left"/>
        <w:rPr>
          <w:rFonts w:cs="Arial"/>
          <w:lang w:val="en-AU"/>
        </w:rPr>
      </w:pPr>
    </w:p>
    <w:p w14:paraId="4993FA91" w14:textId="77777777" w:rsidR="00BD2D53" w:rsidRDefault="00BD2D53">
      <w:pPr>
        <w:spacing w:before="0" w:line="240" w:lineRule="auto"/>
        <w:jc w:val="left"/>
        <w:rPr>
          <w:rFonts w:cs="Arial"/>
          <w:lang w:val="en-AU"/>
        </w:rPr>
      </w:pPr>
    </w:p>
    <w:p w14:paraId="20FFA36F" w14:textId="77777777" w:rsidR="00BD2D53" w:rsidRDefault="00BD2D53">
      <w:pPr>
        <w:spacing w:before="0" w:line="240" w:lineRule="auto"/>
        <w:jc w:val="left"/>
        <w:rPr>
          <w:rFonts w:cs="Arial"/>
          <w:lang w:val="en-AU"/>
        </w:rPr>
      </w:pPr>
    </w:p>
    <w:p w14:paraId="10FB0096" w14:textId="77777777" w:rsidR="00BD2D53" w:rsidRDefault="00BD2D53">
      <w:pPr>
        <w:spacing w:before="0" w:line="240" w:lineRule="auto"/>
        <w:jc w:val="left"/>
        <w:rPr>
          <w:rFonts w:cs="Arial"/>
          <w:lang w:val="en-AU"/>
        </w:rPr>
      </w:pPr>
    </w:p>
    <w:p w14:paraId="55D99C52" w14:textId="77777777" w:rsidR="00BD2D53" w:rsidRDefault="00BD2D53">
      <w:pPr>
        <w:spacing w:before="0" w:line="240" w:lineRule="auto"/>
        <w:jc w:val="left"/>
        <w:rPr>
          <w:rFonts w:cs="Arial"/>
          <w:lang w:val="en-AU"/>
        </w:rPr>
      </w:pPr>
    </w:p>
    <w:p w14:paraId="267117C5" w14:textId="77777777" w:rsidR="00BD2D53" w:rsidRDefault="00BD2D53">
      <w:pPr>
        <w:spacing w:before="0" w:line="240" w:lineRule="auto"/>
        <w:jc w:val="left"/>
        <w:rPr>
          <w:rFonts w:cs="Arial"/>
          <w:lang w:val="en-AU"/>
        </w:rPr>
      </w:pPr>
    </w:p>
    <w:p w14:paraId="154208EB" w14:textId="77777777" w:rsidR="00BD2D53" w:rsidRDefault="00BD2D53">
      <w:pPr>
        <w:spacing w:before="0" w:line="240" w:lineRule="auto"/>
        <w:jc w:val="left"/>
        <w:rPr>
          <w:rFonts w:cs="Arial"/>
          <w:lang w:val="en-AU"/>
        </w:rPr>
      </w:pPr>
    </w:p>
    <w:p w14:paraId="03702538" w14:textId="77777777" w:rsidR="00BD2D53" w:rsidRDefault="00BD2D53">
      <w:pPr>
        <w:spacing w:before="0" w:line="240" w:lineRule="auto"/>
        <w:jc w:val="left"/>
        <w:rPr>
          <w:rFonts w:cs="Arial"/>
          <w:lang w:val="en-AU"/>
        </w:rPr>
      </w:pPr>
    </w:p>
    <w:p w14:paraId="2E77FCA0" w14:textId="77777777" w:rsidR="00BD2D53" w:rsidRDefault="00BD2D53">
      <w:pPr>
        <w:spacing w:before="0" w:line="240" w:lineRule="auto"/>
        <w:jc w:val="left"/>
        <w:rPr>
          <w:rFonts w:cs="Arial"/>
          <w:lang w:val="en-AU"/>
        </w:rPr>
      </w:pPr>
    </w:p>
    <w:p w14:paraId="7FE9B78A" w14:textId="77777777" w:rsidR="00BD2D53" w:rsidRDefault="00BD2D53">
      <w:pPr>
        <w:spacing w:before="0" w:line="240" w:lineRule="auto"/>
        <w:jc w:val="left"/>
        <w:rPr>
          <w:rFonts w:cs="Arial"/>
          <w:lang w:val="en-AU"/>
        </w:rPr>
      </w:pPr>
    </w:p>
    <w:p w14:paraId="7BD961FC" w14:textId="77777777" w:rsidR="00BD2D53" w:rsidRDefault="00BD2D53">
      <w:pPr>
        <w:spacing w:before="0" w:line="240" w:lineRule="auto"/>
        <w:jc w:val="left"/>
        <w:rPr>
          <w:rFonts w:cs="Arial"/>
          <w:lang w:val="en-AU"/>
        </w:rPr>
      </w:pPr>
    </w:p>
    <w:p w14:paraId="1F802FF2" w14:textId="77777777" w:rsidR="00BD2D53" w:rsidRDefault="00BD2D53">
      <w:pPr>
        <w:spacing w:before="0" w:line="240" w:lineRule="auto"/>
        <w:jc w:val="left"/>
        <w:rPr>
          <w:rFonts w:cs="Arial"/>
          <w:lang w:val="en-AU"/>
        </w:rPr>
      </w:pPr>
    </w:p>
    <w:p w14:paraId="2FFB8F19" w14:textId="77777777" w:rsidR="00BD2D53" w:rsidRDefault="00BD2D53">
      <w:pPr>
        <w:spacing w:before="0" w:line="240" w:lineRule="auto"/>
        <w:jc w:val="left"/>
        <w:rPr>
          <w:rFonts w:cs="Arial"/>
          <w:lang w:val="en-AU"/>
        </w:rPr>
      </w:pPr>
    </w:p>
    <w:p w14:paraId="7879C0F8" w14:textId="77777777" w:rsidR="00BD2D53" w:rsidRDefault="00BD2D53">
      <w:pPr>
        <w:spacing w:before="0" w:line="240" w:lineRule="auto"/>
        <w:jc w:val="left"/>
        <w:rPr>
          <w:rFonts w:cs="Arial"/>
          <w:lang w:val="en-AU"/>
        </w:rPr>
      </w:pPr>
    </w:p>
    <w:p w14:paraId="28D6D814" w14:textId="77777777" w:rsidR="00BD2D53" w:rsidRDefault="00BD2D53">
      <w:pPr>
        <w:spacing w:before="0" w:line="240" w:lineRule="auto"/>
        <w:jc w:val="left"/>
        <w:rPr>
          <w:rFonts w:cs="Arial"/>
          <w:lang w:val="en-AU"/>
        </w:rPr>
      </w:pPr>
    </w:p>
    <w:p w14:paraId="1F8F51BA" w14:textId="77777777" w:rsidR="00BD2D53" w:rsidRDefault="00BD2D53">
      <w:pPr>
        <w:spacing w:before="0" w:line="240" w:lineRule="auto"/>
        <w:jc w:val="left"/>
        <w:rPr>
          <w:rFonts w:cs="Arial"/>
          <w:lang w:val="en-AU"/>
        </w:rPr>
      </w:pPr>
    </w:p>
    <w:p w14:paraId="03F75DC7" w14:textId="77777777" w:rsidR="00BD2D53" w:rsidRDefault="00BD2D53">
      <w:pPr>
        <w:spacing w:before="0" w:line="240" w:lineRule="auto"/>
        <w:jc w:val="left"/>
        <w:rPr>
          <w:rFonts w:cs="Arial"/>
          <w:lang w:val="en-AU"/>
        </w:rPr>
      </w:pPr>
    </w:p>
    <w:p w14:paraId="67EE3C3D" w14:textId="77777777" w:rsidR="00BD2D53" w:rsidRDefault="00BD2D53">
      <w:pPr>
        <w:spacing w:before="0" w:line="240" w:lineRule="auto"/>
        <w:jc w:val="left"/>
        <w:rPr>
          <w:rFonts w:cs="Arial"/>
          <w:lang w:val="en-AU"/>
        </w:rPr>
      </w:pPr>
    </w:p>
    <w:p w14:paraId="78AC55EC" w14:textId="77777777" w:rsidR="00BD2D53" w:rsidRDefault="00BD2D53">
      <w:pPr>
        <w:spacing w:before="0" w:line="240" w:lineRule="auto"/>
        <w:jc w:val="left"/>
        <w:rPr>
          <w:rFonts w:cs="Arial"/>
          <w:lang w:val="en-AU"/>
        </w:rPr>
      </w:pPr>
    </w:p>
    <w:p w14:paraId="103E3C51" w14:textId="77777777" w:rsidR="00BD2D53" w:rsidRDefault="00BD2D53">
      <w:pPr>
        <w:spacing w:before="0" w:line="240" w:lineRule="auto"/>
        <w:jc w:val="left"/>
        <w:rPr>
          <w:rFonts w:cs="Arial"/>
          <w:lang w:val="en-AU"/>
        </w:rPr>
      </w:pPr>
    </w:p>
    <w:p w14:paraId="186A7D61" w14:textId="77777777" w:rsidR="00BD2D53" w:rsidRDefault="00BD2D53">
      <w:pPr>
        <w:spacing w:before="0" w:line="240" w:lineRule="auto"/>
        <w:jc w:val="left"/>
        <w:rPr>
          <w:rFonts w:cs="Arial"/>
          <w:lang w:val="en-AU"/>
        </w:rPr>
      </w:pPr>
    </w:p>
    <w:p w14:paraId="0E49F318" w14:textId="77777777" w:rsidR="00BD2D53" w:rsidRDefault="00BD2D53">
      <w:pPr>
        <w:spacing w:before="0" w:line="240" w:lineRule="auto"/>
        <w:jc w:val="left"/>
        <w:rPr>
          <w:rFonts w:cs="Arial"/>
          <w:lang w:val="en-AU"/>
        </w:rPr>
      </w:pPr>
    </w:p>
    <w:p w14:paraId="76E46C2C" w14:textId="77777777" w:rsidR="00BD2D53" w:rsidRDefault="00BD2D53">
      <w:pPr>
        <w:spacing w:before="0" w:line="240" w:lineRule="auto"/>
        <w:jc w:val="left"/>
        <w:rPr>
          <w:rFonts w:cs="Arial"/>
          <w:lang w:val="en-AU"/>
        </w:rPr>
      </w:pPr>
    </w:p>
    <w:p w14:paraId="69307A1E" w14:textId="77777777" w:rsidR="00BD2D53" w:rsidRDefault="00BD2D53">
      <w:pPr>
        <w:spacing w:before="0" w:line="240" w:lineRule="auto"/>
        <w:jc w:val="left"/>
        <w:rPr>
          <w:rFonts w:cs="Arial"/>
          <w:lang w:val="en-AU"/>
        </w:rPr>
      </w:pPr>
    </w:p>
    <w:p w14:paraId="6F22D2BA" w14:textId="77777777" w:rsidR="00BD2D53" w:rsidRDefault="00BD2D53">
      <w:pPr>
        <w:spacing w:before="0" w:line="240" w:lineRule="auto"/>
        <w:jc w:val="left"/>
        <w:rPr>
          <w:rFonts w:cs="Arial"/>
          <w:lang w:val="en-AU"/>
        </w:rPr>
      </w:pPr>
    </w:p>
    <w:p w14:paraId="30393A32" w14:textId="77777777" w:rsidR="00BD2D53" w:rsidRDefault="00BD2D53">
      <w:pPr>
        <w:spacing w:before="0" w:line="240" w:lineRule="auto"/>
        <w:jc w:val="left"/>
        <w:rPr>
          <w:rFonts w:cs="Arial"/>
          <w:lang w:val="en-AU"/>
        </w:rPr>
      </w:pPr>
    </w:p>
    <w:p w14:paraId="594A19A5" w14:textId="77777777" w:rsidR="00BD2D53" w:rsidRDefault="00BD2D53">
      <w:pPr>
        <w:spacing w:before="0" w:line="240" w:lineRule="auto"/>
        <w:jc w:val="left"/>
        <w:rPr>
          <w:rFonts w:cs="Arial"/>
          <w:lang w:val="en-AU"/>
        </w:rPr>
      </w:pPr>
    </w:p>
    <w:p w14:paraId="061A063B" w14:textId="77777777" w:rsidR="00BD2D53" w:rsidRDefault="00BD2D53">
      <w:pPr>
        <w:spacing w:before="0" w:line="240" w:lineRule="auto"/>
        <w:jc w:val="left"/>
        <w:rPr>
          <w:rFonts w:cs="Arial"/>
          <w:lang w:val="en-AU"/>
        </w:rPr>
      </w:pPr>
    </w:p>
    <w:p w14:paraId="21699CA7" w14:textId="77777777" w:rsidR="00BD2D53" w:rsidRDefault="00BD2D53">
      <w:pPr>
        <w:spacing w:before="0" w:line="240" w:lineRule="auto"/>
        <w:jc w:val="left"/>
        <w:rPr>
          <w:rFonts w:cs="Arial"/>
          <w:lang w:val="en-AU"/>
        </w:rPr>
      </w:pPr>
    </w:p>
    <w:p w14:paraId="2B603542" w14:textId="77777777" w:rsidR="00BD2D53" w:rsidRDefault="00BD2D53">
      <w:pPr>
        <w:spacing w:before="0" w:line="240" w:lineRule="auto"/>
        <w:jc w:val="left"/>
        <w:rPr>
          <w:rFonts w:cs="Arial"/>
          <w:lang w:val="en-AU"/>
        </w:rPr>
      </w:pPr>
    </w:p>
    <w:p w14:paraId="7235F475" w14:textId="77777777" w:rsidR="00BD2D53" w:rsidRDefault="00BD2D53">
      <w:pPr>
        <w:spacing w:before="0" w:line="240" w:lineRule="auto"/>
        <w:jc w:val="left"/>
        <w:rPr>
          <w:rFonts w:cs="Arial"/>
          <w:lang w:val="en-AU"/>
        </w:rPr>
      </w:pPr>
    </w:p>
    <w:p w14:paraId="0B012CBA" w14:textId="77777777" w:rsidR="00BD2D53" w:rsidRDefault="00BD2D53">
      <w:pPr>
        <w:spacing w:before="0" w:line="240" w:lineRule="auto"/>
        <w:jc w:val="left"/>
        <w:rPr>
          <w:rFonts w:cs="Arial"/>
          <w:lang w:val="en-AU"/>
        </w:rPr>
      </w:pPr>
    </w:p>
    <w:p w14:paraId="570ACE3E" w14:textId="77777777" w:rsidR="00BD2D53" w:rsidRDefault="00BD2D53">
      <w:pPr>
        <w:spacing w:before="0" w:line="240" w:lineRule="auto"/>
        <w:jc w:val="left"/>
        <w:rPr>
          <w:rFonts w:cs="Arial"/>
          <w:lang w:val="en-AU"/>
        </w:rPr>
      </w:pPr>
    </w:p>
    <w:p w14:paraId="3F96AD61" w14:textId="77777777" w:rsidR="00BD2D53" w:rsidRDefault="00BD2D53">
      <w:pPr>
        <w:spacing w:before="0" w:line="240" w:lineRule="auto"/>
        <w:jc w:val="left"/>
        <w:rPr>
          <w:rFonts w:cs="Arial"/>
          <w:lang w:val="en-AU"/>
        </w:rPr>
      </w:pPr>
    </w:p>
    <w:p w14:paraId="04D3BDD5" w14:textId="5496FDE2" w:rsidR="00146054" w:rsidRDefault="00146054">
      <w:pPr>
        <w:spacing w:before="0" w:line="240" w:lineRule="auto"/>
        <w:jc w:val="left"/>
        <w:rPr>
          <w:rFonts w:cs="Arial"/>
          <w:lang w:val="en-AU"/>
        </w:rPr>
      </w:pPr>
      <w:r>
        <w:rPr>
          <w:rFonts w:cs="Arial"/>
          <w:lang w:val="en-AU"/>
        </w:rPr>
        <w:br w:type="page"/>
      </w:r>
    </w:p>
    <w:p w14:paraId="04D3BDD6" w14:textId="77777777" w:rsidR="00DC1372" w:rsidRPr="006E17B3" w:rsidRDefault="001326E7" w:rsidP="00DC1372">
      <w:pPr>
        <w:rPr>
          <w:rFonts w:cs="Arial"/>
          <w:b/>
          <w:lang w:val="en-GB"/>
        </w:rPr>
      </w:pPr>
      <w:r>
        <w:rPr>
          <w:rFonts w:cs="Arial"/>
          <w:b/>
          <w:noProof/>
          <w:lang w:val="en-GB" w:eastAsia="en-GB"/>
        </w:rPr>
        <w:lastRenderedPageBreak/>
        <w:drawing>
          <wp:anchor distT="0" distB="0" distL="114300" distR="114300" simplePos="0" relativeHeight="251658752" behindDoc="1" locked="0" layoutInCell="1" allowOverlap="1" wp14:anchorId="04D3BDFA" wp14:editId="04D3BDFB">
            <wp:simplePos x="0" y="0"/>
            <wp:positionH relativeFrom="column">
              <wp:posOffset>2264410</wp:posOffset>
            </wp:positionH>
            <wp:positionV relativeFrom="page">
              <wp:posOffset>0</wp:posOffset>
            </wp:positionV>
            <wp:extent cx="2186305" cy="1965960"/>
            <wp:effectExtent l="19050" t="0" r="4445" b="0"/>
            <wp:wrapTight wrapText="bothSides">
              <wp:wrapPolygon edited="0">
                <wp:start x="-188" y="0"/>
                <wp:lineTo x="-188" y="21349"/>
                <wp:lineTo x="21644" y="21349"/>
                <wp:lineTo x="21644" y="0"/>
                <wp:lineTo x="-188" y="0"/>
              </wp:wrapPolygon>
            </wp:wrapTight>
            <wp:docPr id="16" name="Picture 16"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cam_Logo_35mm.jpg"/>
                    <pic:cNvPicPr>
                      <a:picLocks noChangeAspect="1" noChangeArrowheads="1"/>
                    </pic:cNvPicPr>
                  </pic:nvPicPr>
                  <pic:blipFill>
                    <a:blip r:embed="rId7" cstate="print"/>
                    <a:srcRect b="9910"/>
                    <a:stretch>
                      <a:fillRect/>
                    </a:stretch>
                  </pic:blipFill>
                  <pic:spPr bwMode="auto">
                    <a:xfrm>
                      <a:off x="0" y="0"/>
                      <a:ext cx="2186305" cy="1965960"/>
                    </a:xfrm>
                    <a:prstGeom prst="rect">
                      <a:avLst/>
                    </a:prstGeom>
                    <a:noFill/>
                    <a:ln w="9525">
                      <a:noFill/>
                      <a:miter lim="800000"/>
                      <a:headEnd/>
                      <a:tailEnd/>
                    </a:ln>
                  </pic:spPr>
                </pic:pic>
              </a:graphicData>
            </a:graphic>
          </wp:anchor>
        </w:drawing>
      </w:r>
    </w:p>
    <w:p w14:paraId="04D3BDD7" w14:textId="77777777" w:rsidR="00DC1372" w:rsidRDefault="00DC1372" w:rsidP="00DC1372">
      <w:pPr>
        <w:spacing w:before="0" w:line="240" w:lineRule="auto"/>
        <w:ind w:firstLine="284"/>
        <w:jc w:val="left"/>
        <w:rPr>
          <w:b/>
          <w:sz w:val="24"/>
        </w:rPr>
      </w:pPr>
    </w:p>
    <w:p w14:paraId="04D3BDD8" w14:textId="77777777" w:rsidR="008B2920" w:rsidRDefault="008B2920" w:rsidP="00DC1372">
      <w:pPr>
        <w:spacing w:before="0" w:line="240" w:lineRule="auto"/>
        <w:ind w:firstLine="284"/>
        <w:jc w:val="left"/>
        <w:rPr>
          <w:b/>
          <w:sz w:val="24"/>
        </w:rPr>
      </w:pPr>
    </w:p>
    <w:p w14:paraId="04D3BDD9" w14:textId="77777777" w:rsidR="00DC1372" w:rsidRDefault="00DC1372" w:rsidP="00DC1372">
      <w:pPr>
        <w:spacing w:before="0" w:line="240" w:lineRule="auto"/>
        <w:ind w:firstLine="284"/>
        <w:jc w:val="left"/>
        <w:rPr>
          <w:b/>
          <w:sz w:val="24"/>
        </w:rPr>
      </w:pPr>
    </w:p>
    <w:p w14:paraId="7063AA03" w14:textId="77777777" w:rsidR="00BD2D53" w:rsidRDefault="00BD2D53" w:rsidP="00BD2D53">
      <w:pPr>
        <w:rPr>
          <w:rFonts w:cs="Arial"/>
          <w:b/>
          <w:bCs/>
          <w:lang w:val="en-GB"/>
        </w:rPr>
      </w:pPr>
    </w:p>
    <w:p w14:paraId="176A8903" w14:textId="77777777" w:rsidR="00BD2D53" w:rsidRDefault="00BD2D53" w:rsidP="00BD2D53">
      <w:pPr>
        <w:rPr>
          <w:rFonts w:cs="Arial"/>
          <w:b/>
          <w:bCs/>
          <w:lang w:val="en-GB"/>
        </w:rPr>
      </w:pPr>
    </w:p>
    <w:p w14:paraId="257732E8" w14:textId="77777777" w:rsidR="00BD2D53" w:rsidRDefault="00BD2D53" w:rsidP="00BD2D53">
      <w:pPr>
        <w:rPr>
          <w:rFonts w:cs="Arial"/>
          <w:b/>
          <w:bCs/>
          <w:lang w:val="en-GB"/>
        </w:rPr>
      </w:pPr>
    </w:p>
    <w:p w14:paraId="438633A0" w14:textId="77777777" w:rsidR="00BD2D53" w:rsidRDefault="00BD2D53" w:rsidP="00BD2D53">
      <w:pPr>
        <w:rPr>
          <w:rFonts w:cs="Arial"/>
          <w:b/>
          <w:bCs/>
          <w:lang w:val="en-GB"/>
        </w:rPr>
      </w:pPr>
    </w:p>
    <w:p w14:paraId="14EC3BC4" w14:textId="77777777" w:rsidR="00BD2D53" w:rsidRDefault="00BD2D53" w:rsidP="00BD2D53">
      <w:pPr>
        <w:rPr>
          <w:rFonts w:cs="Arial"/>
          <w:b/>
          <w:bCs/>
          <w:lang w:val="en-GB"/>
        </w:rPr>
      </w:pPr>
    </w:p>
    <w:p w14:paraId="13FC2CAD" w14:textId="77777777" w:rsidR="00BD2D53" w:rsidRDefault="00BD2D53" w:rsidP="00BD2D53">
      <w:pPr>
        <w:rPr>
          <w:rFonts w:cs="Arial"/>
          <w:b/>
          <w:bCs/>
          <w:lang w:val="en-GB"/>
        </w:rPr>
      </w:pPr>
    </w:p>
    <w:p w14:paraId="677E1540" w14:textId="77777777" w:rsidR="00BD2D53" w:rsidRDefault="00BD2D53" w:rsidP="00BD2D53">
      <w:pPr>
        <w:rPr>
          <w:rFonts w:cs="Arial"/>
          <w:b/>
          <w:bCs/>
          <w:lang w:val="en-GB"/>
        </w:rPr>
      </w:pPr>
    </w:p>
    <w:p w14:paraId="78C56FB8" w14:textId="4C4AAA8F" w:rsidR="00BD2D53" w:rsidRPr="00BD2D53" w:rsidRDefault="00BD2D53" w:rsidP="00BD2D53">
      <w:pPr>
        <w:rPr>
          <w:rFonts w:cs="Arial"/>
          <w:b/>
          <w:lang w:val="en-GB"/>
        </w:rPr>
      </w:pPr>
      <w:r w:rsidRPr="00BD2D53">
        <w:rPr>
          <w:rFonts w:cs="Arial"/>
          <w:b/>
          <w:bCs/>
          <w:lang w:val="en-GB"/>
        </w:rPr>
        <w:t>Technical Support</w:t>
      </w:r>
    </w:p>
    <w:p w14:paraId="495BCFB8" w14:textId="77777777" w:rsidR="00BD2D53" w:rsidRPr="00BD2D53" w:rsidRDefault="00BD2D53" w:rsidP="00BD2D53">
      <w:pPr>
        <w:spacing w:line="240" w:lineRule="auto"/>
        <w:rPr>
          <w:rFonts w:cs="Arial"/>
          <w:bCs/>
          <w:lang w:val="en-GB"/>
        </w:rPr>
      </w:pPr>
      <w:r w:rsidRPr="00BD2D53">
        <w:rPr>
          <w:rFonts w:cs="Arial"/>
          <w:bCs/>
          <w:lang w:val="en-GB"/>
        </w:rPr>
        <w:t>Copyright © 2023 Abcam, All Rights Reserved. The Abcam logo is a registered trademark. All information / detail is correct at time of going to print.</w:t>
      </w:r>
    </w:p>
    <w:p w14:paraId="623C92A5" w14:textId="77777777" w:rsidR="00BD2D53" w:rsidRPr="00BD2D53" w:rsidRDefault="00BD2D53" w:rsidP="00BD2D53">
      <w:pPr>
        <w:spacing w:line="240" w:lineRule="auto"/>
        <w:rPr>
          <w:rFonts w:cs="Arial"/>
          <w:bCs/>
          <w:lang w:val="en-GB"/>
        </w:rPr>
      </w:pPr>
      <w:r w:rsidRPr="00BD2D53">
        <w:rPr>
          <w:rFonts w:cs="Arial"/>
          <w:bCs/>
          <w:lang w:val="en-GB"/>
        </w:rPr>
        <w:t>For all technical or commercial enquiries please go to:</w:t>
      </w:r>
    </w:p>
    <w:p w14:paraId="48D2A4C0" w14:textId="77777777" w:rsidR="00BD2D53" w:rsidRPr="00BD2D53" w:rsidRDefault="00BD2D53" w:rsidP="00BD2D53">
      <w:pPr>
        <w:spacing w:line="240" w:lineRule="auto"/>
        <w:rPr>
          <w:rFonts w:cs="Arial"/>
          <w:bCs/>
          <w:lang w:val="en-GB"/>
        </w:rPr>
      </w:pPr>
      <w:hyperlink r:id="rId11" w:tgtFrame="_blank" w:tooltip="http://www.abcam.com/contactus" w:history="1">
        <w:r w:rsidRPr="00BD2D53">
          <w:rPr>
            <w:rStyle w:val="Hyperlink"/>
            <w:rFonts w:cs="Arial"/>
            <w:bCs/>
            <w:lang w:val="en-GB"/>
          </w:rPr>
          <w:t>www.abcam.com/contactus</w:t>
        </w:r>
      </w:hyperlink>
    </w:p>
    <w:p w14:paraId="5407274D" w14:textId="77777777" w:rsidR="00BD2D53" w:rsidRPr="00BD2D53" w:rsidRDefault="00BD2D53" w:rsidP="00BD2D53">
      <w:pPr>
        <w:spacing w:line="240" w:lineRule="auto"/>
        <w:rPr>
          <w:rFonts w:cs="Arial"/>
          <w:bCs/>
          <w:lang w:val="en-GB"/>
        </w:rPr>
      </w:pPr>
      <w:hyperlink r:id="rId12" w:tgtFrame="_blank" w:tooltip="http://www.abcam.cn/contactus" w:history="1">
        <w:r w:rsidRPr="00BD2D53">
          <w:rPr>
            <w:rStyle w:val="Hyperlink"/>
            <w:rFonts w:cs="Arial"/>
            <w:bCs/>
            <w:lang w:val="en-GB"/>
          </w:rPr>
          <w:t>www.abcam.cn/contactus</w:t>
        </w:r>
      </w:hyperlink>
      <w:r w:rsidRPr="00BD2D53">
        <w:rPr>
          <w:rFonts w:cs="Arial"/>
          <w:bCs/>
          <w:lang w:val="en-GB"/>
        </w:rPr>
        <w:t xml:space="preserve"> (China)</w:t>
      </w:r>
    </w:p>
    <w:p w14:paraId="04D3BDEF" w14:textId="57F9A9F7" w:rsidR="00DC1372" w:rsidRPr="00BD2D53" w:rsidRDefault="00BD2D53" w:rsidP="00BD2D53">
      <w:pPr>
        <w:spacing w:line="240" w:lineRule="auto"/>
        <w:rPr>
          <w:rFonts w:cs="Arial"/>
          <w:bCs/>
          <w:lang w:val="en-GB"/>
        </w:rPr>
      </w:pPr>
      <w:hyperlink r:id="rId13" w:tgtFrame="_blank" w:tooltip="http://www.abcam.co.jp/contactus" w:history="1">
        <w:r w:rsidRPr="00BD2D53">
          <w:rPr>
            <w:rStyle w:val="Hyperlink"/>
            <w:rFonts w:cs="Arial"/>
            <w:bCs/>
            <w:lang w:val="en-GB"/>
          </w:rPr>
          <w:t>www.abcam.co.jp/contactus</w:t>
        </w:r>
      </w:hyperlink>
      <w:r w:rsidRPr="00BD2D53">
        <w:rPr>
          <w:rFonts w:cs="Arial"/>
          <w:bCs/>
          <w:lang w:val="en-GB"/>
        </w:rPr>
        <w:t xml:space="preserve"> (Japan)</w:t>
      </w:r>
    </w:p>
    <w:sectPr w:rsidR="00DC1372" w:rsidRPr="00BD2D53" w:rsidSect="00DC1372">
      <w:headerReference w:type="even" r:id="rId14"/>
      <w:headerReference w:type="default" r:id="rId15"/>
      <w:footerReference w:type="even" r:id="rId16"/>
      <w:footerReference w:type="default" r:id="rId17"/>
      <w:footerReference w:type="first" r:id="rId18"/>
      <w:pgSz w:w="7920" w:h="12240"/>
      <w:pgMar w:top="1418" w:right="907" w:bottom="1418" w:left="907" w:header="708" w:footer="73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BE00" w14:textId="77777777" w:rsidR="00971D31" w:rsidRDefault="00971D31" w:rsidP="00DC1372">
      <w:r>
        <w:separator/>
      </w:r>
    </w:p>
  </w:endnote>
  <w:endnote w:type="continuationSeparator" w:id="0">
    <w:p w14:paraId="04D3BE01" w14:textId="77777777" w:rsidR="00971D31" w:rsidRDefault="00971D31" w:rsidP="00DC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BE04" w14:textId="77777777" w:rsidR="00DC1372" w:rsidRDefault="008656A2" w:rsidP="00DC1372">
    <w:pPr>
      <w:pStyle w:val="Footer"/>
      <w:framePr w:wrap="around" w:vAnchor="text" w:hAnchor="margin" w:xAlign="right" w:y="1"/>
      <w:rPr>
        <w:rStyle w:val="PageNumber"/>
      </w:rPr>
    </w:pPr>
    <w:r>
      <w:rPr>
        <w:rStyle w:val="PageNumber"/>
      </w:rPr>
      <w:fldChar w:fldCharType="begin"/>
    </w:r>
    <w:r w:rsidR="00DC1372">
      <w:rPr>
        <w:rStyle w:val="PageNumber"/>
      </w:rPr>
      <w:instrText xml:space="preserve">PAGE  </w:instrText>
    </w:r>
    <w:r>
      <w:rPr>
        <w:rStyle w:val="PageNumber"/>
      </w:rPr>
      <w:fldChar w:fldCharType="separate"/>
    </w:r>
    <w:r w:rsidR="00DC1372">
      <w:rPr>
        <w:rStyle w:val="PageNumber"/>
        <w:noProof/>
      </w:rPr>
      <w:t>27</w:t>
    </w:r>
    <w:r>
      <w:rPr>
        <w:rStyle w:val="PageNumber"/>
      </w:rPr>
      <w:fldChar w:fldCharType="end"/>
    </w:r>
  </w:p>
  <w:p w14:paraId="04D3BE05" w14:textId="77777777" w:rsidR="00DC1372" w:rsidRDefault="00DC1372" w:rsidP="00DC13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BE06" w14:textId="77777777" w:rsidR="00DC1372" w:rsidRPr="0001222D" w:rsidRDefault="008656A2" w:rsidP="00DC1372">
    <w:pPr>
      <w:pStyle w:val="Footer"/>
      <w:framePr w:wrap="around" w:vAnchor="text" w:hAnchor="margin" w:xAlign="right" w:y="1"/>
      <w:rPr>
        <w:rStyle w:val="PageNumber"/>
      </w:rPr>
    </w:pPr>
    <w:r w:rsidRPr="0001222D">
      <w:rPr>
        <w:rStyle w:val="PageNumber"/>
      </w:rPr>
      <w:fldChar w:fldCharType="begin"/>
    </w:r>
    <w:r w:rsidR="00DC1372" w:rsidRPr="0001222D">
      <w:rPr>
        <w:rStyle w:val="PageNumber"/>
      </w:rPr>
      <w:instrText>PAGE</w:instrText>
    </w:r>
    <w:r w:rsidRPr="0001222D">
      <w:rPr>
        <w:rStyle w:val="PageNumber"/>
      </w:rPr>
      <w:fldChar w:fldCharType="separate"/>
    </w:r>
    <w:r w:rsidR="00A50666">
      <w:rPr>
        <w:rStyle w:val="PageNumber"/>
        <w:noProof/>
      </w:rPr>
      <w:t>5</w:t>
    </w:r>
    <w:r w:rsidRPr="0001222D">
      <w:rPr>
        <w:rStyle w:val="PageNumber"/>
      </w:rPr>
      <w:fldChar w:fldCharType="end"/>
    </w:r>
  </w:p>
  <w:p w14:paraId="04D3BE07" w14:textId="77777777" w:rsidR="00DC1372" w:rsidRDefault="00DC1372" w:rsidP="00DC1372">
    <w:pPr>
      <w:pStyle w:val="Footer"/>
      <w:ind w:right="360"/>
      <w:jc w:val="center"/>
    </w:pPr>
  </w:p>
  <w:p w14:paraId="04D3BE08" w14:textId="77777777" w:rsidR="00DC1372" w:rsidRDefault="00DC1372" w:rsidP="00DC13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BE09" w14:textId="2E41389E" w:rsidR="00A50666" w:rsidRDefault="00A50666">
    <w:pPr>
      <w:pStyle w:val="Footer"/>
    </w:pPr>
    <w:r>
      <w:t xml:space="preserve">Version </w:t>
    </w:r>
    <w:r w:rsidR="005365AD">
      <w:t>3a,</w:t>
    </w:r>
    <w:r>
      <w:t xml:space="preserve"> Last updated </w:t>
    </w:r>
    <w:r>
      <w:fldChar w:fldCharType="begin"/>
    </w:r>
    <w:r>
      <w:instrText xml:space="preserve"> DATE  \@ "d MMMM yyyy"  \* MERGEFORMAT </w:instrText>
    </w:r>
    <w:r>
      <w:fldChar w:fldCharType="separate"/>
    </w:r>
    <w:r w:rsidR="006238C7">
      <w:rPr>
        <w:noProof/>
      </w:rPr>
      <w:t>12 October 2023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BDFE" w14:textId="77777777" w:rsidR="00971D31" w:rsidRDefault="00971D31" w:rsidP="00DC1372">
      <w:r>
        <w:separator/>
      </w:r>
    </w:p>
  </w:footnote>
  <w:footnote w:type="continuationSeparator" w:id="0">
    <w:p w14:paraId="04D3BDFF" w14:textId="77777777" w:rsidR="00971D31" w:rsidRDefault="00971D31" w:rsidP="00DC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BE02" w14:textId="77777777" w:rsidR="00DC1372" w:rsidRDefault="00A13F6C">
    <w:pPr>
      <w:pStyle w:val="Header"/>
    </w:pPr>
    <w:r>
      <w:rPr>
        <w:noProof/>
      </w:rPr>
      <w:pict w14:anchorId="04D3B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BE03" w14:textId="77777777" w:rsidR="00DC1372" w:rsidRPr="00885DC3" w:rsidRDefault="00DC1372" w:rsidP="00DC1372">
    <w:pPr>
      <w:pStyle w:val="Header"/>
      <w:tabs>
        <w:tab w:val="clear" w:pos="4320"/>
        <w:tab w:val="clear" w:pos="8640"/>
        <w:tab w:val="left" w:pos="0"/>
      </w:tabs>
      <w:jc w:val="center"/>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976C82"/>
    <w:multiLevelType w:val="hybridMultilevel"/>
    <w:tmpl w:val="19E26A4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AC008E"/>
    <w:multiLevelType w:val="hybridMultilevel"/>
    <w:tmpl w:val="933010F4"/>
    <w:lvl w:ilvl="0" w:tplc="B5FAA576">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2AD3159D"/>
    <w:multiLevelType w:val="hybridMultilevel"/>
    <w:tmpl w:val="DF7660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0043D"/>
    <w:multiLevelType w:val="hybridMultilevel"/>
    <w:tmpl w:val="B2C242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4959CF"/>
    <w:multiLevelType w:val="hybridMultilevel"/>
    <w:tmpl w:val="109C6EC6"/>
    <w:lvl w:ilvl="0" w:tplc="2D50DAC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3E6CD2"/>
    <w:multiLevelType w:val="hybridMultilevel"/>
    <w:tmpl w:val="E1F037DA"/>
    <w:lvl w:ilvl="0" w:tplc="CDDE3C34">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2" w15:restartNumberingAfterBreak="0">
    <w:nsid w:val="6B916D3A"/>
    <w:multiLevelType w:val="hybridMultilevel"/>
    <w:tmpl w:val="BC049D06"/>
    <w:lvl w:ilvl="0" w:tplc="8494801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D3713E6"/>
    <w:multiLevelType w:val="hybridMultilevel"/>
    <w:tmpl w:val="35F6963E"/>
    <w:lvl w:ilvl="0" w:tplc="8E32A8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3E31FE4"/>
    <w:multiLevelType w:val="hybridMultilevel"/>
    <w:tmpl w:val="3D84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F526B"/>
    <w:multiLevelType w:val="hybridMultilevel"/>
    <w:tmpl w:val="B2F8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num w:numId="1" w16cid:durableId="1729761986">
    <w:abstractNumId w:val="3"/>
  </w:num>
  <w:num w:numId="2" w16cid:durableId="469129619">
    <w:abstractNumId w:val="0"/>
  </w:num>
  <w:num w:numId="3" w16cid:durableId="1919560487">
    <w:abstractNumId w:val="7"/>
  </w:num>
  <w:num w:numId="4" w16cid:durableId="1973167272">
    <w:abstractNumId w:val="5"/>
  </w:num>
  <w:num w:numId="5" w16cid:durableId="2023623793">
    <w:abstractNumId w:val="14"/>
  </w:num>
  <w:num w:numId="6" w16cid:durableId="1534421198">
    <w:abstractNumId w:val="5"/>
    <w:lvlOverride w:ilvl="0">
      <w:startOverride w:val="1"/>
    </w:lvlOverride>
  </w:num>
  <w:num w:numId="7" w16cid:durableId="1445079031">
    <w:abstractNumId w:val="5"/>
    <w:lvlOverride w:ilvl="0">
      <w:startOverride w:val="1"/>
    </w:lvlOverride>
  </w:num>
  <w:num w:numId="8" w16cid:durableId="2095513991">
    <w:abstractNumId w:val="10"/>
  </w:num>
  <w:num w:numId="9" w16cid:durableId="1497575747">
    <w:abstractNumId w:val="6"/>
  </w:num>
  <w:num w:numId="10" w16cid:durableId="741754339">
    <w:abstractNumId w:val="1"/>
  </w:num>
  <w:num w:numId="11" w16cid:durableId="800731068">
    <w:abstractNumId w:val="15"/>
  </w:num>
  <w:num w:numId="12" w16cid:durableId="1617132542">
    <w:abstractNumId w:val="2"/>
  </w:num>
  <w:num w:numId="13" w16cid:durableId="1313102114">
    <w:abstractNumId w:val="0"/>
  </w:num>
  <w:num w:numId="14" w16cid:durableId="1421758530">
    <w:abstractNumId w:val="13"/>
  </w:num>
  <w:num w:numId="15" w16cid:durableId="87194487">
    <w:abstractNumId w:val="0"/>
  </w:num>
  <w:num w:numId="16" w16cid:durableId="1187210308">
    <w:abstractNumId w:val="0"/>
  </w:num>
  <w:num w:numId="17" w16cid:durableId="2019575203">
    <w:abstractNumId w:val="0"/>
  </w:num>
  <w:num w:numId="18" w16cid:durableId="517278211">
    <w:abstractNumId w:val="0"/>
  </w:num>
  <w:num w:numId="19" w16cid:durableId="404568848">
    <w:abstractNumId w:val="11"/>
  </w:num>
  <w:num w:numId="20" w16cid:durableId="466774802">
    <w:abstractNumId w:val="8"/>
  </w:num>
  <w:num w:numId="21" w16cid:durableId="783966377">
    <w:abstractNumId w:val="9"/>
  </w:num>
  <w:num w:numId="22" w16cid:durableId="787119629">
    <w:abstractNumId w:val="12"/>
  </w:num>
  <w:num w:numId="23" w16cid:durableId="107809396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519C2"/>
    <w:rsid w:val="001326E7"/>
    <w:rsid w:val="00146054"/>
    <w:rsid w:val="001C6CF5"/>
    <w:rsid w:val="00220404"/>
    <w:rsid w:val="002D28E9"/>
    <w:rsid w:val="0035257C"/>
    <w:rsid w:val="00445BED"/>
    <w:rsid w:val="005365AD"/>
    <w:rsid w:val="005B4251"/>
    <w:rsid w:val="005D5667"/>
    <w:rsid w:val="00623802"/>
    <w:rsid w:val="006238C7"/>
    <w:rsid w:val="00661167"/>
    <w:rsid w:val="008656A2"/>
    <w:rsid w:val="0086621A"/>
    <w:rsid w:val="008B2920"/>
    <w:rsid w:val="00901E8F"/>
    <w:rsid w:val="00920CA4"/>
    <w:rsid w:val="00971D31"/>
    <w:rsid w:val="009B6805"/>
    <w:rsid w:val="00A50666"/>
    <w:rsid w:val="00A61EE0"/>
    <w:rsid w:val="00A835F2"/>
    <w:rsid w:val="00A93842"/>
    <w:rsid w:val="00B23059"/>
    <w:rsid w:val="00B8255E"/>
    <w:rsid w:val="00B94086"/>
    <w:rsid w:val="00BD2D53"/>
    <w:rsid w:val="00C12998"/>
    <w:rsid w:val="00D36450"/>
    <w:rsid w:val="00D50132"/>
    <w:rsid w:val="00D6414F"/>
    <w:rsid w:val="00DC1372"/>
    <w:rsid w:val="00E80001"/>
    <w:rsid w:val="00EE066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4D3BCF0"/>
  <w15:docId w15:val="{92749B23-A4C2-4523-8FE6-889CCB4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cs="Times New Roman"/>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99"/>
    <w:unhideWhenUsed/>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cs="Times New Roman"/>
      <w:bCs/>
      <w:sz w:val="20"/>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 w:val="20"/>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uiPriority w:val="99"/>
    <w:qFormat/>
    <w:rsid w:val="00220404"/>
    <w:pPr>
      <w:ind w:left="1440" w:hanging="360"/>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BD2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9334">
      <w:bodyDiv w:val="1"/>
      <w:marLeft w:val="0"/>
      <w:marRight w:val="0"/>
      <w:marTop w:val="0"/>
      <w:marBottom w:val="0"/>
      <w:divBdr>
        <w:top w:val="none" w:sz="0" w:space="0" w:color="auto"/>
        <w:left w:val="none" w:sz="0" w:space="0" w:color="auto"/>
        <w:bottom w:val="none" w:sz="0" w:space="0" w:color="auto"/>
        <w:right w:val="none" w:sz="0" w:space="0" w:color="auto"/>
      </w:divBdr>
    </w:div>
    <w:div w:id="686248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bcam.co.jp/contactus"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bcam.cn/contactu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cam.com/contactu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bcam.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chnical@abcam.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c16c50c-ede5-4694-94e0-ad2e4059390d}" enabled="0" method="" siteId="{5c16c50c-ede5-4694-94e0-ad2e4059390d}"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Alexandra Manoylova</cp:lastModifiedBy>
  <cp:revision>2</cp:revision>
  <cp:lastPrinted>2012-02-29T16:19:00Z</cp:lastPrinted>
  <dcterms:created xsi:type="dcterms:W3CDTF">2023-10-12T15:59:00Z</dcterms:created>
  <dcterms:modified xsi:type="dcterms:W3CDTF">2023-10-12T15:59:00Z</dcterms:modified>
</cp:coreProperties>
</file>